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9, 2017 (March 3, 2017)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3"/>
              </w:rPr>
              <w:t>(Commission</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firstLine="324"/>
        <w:spacing w:after="0" w:line="287" w:lineRule="auto"/>
        <w:rPr>
          <w:sz w:val="20"/>
          <w:szCs w:val="20"/>
          <w:color w:val="auto"/>
        </w:rPr>
      </w:pPr>
      <w:r>
        <w:rPr>
          <w:rFonts w:ascii="Arial" w:cs="Arial" w:eastAsia="Arial" w:hAnsi="Arial"/>
          <w:sz w:val="16"/>
          <w:szCs w:val="16"/>
          <w:color w:val="auto"/>
        </w:rPr>
        <w:t>As reported in its Current Report on Form 8-K filed with the U.S.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on December 30, 2016, Regeneron Pharmaceuticals, Inc. (“</w:t>
      </w:r>
      <w:r>
        <w:rPr>
          <w:rFonts w:ascii="Arial" w:cs="Arial" w:eastAsia="Arial" w:hAnsi="Arial"/>
          <w:sz w:val="16"/>
          <w:szCs w:val="16"/>
          <w:u w:val="single" w:color="auto"/>
          <w:color w:val="auto"/>
        </w:rPr>
        <w:t>Regeneron</w:t>
      </w:r>
      <w:r>
        <w:rPr>
          <w:rFonts w:ascii="Arial" w:cs="Arial" w:eastAsia="Arial" w:hAnsi="Arial"/>
          <w:sz w:val="16"/>
          <w:szCs w:val="16"/>
          <w:color w:val="auto"/>
        </w:rPr>
        <w:t>” or the “</w:t>
      </w:r>
      <w:r>
        <w:rPr>
          <w:rFonts w:ascii="Arial" w:cs="Arial" w:eastAsia="Arial" w:hAnsi="Arial"/>
          <w:sz w:val="16"/>
          <w:szCs w:val="16"/>
          <w:u w:val="single" w:color="auto"/>
          <w:color w:val="auto"/>
        </w:rPr>
        <w:t>Company</w:t>
      </w:r>
      <w:r>
        <w:rPr>
          <w:rFonts w:ascii="Arial" w:cs="Arial" w:eastAsia="Arial" w:hAnsi="Arial"/>
          <w:sz w:val="16"/>
          <w:szCs w:val="16"/>
          <w:color w:val="auto"/>
        </w:rPr>
        <w:t>”) previously entered into a purchase agreement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to purchase the Company’s existing corporate headquarters and other rentable area consisting of approximately 170 acres of predominately office buildings and laboratory space located in the towns of Mount Pleasant and Greenburgh, New York (the “</w:t>
      </w:r>
      <w:r>
        <w:rPr>
          <w:rFonts w:ascii="Arial" w:cs="Arial" w:eastAsia="Arial" w:hAnsi="Arial"/>
          <w:sz w:val="16"/>
          <w:szCs w:val="16"/>
          <w:u w:val="single" w:color="auto"/>
          <w:color w:val="auto"/>
        </w:rPr>
        <w:t>Facility</w:t>
      </w:r>
      <w:r>
        <w:rPr>
          <w:rFonts w:ascii="Arial" w:cs="Arial" w:eastAsia="Arial" w:hAnsi="Arial"/>
          <w:sz w:val="16"/>
          <w:szCs w:val="16"/>
          <w:color w:val="auto"/>
        </w:rPr>
        <w:t>”) and engaged a financing provider to arrange a $720 million lease financing in connection therewith. On March 3, 2017, Regeneron completed the contemplated lease financing, as described in greater detail below. As part of such financing, the right to take title to the Facility under the Purchase Agreement was assigned to the Lessor (as defined below), the Lessor has become the legal owner of the Facility, and a wholly owned subsidiary of Regeneron has leased the Facility for a five-year term. The rent payments under the Lease (as defined below) are expected to be lower than those under the Company’s previous leases for its corporate headquarters and to be immediately accretive to Regeneron’s earnings. The lease financing does not constitute indebtedness for purposes of Regeneron’s Revolving Credit Facility (as defined below) and, therefore, the amounts outstanding under the lease financing are not included in the calculation of Regeneron’s total leverage ratio under the Revolving Credit Facility and do not reduce the amount that Regeneron can borrow under the Revolving Credit Facility based on the applicable financial covenants.</w:t>
      </w:r>
    </w:p>
    <w:p>
      <w:pPr>
        <w:spacing w:after="0" w:line="173"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Participation Agreement</w:t>
      </w:r>
    </w:p>
    <w:p>
      <w:pPr>
        <w:spacing w:after="0" w:line="225" w:lineRule="exact"/>
        <w:rPr>
          <w:sz w:val="24"/>
          <w:szCs w:val="24"/>
          <w:color w:val="auto"/>
        </w:rPr>
      </w:pPr>
    </w:p>
    <w:p>
      <w:pPr>
        <w:ind w:right="80" w:firstLine="324"/>
        <w:spacing w:after="0" w:line="271" w:lineRule="auto"/>
        <w:rPr>
          <w:sz w:val="20"/>
          <w:szCs w:val="20"/>
          <w:color w:val="auto"/>
        </w:rPr>
      </w:pPr>
      <w:r>
        <w:rPr>
          <w:rFonts w:ascii="Arial" w:cs="Arial" w:eastAsia="Arial" w:hAnsi="Arial"/>
          <w:sz w:val="17"/>
          <w:szCs w:val="17"/>
          <w:color w:val="auto"/>
        </w:rPr>
        <w:t>On March 3, 2017, Old Saw Mill Holdings LLC (the “</w:t>
      </w:r>
      <w:r>
        <w:rPr>
          <w:rFonts w:ascii="Arial" w:cs="Arial" w:eastAsia="Arial" w:hAnsi="Arial"/>
          <w:sz w:val="17"/>
          <w:szCs w:val="17"/>
          <w:u w:val="single" w:color="auto"/>
          <w:color w:val="auto"/>
        </w:rPr>
        <w:t>Lessee</w:t>
      </w:r>
      <w:r>
        <w:rPr>
          <w:rFonts w:ascii="Arial" w:cs="Arial" w:eastAsia="Arial" w:hAnsi="Arial"/>
          <w:sz w:val="17"/>
          <w:szCs w:val="17"/>
          <w:color w:val="auto"/>
        </w:rPr>
        <w:t>”), a wholly owned subsidiary of Regeneron, entered into a participation agreement (the “</w:t>
      </w:r>
      <w:r>
        <w:rPr>
          <w:rFonts w:ascii="Arial" w:cs="Arial" w:eastAsia="Arial" w:hAnsi="Arial"/>
          <w:sz w:val="17"/>
          <w:szCs w:val="17"/>
          <w:u w:val="single" w:color="auto"/>
          <w:color w:val="auto"/>
        </w:rPr>
        <w:t>Participation Agreement</w:t>
      </w:r>
      <w:r>
        <w:rPr>
          <w:rFonts w:ascii="Arial" w:cs="Arial" w:eastAsia="Arial" w:hAnsi="Arial"/>
          <w:sz w:val="17"/>
          <w:szCs w:val="17"/>
          <w:color w:val="auto"/>
        </w:rPr>
        <w:t>”) by and among the Lessee; Bank of America, N.A., as administrative agent; BA Leasing BSC, LLC, as lessor (in such capacity, the “</w:t>
      </w:r>
      <w:r>
        <w:rPr>
          <w:rFonts w:ascii="Arial" w:cs="Arial" w:eastAsia="Arial" w:hAnsi="Arial"/>
          <w:sz w:val="17"/>
          <w:szCs w:val="17"/>
          <w:u w:val="single" w:color="auto"/>
          <w:color w:val="auto"/>
        </w:rPr>
        <w:t>Lessor</w:t>
      </w:r>
      <w:r>
        <w:rPr>
          <w:rFonts w:ascii="Arial" w:cs="Arial" w:eastAsia="Arial" w:hAnsi="Arial"/>
          <w:sz w:val="17"/>
          <w:szCs w:val="17"/>
          <w:color w:val="auto"/>
        </w:rPr>
        <w:t>”); and the lenders party thereto from time to time (collectively, the “</w:t>
      </w:r>
      <w:r>
        <w:rPr>
          <w:rFonts w:ascii="Arial" w:cs="Arial" w:eastAsia="Arial" w:hAnsi="Arial"/>
          <w:sz w:val="17"/>
          <w:szCs w:val="17"/>
          <w:u w:val="single" w:color="auto"/>
          <w:color w:val="auto"/>
        </w:rPr>
        <w:t>Lenders</w:t>
      </w:r>
      <w:r>
        <w:rPr>
          <w:rFonts w:ascii="Arial" w:cs="Arial" w:eastAsia="Arial" w:hAnsi="Arial"/>
          <w:sz w:val="17"/>
          <w:szCs w:val="17"/>
          <w:color w:val="auto"/>
        </w:rPr>
        <w:t>” and, together with the Lessor, the “</w:t>
      </w:r>
      <w:r>
        <w:rPr>
          <w:rFonts w:ascii="Arial" w:cs="Arial" w:eastAsia="Arial" w:hAnsi="Arial"/>
          <w:sz w:val="17"/>
          <w:szCs w:val="17"/>
          <w:u w:val="single" w:color="auto"/>
          <w:color w:val="auto"/>
        </w:rPr>
        <w:t>Participants</w:t>
      </w:r>
      <w:r>
        <w:rPr>
          <w:rFonts w:ascii="Arial" w:cs="Arial" w:eastAsia="Arial" w:hAnsi="Arial"/>
          <w:sz w:val="17"/>
          <w:szCs w:val="17"/>
          <w:color w:val="auto"/>
        </w:rPr>
        <w:t>”). The Participation Agreement provides for a $720 million lease financing in connection with the acquisition by the Lessor of the Facility and the Lessee’s lease of the Facility from the Lessor. On March 3, 2017, the right to take title to the Facility under the Purchase Agreement was assigned to the Lessor and the Participants advanced $720 million pursuant to the Participation Agreement, which was used to finance the purchase price for the Facility and to reimburse the Company for certain payments previously made by it pursuant to the Purchase Agreement. Upon consummation of the transactions contemplated by the Purchase Agreement, the Lessor has become the legal owner of the Facility.</w:t>
      </w:r>
    </w:p>
    <w:p>
      <w:pPr>
        <w:spacing w:after="0" w:line="17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Lease</w:t>
      </w:r>
    </w:p>
    <w:p>
      <w:pPr>
        <w:spacing w:after="0" w:line="225" w:lineRule="exact"/>
        <w:rPr>
          <w:sz w:val="24"/>
          <w:szCs w:val="24"/>
          <w:color w:val="auto"/>
        </w:rPr>
      </w:pPr>
    </w:p>
    <w:p>
      <w:pPr>
        <w:jc w:val="both"/>
        <w:ind w:right="240" w:firstLine="324"/>
        <w:spacing w:after="0" w:line="312" w:lineRule="auto"/>
        <w:rPr>
          <w:sz w:val="20"/>
          <w:szCs w:val="20"/>
          <w:color w:val="auto"/>
        </w:rPr>
      </w:pPr>
      <w:r>
        <w:rPr>
          <w:rFonts w:ascii="Arial" w:cs="Arial" w:eastAsia="Arial" w:hAnsi="Arial"/>
          <w:sz w:val="16"/>
          <w:szCs w:val="16"/>
          <w:color w:val="auto"/>
        </w:rPr>
        <w:t>On March 3, 2017, the Lessee also entered into a lease and remedies agreement (the “</w:t>
      </w:r>
      <w:r>
        <w:rPr>
          <w:rFonts w:ascii="Arial" w:cs="Arial" w:eastAsia="Arial" w:hAnsi="Arial"/>
          <w:sz w:val="16"/>
          <w:szCs w:val="16"/>
          <w:u w:val="single" w:color="auto"/>
          <w:color w:val="auto"/>
        </w:rPr>
        <w:t>Lease</w:t>
      </w:r>
      <w:r>
        <w:rPr>
          <w:rFonts w:ascii="Arial" w:cs="Arial" w:eastAsia="Arial" w:hAnsi="Arial"/>
          <w:sz w:val="16"/>
          <w:szCs w:val="16"/>
          <w:color w:val="auto"/>
        </w:rPr>
        <w:t>”) with the Lessor, pursuant to which the Lessee has leased the Facility and certain related assets from the Lessor for a five-year term and granted a security interest in certain of its assets and rights to secure certain obligations under the Participation Agreement, the Lease, and certain related documents. Certain parts of the Facility are subleased from the Lessee by</w:t>
      </w:r>
    </w:p>
    <w:p>
      <w:pPr>
        <w:sectPr>
          <w:pgSz w:w="11900" w:h="16858" w:orient="portrait"/>
          <w:cols w:equalWidth="0" w:num="1">
            <w:col w:w="11420"/>
          </w:cols>
          <w:pgMar w:left="240" w:top="544" w:right="239" w:bottom="0" w:gutter="0" w:footer="0" w:header="0"/>
        </w:sectPr>
      </w:pPr>
    </w:p>
    <w:bookmarkStart w:id="1" w:name="page2"/>
    <w:bookmarkEnd w:id="1"/>
    <w:p>
      <w:pPr>
        <w:spacing w:after="0" w:line="5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existing third-party tenants (collectively, the “</w:t>
      </w:r>
      <w:r>
        <w:rPr>
          <w:rFonts w:ascii="Arial" w:cs="Arial" w:eastAsia="Arial" w:hAnsi="Arial"/>
          <w:sz w:val="16"/>
          <w:szCs w:val="16"/>
          <w:u w:val="single" w:color="auto"/>
          <w:color w:val="auto"/>
        </w:rPr>
        <w:t>Subtenants</w:t>
      </w:r>
      <w:r>
        <w:rPr>
          <w:rFonts w:ascii="Arial" w:cs="Arial" w:eastAsia="Arial" w:hAnsi="Arial"/>
          <w:sz w:val="16"/>
          <w:szCs w:val="16"/>
          <w:color w:val="auto"/>
        </w:rPr>
        <w:t>”). The Lease is a triple-net lease requiring the Lessee, among other things, to pay during the term of the Lease all maintenance, insurance, taxes, and other costs arising out of the use of the Facility (which are offset in part by payments received by the Lessee from the Subtenants). The Lessee is also required to make monthly payments of basic rent during the term of the Lease in an amount equal to the interest and yield payable to the Lenders on their outstanding loans and to the Lessor on its investment, respectively, the proceeds of which were used to fund the advances under the Participation Agreement. Such loans accrue interest, and the Lessor’s investment accrues yield, at a variable rate per annum based on the one-month London Interbank Offered Rate, plus an applicable margin that varies with the Company’s debt rating and total leverage ratio.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Guaranty</w:t>
      </w:r>
    </w:p>
    <w:p>
      <w:pPr>
        <w:spacing w:after="0" w:line="225" w:lineRule="exact"/>
        <w:rPr>
          <w:sz w:val="20"/>
          <w:szCs w:val="20"/>
          <w:color w:val="auto"/>
        </w:rPr>
      </w:pPr>
    </w:p>
    <w:p>
      <w:pPr>
        <w:jc w:val="both"/>
        <w:ind w:right="220" w:firstLine="324"/>
        <w:spacing w:after="0" w:line="270" w:lineRule="auto"/>
        <w:rPr>
          <w:sz w:val="20"/>
          <w:szCs w:val="20"/>
          <w:color w:val="auto"/>
        </w:rPr>
      </w:pPr>
      <w:r>
        <w:rPr>
          <w:rFonts w:ascii="Arial" w:cs="Arial" w:eastAsia="Arial" w:hAnsi="Arial"/>
          <w:sz w:val="18"/>
          <w:szCs w:val="18"/>
          <w:color w:val="auto"/>
        </w:rPr>
        <w:t xml:space="preserve">The Company and its wholly owned subsidiaries </w:t>
      </w:r>
      <w:r>
        <w:rPr>
          <w:rFonts w:ascii="Arial" w:cs="Arial" w:eastAsia="Arial" w:hAnsi="Arial"/>
          <w:sz w:val="17"/>
          <w:szCs w:val="17"/>
          <w:color w:val="auto"/>
        </w:rPr>
        <w:t>Regeneron Healthcare Solutions, Inc. and Regeneron Genetics Center LLC, on a joint and several basis,</w:t>
      </w:r>
      <w:r>
        <w:rPr>
          <w:rFonts w:ascii="Arial" w:cs="Arial" w:eastAsia="Arial" w:hAnsi="Arial"/>
          <w:sz w:val="18"/>
          <w:szCs w:val="18"/>
          <w:color w:val="auto"/>
        </w:rPr>
        <w:t xml:space="preserve"> </w:t>
      </w:r>
      <w:r>
        <w:rPr>
          <w:rFonts w:ascii="Arial" w:cs="Arial" w:eastAsia="Arial" w:hAnsi="Arial"/>
          <w:sz w:val="17"/>
          <w:szCs w:val="17"/>
          <w:color w:val="auto"/>
        </w:rPr>
        <w:t>have guaranteed all of the Lessee’s obligations under the Participation Agreement, the Lease, and certain related documents pursuant to a guaranty, dated as of March 3, 2017 (the “</w:t>
      </w:r>
      <w:r>
        <w:rPr>
          <w:rFonts w:ascii="Arial" w:cs="Arial" w:eastAsia="Arial" w:hAnsi="Arial"/>
          <w:sz w:val="17"/>
          <w:szCs w:val="17"/>
          <w:u w:val="single" w:color="auto"/>
          <w:color w:val="auto"/>
        </w:rPr>
        <w:t>Guaranty</w:t>
      </w:r>
      <w:r>
        <w:rPr>
          <w:rFonts w:ascii="Arial" w:cs="Arial" w:eastAsia="Arial" w:hAnsi="Arial"/>
          <w:sz w:val="17"/>
          <w:szCs w:val="17"/>
          <w:color w:val="auto"/>
        </w:rPr>
        <w:t>”), made by the Company and such subsidiaries, as the initial guarantors.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Operating Covenants; Other Terms</w:t>
      </w:r>
    </w:p>
    <w:p>
      <w:pPr>
        <w:spacing w:after="0" w:line="225" w:lineRule="exact"/>
        <w:rPr>
          <w:sz w:val="20"/>
          <w:szCs w:val="20"/>
          <w:color w:val="auto"/>
        </w:rPr>
      </w:pPr>
    </w:p>
    <w:p>
      <w:pPr>
        <w:ind w:right="100" w:firstLine="324"/>
        <w:spacing w:after="0" w:line="268" w:lineRule="auto"/>
        <w:rPr>
          <w:sz w:val="20"/>
          <w:szCs w:val="20"/>
          <w:color w:val="auto"/>
        </w:rPr>
      </w:pPr>
      <w:r>
        <w:rPr>
          <w:rFonts w:ascii="Arial" w:cs="Arial" w:eastAsia="Arial" w:hAnsi="Arial"/>
          <w:sz w:val="17"/>
          <w:szCs w:val="17"/>
          <w:color w:val="auto"/>
        </w:rPr>
        <w:t>The Participation Agreement, the Lease, and the Guaranty contain financial and operating covenants, which are substantially similar to the covenants set forth in the Credit Agreement, dated as of March 19, 2015 (as amended)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Regeneron, as a borrower and guarantor, certain subsidiaries of Regeneron party thereto as subsidiary borrowers, JPMorgan Chase Bank, N.A., as administrative agent, and the lenders and other financial institutions party thereto from time to time, governing Regeneron’s existing revolving credit facility (the “</w:t>
      </w:r>
      <w:r>
        <w:rPr>
          <w:rFonts w:ascii="Arial" w:cs="Arial" w:eastAsia="Arial" w:hAnsi="Arial"/>
          <w:sz w:val="17"/>
          <w:szCs w:val="17"/>
          <w:u w:val="single" w:color="auto"/>
          <w:color w:val="auto"/>
        </w:rPr>
        <w:t>Revolving Credit Facility</w:t>
      </w:r>
      <w:r>
        <w:rPr>
          <w:rFonts w:ascii="Arial" w:cs="Arial" w:eastAsia="Arial" w:hAnsi="Arial"/>
          <w:sz w:val="17"/>
          <w:szCs w:val="17"/>
          <w:color w:val="auto"/>
        </w:rPr>
        <w:t>”), except for such matters specifically relating to the Facility or the lease financing nature of the transactions contemplated by the Participation Agreement. Financial covenants include a maximum total leverage ratio and a minimum interest expense coverage ratio. Operating covenants include, among other things, limitations on (i) the incurrence of indebtedness, (ii) liens on assets of the Company and its subsidiaries and liens on the Facility, (iii) certain fundamental changes and the disposition of assets by the Company and its subsidiaries, (iv) entering into affiliate transactions, and (v) the payment of dividends, distributions, and certain other restricted payments in respect of the capital stock of the Company and its subsidiaries (the “</w:t>
      </w:r>
      <w:r>
        <w:rPr>
          <w:rFonts w:ascii="Arial" w:cs="Arial" w:eastAsia="Arial" w:hAnsi="Arial"/>
          <w:sz w:val="17"/>
          <w:szCs w:val="17"/>
          <w:u w:val="single" w:color="auto"/>
          <w:color w:val="auto"/>
        </w:rPr>
        <w:t>Restricted Payments Covenant</w:t>
      </w:r>
      <w:r>
        <w:rPr>
          <w:rFonts w:ascii="Arial" w:cs="Arial" w:eastAsia="Arial" w:hAnsi="Arial"/>
          <w:sz w:val="17"/>
          <w:szCs w:val="17"/>
          <w:color w:val="auto"/>
        </w:rPr>
        <w:t>”). Similar to the Credit Agreement, the Restricted Payments Covenant allows the Company, so long as no event of default exists, to make payments that would otherwise be restricted if at the time of the making of any such payment and immediately thereafter it meets a specified total leverage ratio requirement. The Participation Agreement, the Lease, and the Guaranty contain other customary covenants, representations and warranties, and events of default. The Lease also includes certain early termination events relating to the occurrence of certain material events of loss or material environmental events relating to the Facility.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Maturity Date; Extension Option; Termination</w:t>
      </w:r>
    </w:p>
    <w:p>
      <w:pPr>
        <w:spacing w:after="0" w:line="22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The advances under the Participation Agreement mature, and all amounts outstanding thereunder will become due and payable in full, on March 3, 2022 (the “</w:t>
      </w:r>
      <w:r>
        <w:rPr>
          <w:rFonts w:ascii="Arial" w:cs="Arial" w:eastAsia="Arial" w:hAnsi="Arial"/>
          <w:sz w:val="17"/>
          <w:szCs w:val="17"/>
          <w:u w:val="single" w:color="auto"/>
          <w:color w:val="auto"/>
        </w:rPr>
        <w:t>Maturity Date</w:t>
      </w:r>
      <w:r>
        <w:rPr>
          <w:rFonts w:ascii="Arial" w:cs="Arial" w:eastAsia="Arial" w:hAnsi="Arial"/>
          <w:sz w:val="17"/>
          <w:szCs w:val="17"/>
          <w:color w:val="auto"/>
        </w:rPr>
        <w:t>”). The term of the Lease also ends on the Maturity Date. The Participation Agreement and the Lease include an option for the Lessee to elect to extend the maturity date of the Participation Agreement and the term of the Lease for an additional five-year period, subject to the consent of all the Participants and certain other conditions. The Lessee also has the option prior to the end of the term of the Lease to (a) purchase the Facility by paying an amount equal to the outstanding principal amount of the Participants’ advances under the Participation Agreement, all accrued and unpaid interest and yield thereon, and all other outstanding amounts under the Participation Agreement, the Lease, and certain related documents or (b) sell the Facility to a third party on behalf of the Lessor, in each case, subject to certain terms and conditions set forth in the Participation Agreement and the Lease. Amounts advanced under the Participation Agreement and outstanding obligations under the Lease may be prepaid at any time without premium or penalty, subject to customary breakage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Assignment of Existing Leases</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connection with the transactions described above, the leases relating to the parts of the Facility previously leased by the Company from BMR-Landmark at Eastview LLC (“</w:t>
      </w:r>
      <w:r>
        <w:rPr>
          <w:rFonts w:ascii="Arial" w:cs="Arial" w:eastAsia="Arial" w:hAnsi="Arial"/>
          <w:sz w:val="18"/>
          <w:szCs w:val="18"/>
          <w:u w:val="single" w:color="auto"/>
          <w:color w:val="auto"/>
        </w:rPr>
        <w:t>BMR</w:t>
      </w:r>
      <w:r>
        <w:rPr>
          <w:rFonts w:ascii="Arial" w:cs="Arial" w:eastAsia="Arial" w:hAnsi="Arial"/>
          <w:sz w:val="18"/>
          <w:szCs w:val="18"/>
          <w:color w:val="auto"/>
        </w:rPr>
        <w:t>”) (including the Lease, dated as of December 21, 2006, as amended, and the Mt. Pleasant Lease</w:t>
      </w:r>
      <w:r>
        <w:rPr>
          <w:rFonts w:ascii="Arial" w:cs="Arial" w:eastAsia="Arial" w:hAnsi="Arial"/>
          <w:sz w:val="17"/>
          <w:szCs w:val="17"/>
          <w:color w:val="auto"/>
        </w:rPr>
        <w:t>, dated as of April 3, 2013,</w:t>
      </w:r>
      <w:r>
        <w:rPr>
          <w:rFonts w:ascii="Arial" w:cs="Arial" w:eastAsia="Arial" w:hAnsi="Arial"/>
          <w:sz w:val="18"/>
          <w:szCs w:val="18"/>
          <w:color w:val="auto"/>
        </w:rPr>
        <w:t xml:space="preserve"> </w:t>
      </w:r>
      <w:r>
        <w:rPr>
          <w:rFonts w:ascii="Arial" w:cs="Arial" w:eastAsia="Arial" w:hAnsi="Arial"/>
          <w:sz w:val="17"/>
          <w:szCs w:val="17"/>
          <w:color w:val="auto"/>
        </w:rPr>
        <w:t>as amended (both of which were previously filed with the SEC)) have been assigned from BMR to the Lessee. As a result of this assignment, such leases have become intercompany agreements and their financial impact will be eliminated in consolidation.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The foregoing description of the Participation Agreement, the Lease, and the Guaranty is qualified in its entirety by reference to the full text of such agreements, which are attached hereto as Exhibits 10.1, 10.2, and 10.3, respectively, and are incorporated herein by reference.</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On March 3, 2017, the Company and certain of its subsidiaries, as applicable, entered into the Participation Agreement, the Lease, and the Guaranty described under Item 1.01 above. The description of such agreements set forth in Item 1.01 above is incorporated herein by reference.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10.1</w:t>
            </w:r>
          </w:p>
        </w:tc>
        <w:tc>
          <w:tcPr>
            <w:tcW w:w="10440" w:type="dxa"/>
            <w:vAlign w:val="bottom"/>
          </w:tcPr>
          <w:p>
            <w:pPr>
              <w:ind w:left="300"/>
              <w:spacing w:after="0"/>
              <w:rPr>
                <w:sz w:val="20"/>
                <w:szCs w:val="20"/>
                <w:color w:val="auto"/>
              </w:rPr>
            </w:pPr>
            <w:r>
              <w:rPr>
                <w:rFonts w:ascii="Arial" w:cs="Arial" w:eastAsia="Arial" w:hAnsi="Arial"/>
                <w:sz w:val="18"/>
                <w:szCs w:val="18"/>
                <w:color w:val="auto"/>
                <w:w w:val="95"/>
              </w:rPr>
              <w:t>Participation Agreement, dated as of March 3, 2017, by and among Old Saw Mill Holdings LLC, as lessee; Bank of America, N.A., as</w:t>
            </w:r>
          </w:p>
        </w:tc>
      </w:tr>
      <w:tr>
        <w:trPr>
          <w:trHeight w:val="230"/>
        </w:trPr>
        <w:tc>
          <w:tcPr>
            <w:tcW w:w="620" w:type="dxa"/>
            <w:vAlign w:val="bottom"/>
          </w:tcPr>
          <w:p>
            <w:pPr>
              <w:spacing w:after="0"/>
              <w:rPr>
                <w:sz w:val="20"/>
                <w:szCs w:val="20"/>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administrative agent; BA Leasing BSC, LLC, as lessor; and the lenders party thereto from time to time.</w:t>
            </w:r>
          </w:p>
        </w:tc>
      </w:tr>
      <w:tr>
        <w:trPr>
          <w:trHeight w:val="418"/>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10.2</w:t>
            </w:r>
          </w:p>
        </w:tc>
        <w:tc>
          <w:tcPr>
            <w:tcW w:w="10440" w:type="dxa"/>
            <w:vAlign w:val="bottom"/>
          </w:tcPr>
          <w:p>
            <w:pPr>
              <w:ind w:left="300"/>
              <w:spacing w:after="0"/>
              <w:rPr>
                <w:sz w:val="20"/>
                <w:szCs w:val="20"/>
                <w:color w:val="auto"/>
              </w:rPr>
            </w:pPr>
            <w:r>
              <w:rPr>
                <w:rFonts w:ascii="Arial" w:cs="Arial" w:eastAsia="Arial" w:hAnsi="Arial"/>
                <w:sz w:val="18"/>
                <w:szCs w:val="18"/>
                <w:color w:val="auto"/>
                <w:w w:val="90"/>
              </w:rPr>
              <w:t>Lease and Remedies Agreement, dated as of March 3, 2017, between Old Saw Mill Holdings LLC, as lessee, and BA Leasing BSC, LLC, as</w:t>
            </w:r>
          </w:p>
        </w:tc>
      </w:tr>
      <w:tr>
        <w:trPr>
          <w:trHeight w:val="230"/>
        </w:trPr>
        <w:tc>
          <w:tcPr>
            <w:tcW w:w="620" w:type="dxa"/>
            <w:vAlign w:val="bottom"/>
          </w:tcPr>
          <w:p>
            <w:pPr>
              <w:spacing w:after="0"/>
              <w:rPr>
                <w:sz w:val="20"/>
                <w:szCs w:val="20"/>
                <w:color w:val="auto"/>
              </w:rPr>
            </w:pPr>
          </w:p>
        </w:tc>
        <w:tc>
          <w:tcPr>
            <w:tcW w:w="10440" w:type="dxa"/>
            <w:vAlign w:val="bottom"/>
          </w:tcPr>
          <w:p>
            <w:pPr>
              <w:ind w:left="300"/>
              <w:spacing w:after="0"/>
              <w:rPr>
                <w:sz w:val="20"/>
                <w:szCs w:val="20"/>
                <w:color w:val="auto"/>
              </w:rPr>
            </w:pPr>
            <w:r>
              <w:rPr>
                <w:rFonts w:ascii="Arial" w:cs="Arial" w:eastAsia="Arial" w:hAnsi="Arial"/>
                <w:sz w:val="18"/>
                <w:szCs w:val="18"/>
                <w:color w:val="auto"/>
              </w:rPr>
              <w:t>lessor.</w:t>
            </w:r>
          </w:p>
        </w:tc>
      </w:tr>
    </w:tbl>
    <w:p>
      <w:pPr>
        <w:sectPr>
          <w:pgSz w:w="11900" w:h="16897" w:orient="portrait"/>
          <w:cols w:equalWidth="0" w:num="1">
            <w:col w:w="11420"/>
          </w:cols>
          <w:pgMar w:left="240" w:top="125" w:right="2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jc w:val="right"/>
              <w:ind w:right="210"/>
              <w:spacing w:after="0"/>
              <w:rPr>
                <w:sz w:val="20"/>
                <w:szCs w:val="20"/>
                <w:color w:val="auto"/>
              </w:rPr>
            </w:pPr>
            <w:r>
              <w:rPr>
                <w:rFonts w:ascii="Arial" w:cs="Arial" w:eastAsia="Arial" w:hAnsi="Arial"/>
                <w:sz w:val="18"/>
                <w:szCs w:val="18"/>
                <w:color w:val="auto"/>
                <w:w w:val="85"/>
              </w:rPr>
              <w:t>10.3</w:t>
            </w:r>
          </w:p>
        </w:tc>
        <w:tc>
          <w:tcPr>
            <w:tcW w:w="10840" w:type="dxa"/>
            <w:vAlign w:val="bottom"/>
          </w:tcPr>
          <w:p>
            <w:pPr>
              <w:ind w:left="300"/>
              <w:spacing w:after="0"/>
              <w:rPr>
                <w:sz w:val="20"/>
                <w:szCs w:val="20"/>
                <w:color w:val="auto"/>
              </w:rPr>
            </w:pPr>
            <w:r>
              <w:rPr>
                <w:rFonts w:ascii="Arial" w:cs="Arial" w:eastAsia="Arial" w:hAnsi="Arial"/>
                <w:sz w:val="18"/>
                <w:szCs w:val="18"/>
                <w:color w:val="auto"/>
                <w:w w:val="90"/>
              </w:rPr>
              <w:t>Guaranty, dated as of March 3, 2017, made by Regeneron Pharmaceuticals, Inc., Regeneron Healthcare Solutions, Inc. and Regeneron Genetics</w:t>
            </w:r>
          </w:p>
        </w:tc>
      </w:tr>
      <w:tr>
        <w:trPr>
          <w:trHeight w:val="230"/>
        </w:trPr>
        <w:tc>
          <w:tcPr>
            <w:tcW w:w="620" w:type="dxa"/>
            <w:vAlign w:val="bottom"/>
          </w:tcPr>
          <w:p>
            <w:pPr>
              <w:spacing w:after="0"/>
              <w:rPr>
                <w:sz w:val="20"/>
                <w:szCs w:val="20"/>
                <w:color w:val="auto"/>
              </w:rPr>
            </w:pPr>
          </w:p>
        </w:tc>
        <w:tc>
          <w:tcPr>
            <w:tcW w:w="10840" w:type="dxa"/>
            <w:vAlign w:val="bottom"/>
          </w:tcPr>
          <w:p>
            <w:pPr>
              <w:ind w:left="300"/>
              <w:spacing w:after="0"/>
              <w:rPr>
                <w:sz w:val="20"/>
                <w:szCs w:val="20"/>
                <w:color w:val="auto"/>
              </w:rPr>
            </w:pPr>
            <w:r>
              <w:rPr>
                <w:rFonts w:ascii="Arial" w:cs="Arial" w:eastAsia="Arial" w:hAnsi="Arial"/>
                <w:sz w:val="18"/>
                <w:szCs w:val="18"/>
                <w:color w:val="auto"/>
              </w:rPr>
              <w:t>Center LLC, as the initial guarantors.</w:t>
            </w:r>
          </w:p>
        </w:tc>
      </w:tr>
      <w:tr>
        <w:trPr>
          <w:trHeight w:val="432"/>
        </w:trPr>
        <w:tc>
          <w:tcPr>
            <w:tcW w:w="620" w:type="dxa"/>
            <w:vAlign w:val="bottom"/>
          </w:tcPr>
          <w:p>
            <w:pPr>
              <w:spacing w:after="0"/>
              <w:rPr>
                <w:sz w:val="24"/>
                <w:szCs w:val="24"/>
                <w:color w:val="auto"/>
              </w:rPr>
            </w:pPr>
          </w:p>
        </w:tc>
        <w:tc>
          <w:tcPr>
            <w:tcW w:w="10840" w:type="dxa"/>
            <w:vAlign w:val="bottom"/>
          </w:tcPr>
          <w:p>
            <w:pPr>
              <w:jc w:val="right"/>
              <w:ind w:right="5610"/>
              <w:spacing w:after="0"/>
              <w:rPr>
                <w:sz w:val="20"/>
                <w:szCs w:val="20"/>
                <w:color w:val="auto"/>
              </w:rPr>
            </w:pPr>
            <w:r>
              <w:rPr>
                <w:rFonts w:ascii="Arial" w:cs="Arial" w:eastAsia="Arial" w:hAnsi="Arial"/>
                <w:sz w:val="18"/>
                <w:szCs w:val="18"/>
                <w:color w:val="auto"/>
              </w:rPr>
              <w:t>4</w:t>
            </w:r>
          </w:p>
        </w:tc>
      </w:tr>
      <w:tr>
        <w:trPr>
          <w:trHeight w:val="132"/>
        </w:trPr>
        <w:tc>
          <w:tcPr>
            <w:tcW w:w="620" w:type="dxa"/>
            <w:vAlign w:val="bottom"/>
            <w:tcBorders>
              <w:bottom w:val="single" w:sz="8" w:color="808080"/>
            </w:tcBorders>
          </w:tcPr>
          <w:p>
            <w:pPr>
              <w:spacing w:after="0"/>
              <w:rPr>
                <w:sz w:val="11"/>
                <w:szCs w:val="11"/>
                <w:color w:val="auto"/>
              </w:rPr>
            </w:pPr>
          </w:p>
        </w:tc>
        <w:tc>
          <w:tcPr>
            <w:tcW w:w="108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J. LaRosa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ind w:left="410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r>
      <w:tr>
        <w:trPr>
          <w:trHeight w:val="365"/>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500" w:type="dxa"/>
            <w:vAlign w:val="bottom"/>
          </w:tcPr>
          <w:p>
            <w:pPr>
              <w:ind w:left="49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11"/>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105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Participation Agreement, dated as of March 3, 2017, by and among Old Saw Mill Holdings LLC, as lessee; Bank of America, N.A., as</w:t>
            </w:r>
          </w:p>
        </w:tc>
        <w:tc>
          <w:tcPr>
            <w:tcW w:w="40" w:type="dxa"/>
            <w:vAlign w:val="bottom"/>
          </w:tcPr>
          <w:p>
            <w:pPr>
              <w:spacing w:after="0"/>
              <w:rPr>
                <w:sz w:val="24"/>
                <w:szCs w:val="24"/>
                <w:color w:val="auto"/>
              </w:rPr>
            </w:pP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administrative agent; BA Leasing BSC, LLC, as lessor; and the lenders party thereto from time to time.</w:t>
            </w:r>
          </w:p>
        </w:tc>
        <w:tc>
          <w:tcPr>
            <w:tcW w:w="40" w:type="dxa"/>
            <w:vAlign w:val="bottom"/>
          </w:tcPr>
          <w:p>
            <w:pPr>
              <w:spacing w:after="0"/>
              <w:rPr>
                <w:sz w:val="20"/>
                <w:szCs w:val="20"/>
                <w:color w:val="auto"/>
              </w:rPr>
            </w:pP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3"/>
              </w:rPr>
              <w:t>Lease and Remedies Agreement, dated as of March 3, 2017, between Old Saw Mill Holdings LLC, as lessee, and BA Leasing BSC, LLC, as</w:t>
            </w:r>
          </w:p>
        </w:tc>
        <w:tc>
          <w:tcPr>
            <w:tcW w:w="40" w:type="dxa"/>
            <w:vAlign w:val="bottom"/>
          </w:tcPr>
          <w:p>
            <w:pPr>
              <w:spacing w:after="0"/>
              <w:rPr>
                <w:sz w:val="24"/>
                <w:szCs w:val="24"/>
                <w:color w:val="auto"/>
              </w:rPr>
            </w:pP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lessor.</w:t>
            </w:r>
          </w:p>
        </w:tc>
        <w:tc>
          <w:tcPr>
            <w:tcW w:w="40" w:type="dxa"/>
            <w:vAlign w:val="bottom"/>
          </w:tcPr>
          <w:p>
            <w:pPr>
              <w:spacing w:after="0"/>
              <w:rPr>
                <w:sz w:val="20"/>
                <w:szCs w:val="20"/>
                <w:color w:val="auto"/>
              </w:rPr>
            </w:pP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10500" w:type="dxa"/>
            <w:vAlign w:val="bottom"/>
          </w:tcPr>
          <w:p>
            <w:pPr>
              <w:spacing w:after="0"/>
              <w:rPr>
                <w:sz w:val="20"/>
                <w:szCs w:val="20"/>
                <w:color w:val="auto"/>
              </w:rPr>
            </w:pPr>
            <w:r>
              <w:rPr>
                <w:rFonts w:ascii="Arial" w:cs="Arial" w:eastAsia="Arial" w:hAnsi="Arial"/>
                <w:sz w:val="18"/>
                <w:szCs w:val="18"/>
                <w:color w:val="auto"/>
                <w:w w:val="90"/>
              </w:rPr>
              <w:t>Guaranty, dated as of March 3, 2017, made by Regeneron Pharmaceuticals, Inc., Regeneron Healthcare Solutions, Inc. and Regeneron Genetics</w:t>
            </w:r>
          </w:p>
        </w:tc>
        <w:tc>
          <w:tcPr>
            <w:tcW w:w="40" w:type="dxa"/>
            <w:vAlign w:val="bottom"/>
          </w:tcPr>
          <w:p>
            <w:pPr>
              <w:spacing w:after="0"/>
              <w:rPr>
                <w:sz w:val="24"/>
                <w:szCs w:val="24"/>
                <w:color w:val="auto"/>
              </w:rPr>
            </w:pP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Center LLC, as the initial guarantors.</w:t>
            </w:r>
          </w:p>
        </w:tc>
        <w:tc>
          <w:tcPr>
            <w:tcW w:w="40" w:type="dxa"/>
            <w:vAlign w:val="bottom"/>
          </w:tcPr>
          <w:p>
            <w:pPr>
              <w:spacing w:after="0"/>
              <w:rPr>
                <w:sz w:val="20"/>
                <w:szCs w:val="20"/>
                <w:color w:val="auto"/>
              </w:rPr>
            </w:pPr>
          </w:p>
        </w:tc>
      </w:tr>
      <w:tr>
        <w:trPr>
          <w:trHeight w:val="432"/>
        </w:trPr>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500" w:type="dxa"/>
            <w:vAlign w:val="bottom"/>
          </w:tcPr>
          <w:p>
            <w:pPr>
              <w:ind w:left="474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4"/>
                <w:szCs w:val="24"/>
                <w:color w:val="auto"/>
              </w:rPr>
            </w:pPr>
          </w:p>
        </w:tc>
      </w:tr>
      <w:tr>
        <w:trPr>
          <w:trHeight w:val="132"/>
        </w:trPr>
        <w:tc>
          <w:tcPr>
            <w:tcW w:w="7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5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spacing w:after="0" w:line="4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PARTICIPATION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March 3,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OLD SAW MILL HOLDINGS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Lessee,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 LEASING BSC,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Lessor,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not in its individual capacity, except as expressly</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stated herein, but solely as Administrative Agent,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Lenders party hereto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BANC OF AMERICA LEASING &amp; CAPITAL,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Sole Lead Arranger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TOKYO-MITSUBISHI UFJ,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Syndication Agent and Bookrunner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Bookrunner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SECTION</w:t>
            </w:r>
          </w:p>
        </w:tc>
        <w:tc>
          <w:tcPr>
            <w:tcW w:w="7460" w:type="dxa"/>
            <w:vAlign w:val="bottom"/>
            <w:tcBorders>
              <w:bottom w:val="single" w:sz="8" w:color="auto"/>
            </w:tcBorders>
          </w:tcPr>
          <w:p>
            <w:pPr>
              <w:ind w:left="4180"/>
              <w:spacing w:after="0"/>
              <w:rPr>
                <w:sz w:val="20"/>
                <w:szCs w:val="20"/>
                <w:color w:val="auto"/>
              </w:rPr>
            </w:pPr>
            <w:r>
              <w:rPr>
                <w:rFonts w:ascii="Arial" w:cs="Arial" w:eastAsia="Arial" w:hAnsi="Arial"/>
                <w:sz w:val="14"/>
                <w:szCs w:val="14"/>
                <w:b w:val="1"/>
                <w:bCs w:val="1"/>
                <w:color w:val="auto"/>
              </w:rPr>
              <w:t>HEADING</w:t>
            </w:r>
          </w:p>
        </w:tc>
        <w:tc>
          <w:tcPr>
            <w:tcW w:w="22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PAGE</w:t>
            </w:r>
          </w:p>
        </w:tc>
      </w:tr>
      <w:tr>
        <w:trPr>
          <w:trHeight w:val="426"/>
        </w:trPr>
        <w:tc>
          <w:tcPr>
            <w:tcW w:w="1680" w:type="dxa"/>
            <w:vAlign w:val="bottom"/>
          </w:tcPr>
          <w:p>
            <w:pPr>
              <w:spacing w:after="0"/>
              <w:rPr>
                <w:sz w:val="20"/>
                <w:szCs w:val="20"/>
                <w:color w:val="auto"/>
              </w:rPr>
            </w:pPr>
            <w:r>
              <w:rPr>
                <w:rFonts w:ascii="Arial" w:cs="Arial" w:eastAsia="Arial" w:hAnsi="Arial"/>
                <w:sz w:val="18"/>
                <w:szCs w:val="18"/>
                <w:color w:val="auto"/>
              </w:rPr>
              <w:t>ARTICLE I</w:t>
            </w:r>
          </w:p>
        </w:tc>
        <w:tc>
          <w:tcPr>
            <w:tcW w:w="7460" w:type="dxa"/>
            <w:vAlign w:val="bottom"/>
          </w:tcPr>
          <w:p>
            <w:pPr>
              <w:ind w:left="620"/>
              <w:spacing w:after="0"/>
              <w:rPr>
                <w:sz w:val="20"/>
                <w:szCs w:val="20"/>
                <w:color w:val="auto"/>
              </w:rPr>
            </w:pPr>
            <w:r>
              <w:rPr>
                <w:rFonts w:ascii="Arial" w:cs="Arial" w:eastAsia="Arial" w:hAnsi="Arial"/>
                <w:sz w:val="18"/>
                <w:szCs w:val="18"/>
                <w:color w:val="auto"/>
              </w:rPr>
              <w:t>DEFINITIONS; INTERPRETATION</w:t>
            </w:r>
          </w:p>
        </w:tc>
        <w:tc>
          <w:tcPr>
            <w:tcW w:w="2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680" w:type="dxa"/>
            <w:vAlign w:val="bottom"/>
          </w:tcPr>
          <w:p>
            <w:pPr>
              <w:ind w:left="180"/>
              <w:spacing w:after="0"/>
              <w:rPr>
                <w:sz w:val="20"/>
                <w:szCs w:val="20"/>
                <w:color w:val="auto"/>
              </w:rPr>
            </w:pPr>
            <w:r>
              <w:rPr>
                <w:rFonts w:ascii="Arial" w:cs="Arial" w:eastAsia="Arial" w:hAnsi="Arial"/>
                <w:sz w:val="18"/>
                <w:szCs w:val="18"/>
                <w:color w:val="auto"/>
              </w:rPr>
              <w:t>Section 1.1.</w:t>
            </w:r>
          </w:p>
        </w:tc>
        <w:tc>
          <w:tcPr>
            <w:tcW w:w="7460" w:type="dxa"/>
            <w:vAlign w:val="bottom"/>
          </w:tcPr>
          <w:p>
            <w:pPr>
              <w:ind w:left="800"/>
              <w:spacing w:after="0"/>
              <w:rPr>
                <w:sz w:val="20"/>
                <w:szCs w:val="20"/>
                <w:color w:val="auto"/>
              </w:rPr>
            </w:pPr>
            <w:r>
              <w:rPr>
                <w:rFonts w:ascii="Arial" w:cs="Arial" w:eastAsia="Arial" w:hAnsi="Arial"/>
                <w:sz w:val="18"/>
                <w:szCs w:val="18"/>
                <w:color w:val="auto"/>
              </w:rPr>
              <w:t>Definitions; Interpretation</w:t>
            </w:r>
          </w:p>
        </w:tc>
        <w:tc>
          <w:tcPr>
            <w:tcW w:w="2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680" w:type="dxa"/>
            <w:vAlign w:val="bottom"/>
          </w:tcPr>
          <w:p>
            <w:pPr>
              <w:spacing w:after="0"/>
              <w:rPr>
                <w:sz w:val="20"/>
                <w:szCs w:val="20"/>
                <w:color w:val="auto"/>
              </w:rPr>
            </w:pPr>
            <w:r>
              <w:rPr>
                <w:rFonts w:ascii="Arial" w:cs="Arial" w:eastAsia="Arial" w:hAnsi="Arial"/>
                <w:sz w:val="18"/>
                <w:szCs w:val="18"/>
                <w:color w:val="auto"/>
              </w:rPr>
              <w:t>ARTICLE II</w:t>
            </w:r>
          </w:p>
        </w:tc>
        <w:tc>
          <w:tcPr>
            <w:tcW w:w="7460" w:type="dxa"/>
            <w:vAlign w:val="bottom"/>
          </w:tcPr>
          <w:p>
            <w:pPr>
              <w:ind w:left="620"/>
              <w:spacing w:after="0"/>
              <w:rPr>
                <w:sz w:val="20"/>
                <w:szCs w:val="20"/>
                <w:color w:val="auto"/>
              </w:rPr>
            </w:pPr>
            <w:r>
              <w:rPr>
                <w:rFonts w:ascii="Arial" w:cs="Arial" w:eastAsia="Arial" w:hAnsi="Arial"/>
                <w:sz w:val="18"/>
                <w:szCs w:val="18"/>
                <w:color w:val="auto"/>
              </w:rPr>
              <w:t>DOCUMENT CLOSING DATE; ACQUISITION DATE</w:t>
            </w:r>
          </w:p>
        </w:tc>
        <w:tc>
          <w:tcPr>
            <w:tcW w:w="2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1680" w:type="dxa"/>
            <w:vAlign w:val="bottom"/>
          </w:tcPr>
          <w:p>
            <w:pPr>
              <w:ind w:left="180"/>
              <w:spacing w:after="0"/>
              <w:rPr>
                <w:sz w:val="20"/>
                <w:szCs w:val="20"/>
                <w:color w:val="auto"/>
              </w:rPr>
            </w:pPr>
            <w:r>
              <w:rPr>
                <w:rFonts w:ascii="Arial" w:cs="Arial" w:eastAsia="Arial" w:hAnsi="Arial"/>
                <w:sz w:val="18"/>
                <w:szCs w:val="18"/>
                <w:color w:val="auto"/>
              </w:rPr>
              <w:t>Section 2.1.</w:t>
            </w:r>
          </w:p>
        </w:tc>
        <w:tc>
          <w:tcPr>
            <w:tcW w:w="7460" w:type="dxa"/>
            <w:vAlign w:val="bottom"/>
          </w:tcPr>
          <w:p>
            <w:pPr>
              <w:ind w:left="800"/>
              <w:spacing w:after="0"/>
              <w:rPr>
                <w:sz w:val="20"/>
                <w:szCs w:val="20"/>
                <w:color w:val="auto"/>
              </w:rPr>
            </w:pPr>
            <w:r>
              <w:rPr>
                <w:rFonts w:ascii="Arial" w:cs="Arial" w:eastAsia="Arial" w:hAnsi="Arial"/>
                <w:sz w:val="18"/>
                <w:szCs w:val="18"/>
                <w:color w:val="auto"/>
              </w:rPr>
              <w:t>Effectiveness of Agreement</w:t>
            </w:r>
          </w:p>
        </w:tc>
        <w:tc>
          <w:tcPr>
            <w:tcW w:w="2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680" w:type="dxa"/>
            <w:vAlign w:val="bottom"/>
          </w:tcPr>
          <w:p>
            <w:pPr>
              <w:ind w:left="180"/>
              <w:spacing w:after="0"/>
              <w:rPr>
                <w:sz w:val="20"/>
                <w:szCs w:val="20"/>
                <w:color w:val="auto"/>
              </w:rPr>
            </w:pPr>
            <w:r>
              <w:rPr>
                <w:rFonts w:ascii="Arial" w:cs="Arial" w:eastAsia="Arial" w:hAnsi="Arial"/>
                <w:sz w:val="18"/>
                <w:szCs w:val="18"/>
                <w:color w:val="auto"/>
              </w:rPr>
              <w:t>Section 2.2.</w:t>
            </w:r>
          </w:p>
        </w:tc>
        <w:tc>
          <w:tcPr>
            <w:tcW w:w="7460" w:type="dxa"/>
            <w:vAlign w:val="bottom"/>
          </w:tcPr>
          <w:p>
            <w:pPr>
              <w:ind w:left="800"/>
              <w:spacing w:after="0"/>
              <w:rPr>
                <w:sz w:val="20"/>
                <w:szCs w:val="20"/>
                <w:color w:val="auto"/>
              </w:rPr>
            </w:pPr>
            <w:r>
              <w:rPr>
                <w:rFonts w:ascii="Arial" w:cs="Arial" w:eastAsia="Arial" w:hAnsi="Arial"/>
                <w:sz w:val="18"/>
                <w:szCs w:val="18"/>
                <w:color w:val="auto"/>
              </w:rPr>
              <w:t>Lease of Leased Property</w:t>
            </w:r>
          </w:p>
        </w:tc>
        <w:tc>
          <w:tcPr>
            <w:tcW w:w="2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680" w:type="dxa"/>
            <w:vAlign w:val="bottom"/>
          </w:tcPr>
          <w:p>
            <w:pPr>
              <w:ind w:left="180"/>
              <w:spacing w:after="0"/>
              <w:rPr>
                <w:sz w:val="20"/>
                <w:szCs w:val="20"/>
                <w:color w:val="auto"/>
              </w:rPr>
            </w:pPr>
            <w:r>
              <w:rPr>
                <w:rFonts w:ascii="Arial" w:cs="Arial" w:eastAsia="Arial" w:hAnsi="Arial"/>
                <w:sz w:val="18"/>
                <w:szCs w:val="18"/>
                <w:color w:val="auto"/>
              </w:rPr>
              <w:t>Section 2.3.</w:t>
            </w:r>
          </w:p>
        </w:tc>
        <w:tc>
          <w:tcPr>
            <w:tcW w:w="7460" w:type="dxa"/>
            <w:vAlign w:val="bottom"/>
          </w:tcPr>
          <w:p>
            <w:pPr>
              <w:ind w:left="800"/>
              <w:spacing w:after="0"/>
              <w:rPr>
                <w:sz w:val="20"/>
                <w:szCs w:val="20"/>
                <w:color w:val="auto"/>
              </w:rPr>
            </w:pPr>
            <w:r>
              <w:rPr>
                <w:rFonts w:ascii="Arial" w:cs="Arial" w:eastAsia="Arial" w:hAnsi="Arial"/>
                <w:sz w:val="18"/>
                <w:szCs w:val="18"/>
                <w:color w:val="auto"/>
              </w:rPr>
              <w:t>Participant Costs</w:t>
            </w:r>
          </w:p>
        </w:tc>
        <w:tc>
          <w:tcPr>
            <w:tcW w:w="2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680" w:type="dxa"/>
            <w:vAlign w:val="bottom"/>
          </w:tcPr>
          <w:p>
            <w:pPr>
              <w:spacing w:after="0"/>
              <w:rPr>
                <w:sz w:val="20"/>
                <w:szCs w:val="20"/>
                <w:color w:val="auto"/>
              </w:rPr>
            </w:pPr>
            <w:r>
              <w:rPr>
                <w:rFonts w:ascii="Arial" w:cs="Arial" w:eastAsia="Arial" w:hAnsi="Arial"/>
                <w:sz w:val="18"/>
                <w:szCs w:val="18"/>
                <w:color w:val="auto"/>
              </w:rPr>
              <w:t>ARTICLE III</w:t>
            </w:r>
          </w:p>
        </w:tc>
        <w:tc>
          <w:tcPr>
            <w:tcW w:w="7460" w:type="dxa"/>
            <w:vAlign w:val="bottom"/>
          </w:tcPr>
          <w:p>
            <w:pPr>
              <w:ind w:left="620"/>
              <w:spacing w:after="0"/>
              <w:rPr>
                <w:sz w:val="20"/>
                <w:szCs w:val="20"/>
                <w:color w:val="auto"/>
              </w:rPr>
            </w:pPr>
            <w:r>
              <w:rPr>
                <w:rFonts w:ascii="Arial" w:cs="Arial" w:eastAsia="Arial" w:hAnsi="Arial"/>
                <w:sz w:val="18"/>
                <w:szCs w:val="18"/>
                <w:color w:val="auto"/>
              </w:rPr>
              <w:t>FUNDING OF ADVANCES</w:t>
            </w:r>
          </w:p>
        </w:tc>
        <w:tc>
          <w:tcPr>
            <w:tcW w:w="2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1680" w:type="dxa"/>
            <w:vAlign w:val="bottom"/>
          </w:tcPr>
          <w:p>
            <w:pPr>
              <w:ind w:left="180"/>
              <w:spacing w:after="0"/>
              <w:rPr>
                <w:sz w:val="20"/>
                <w:szCs w:val="20"/>
                <w:color w:val="auto"/>
              </w:rPr>
            </w:pPr>
            <w:r>
              <w:rPr>
                <w:rFonts w:ascii="Arial" w:cs="Arial" w:eastAsia="Arial" w:hAnsi="Arial"/>
                <w:sz w:val="18"/>
                <w:szCs w:val="18"/>
                <w:color w:val="auto"/>
              </w:rPr>
              <w:t>Section 3.1.</w:t>
            </w:r>
          </w:p>
        </w:tc>
        <w:tc>
          <w:tcPr>
            <w:tcW w:w="7460" w:type="dxa"/>
            <w:vAlign w:val="bottom"/>
          </w:tcPr>
          <w:p>
            <w:pPr>
              <w:ind w:left="800"/>
              <w:spacing w:after="0"/>
              <w:rPr>
                <w:sz w:val="20"/>
                <w:szCs w:val="20"/>
                <w:color w:val="auto"/>
              </w:rPr>
            </w:pPr>
            <w:r>
              <w:rPr>
                <w:rFonts w:ascii="Arial" w:cs="Arial" w:eastAsia="Arial" w:hAnsi="Arial"/>
                <w:sz w:val="18"/>
                <w:szCs w:val="18"/>
                <w:color w:val="auto"/>
              </w:rPr>
              <w:t>Fundings</w:t>
            </w:r>
          </w:p>
        </w:tc>
        <w:tc>
          <w:tcPr>
            <w:tcW w:w="2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680" w:type="dxa"/>
            <w:vAlign w:val="bottom"/>
          </w:tcPr>
          <w:p>
            <w:pPr>
              <w:ind w:left="180"/>
              <w:spacing w:after="0"/>
              <w:rPr>
                <w:sz w:val="20"/>
                <w:szCs w:val="20"/>
                <w:color w:val="auto"/>
              </w:rPr>
            </w:pPr>
            <w:r>
              <w:rPr>
                <w:rFonts w:ascii="Arial" w:cs="Arial" w:eastAsia="Arial" w:hAnsi="Arial"/>
                <w:sz w:val="18"/>
                <w:szCs w:val="18"/>
                <w:color w:val="auto"/>
              </w:rPr>
              <w:t>Section 3.2.</w:t>
            </w:r>
          </w:p>
        </w:tc>
        <w:tc>
          <w:tcPr>
            <w:tcW w:w="7460" w:type="dxa"/>
            <w:vAlign w:val="bottom"/>
          </w:tcPr>
          <w:p>
            <w:pPr>
              <w:ind w:left="800"/>
              <w:spacing w:after="0"/>
              <w:rPr>
                <w:sz w:val="20"/>
                <w:szCs w:val="20"/>
                <w:color w:val="auto"/>
              </w:rPr>
            </w:pPr>
            <w:r>
              <w:rPr>
                <w:rFonts w:ascii="Arial" w:cs="Arial" w:eastAsia="Arial" w:hAnsi="Arial"/>
                <w:sz w:val="18"/>
                <w:szCs w:val="18"/>
                <w:color w:val="auto"/>
              </w:rPr>
              <w:t>Payment of Participant Costs and Fees</w:t>
            </w:r>
          </w:p>
        </w:tc>
        <w:tc>
          <w:tcPr>
            <w:tcW w:w="2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680" w:type="dxa"/>
            <w:vAlign w:val="bottom"/>
          </w:tcPr>
          <w:p>
            <w:pPr>
              <w:ind w:left="180"/>
              <w:spacing w:after="0"/>
              <w:rPr>
                <w:sz w:val="20"/>
                <w:szCs w:val="20"/>
                <w:color w:val="auto"/>
              </w:rPr>
            </w:pPr>
            <w:r>
              <w:rPr>
                <w:rFonts w:ascii="Arial" w:cs="Arial" w:eastAsia="Arial" w:hAnsi="Arial"/>
                <w:sz w:val="18"/>
                <w:szCs w:val="18"/>
                <w:color w:val="auto"/>
              </w:rPr>
              <w:t>Section 3.3.</w:t>
            </w:r>
          </w:p>
        </w:tc>
        <w:tc>
          <w:tcPr>
            <w:tcW w:w="7460" w:type="dxa"/>
            <w:vAlign w:val="bottom"/>
          </w:tcPr>
          <w:p>
            <w:pPr>
              <w:ind w:left="800"/>
              <w:spacing w:after="0"/>
              <w:rPr>
                <w:sz w:val="20"/>
                <w:szCs w:val="20"/>
                <w:color w:val="auto"/>
              </w:rPr>
            </w:pPr>
            <w:r>
              <w:rPr>
                <w:rFonts w:ascii="Arial" w:cs="Arial" w:eastAsia="Arial" w:hAnsi="Arial"/>
                <w:sz w:val="18"/>
                <w:szCs w:val="18"/>
                <w:color w:val="auto"/>
              </w:rPr>
              <w:t>Advance Request</w:t>
            </w:r>
          </w:p>
        </w:tc>
        <w:tc>
          <w:tcPr>
            <w:tcW w:w="2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1680" w:type="dxa"/>
            <w:vAlign w:val="bottom"/>
          </w:tcPr>
          <w:p>
            <w:pPr>
              <w:ind w:left="180"/>
              <w:spacing w:after="0"/>
              <w:rPr>
                <w:sz w:val="20"/>
                <w:szCs w:val="20"/>
                <w:color w:val="auto"/>
              </w:rPr>
            </w:pPr>
            <w:r>
              <w:rPr>
                <w:rFonts w:ascii="Arial" w:cs="Arial" w:eastAsia="Arial" w:hAnsi="Arial"/>
                <w:sz w:val="18"/>
                <w:szCs w:val="18"/>
                <w:color w:val="auto"/>
              </w:rPr>
              <w:t>Section 3.4.</w:t>
            </w:r>
          </w:p>
        </w:tc>
        <w:tc>
          <w:tcPr>
            <w:tcW w:w="7460" w:type="dxa"/>
            <w:vAlign w:val="bottom"/>
          </w:tcPr>
          <w:p>
            <w:pPr>
              <w:ind w:left="800"/>
              <w:spacing w:after="0"/>
              <w:rPr>
                <w:sz w:val="20"/>
                <w:szCs w:val="20"/>
                <w:color w:val="auto"/>
              </w:rPr>
            </w:pPr>
            <w:r>
              <w:rPr>
                <w:rFonts w:ascii="Arial" w:cs="Arial" w:eastAsia="Arial" w:hAnsi="Arial"/>
                <w:sz w:val="18"/>
                <w:szCs w:val="18"/>
                <w:color w:val="auto"/>
              </w:rPr>
              <w:t>Assignment of Purchase Option</w:t>
            </w:r>
          </w:p>
        </w:tc>
        <w:tc>
          <w:tcPr>
            <w:tcW w:w="2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680" w:type="dxa"/>
            <w:vAlign w:val="bottom"/>
          </w:tcPr>
          <w:p>
            <w:pPr>
              <w:spacing w:after="0"/>
              <w:rPr>
                <w:sz w:val="20"/>
                <w:szCs w:val="20"/>
                <w:color w:val="auto"/>
              </w:rPr>
            </w:pPr>
            <w:r>
              <w:rPr>
                <w:rFonts w:ascii="Arial" w:cs="Arial" w:eastAsia="Arial" w:hAnsi="Arial"/>
                <w:sz w:val="18"/>
                <w:szCs w:val="18"/>
                <w:color w:val="auto"/>
              </w:rPr>
              <w:t>ARTICLE IV</w:t>
            </w:r>
          </w:p>
        </w:tc>
        <w:tc>
          <w:tcPr>
            <w:tcW w:w="7460" w:type="dxa"/>
            <w:vAlign w:val="bottom"/>
          </w:tcPr>
          <w:p>
            <w:pPr>
              <w:ind w:left="620"/>
              <w:spacing w:after="0"/>
              <w:rPr>
                <w:sz w:val="20"/>
                <w:szCs w:val="20"/>
                <w:color w:val="auto"/>
              </w:rPr>
            </w:pPr>
            <w:r>
              <w:rPr>
                <w:rFonts w:ascii="Arial" w:cs="Arial" w:eastAsia="Arial" w:hAnsi="Arial"/>
                <w:sz w:val="18"/>
                <w:szCs w:val="18"/>
                <w:color w:val="auto"/>
              </w:rPr>
              <w:t>YIELD; INTEREST</w:t>
            </w:r>
          </w:p>
        </w:tc>
        <w:tc>
          <w:tcPr>
            <w:tcW w:w="2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8"/>
        </w:trPr>
        <w:tc>
          <w:tcPr>
            <w:tcW w:w="1680" w:type="dxa"/>
            <w:vAlign w:val="bottom"/>
          </w:tcPr>
          <w:p>
            <w:pPr>
              <w:ind w:left="180"/>
              <w:spacing w:after="0"/>
              <w:rPr>
                <w:sz w:val="20"/>
                <w:szCs w:val="20"/>
                <w:color w:val="auto"/>
              </w:rPr>
            </w:pPr>
            <w:r>
              <w:rPr>
                <w:rFonts w:ascii="Arial" w:cs="Arial" w:eastAsia="Arial" w:hAnsi="Arial"/>
                <w:sz w:val="18"/>
                <w:szCs w:val="18"/>
                <w:color w:val="auto"/>
              </w:rPr>
              <w:t>Section 4.1.</w:t>
            </w:r>
          </w:p>
        </w:tc>
        <w:tc>
          <w:tcPr>
            <w:tcW w:w="7460" w:type="dxa"/>
            <w:vAlign w:val="bottom"/>
          </w:tcPr>
          <w:p>
            <w:pPr>
              <w:ind w:left="800"/>
              <w:spacing w:after="0"/>
              <w:rPr>
                <w:sz w:val="20"/>
                <w:szCs w:val="20"/>
                <w:color w:val="auto"/>
              </w:rPr>
            </w:pPr>
            <w:r>
              <w:rPr>
                <w:rFonts w:ascii="Arial" w:cs="Arial" w:eastAsia="Arial" w:hAnsi="Arial"/>
                <w:sz w:val="18"/>
                <w:szCs w:val="18"/>
                <w:color w:val="auto"/>
              </w:rPr>
              <w:t>Yield</w:t>
            </w:r>
          </w:p>
        </w:tc>
        <w:tc>
          <w:tcPr>
            <w:tcW w:w="2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680" w:type="dxa"/>
            <w:vAlign w:val="bottom"/>
          </w:tcPr>
          <w:p>
            <w:pPr>
              <w:ind w:left="180"/>
              <w:spacing w:after="0"/>
              <w:rPr>
                <w:sz w:val="20"/>
                <w:szCs w:val="20"/>
                <w:color w:val="auto"/>
              </w:rPr>
            </w:pPr>
            <w:r>
              <w:rPr>
                <w:rFonts w:ascii="Arial" w:cs="Arial" w:eastAsia="Arial" w:hAnsi="Arial"/>
                <w:sz w:val="18"/>
                <w:szCs w:val="18"/>
                <w:color w:val="auto"/>
              </w:rPr>
              <w:t>Section 4.2.</w:t>
            </w:r>
          </w:p>
        </w:tc>
        <w:tc>
          <w:tcPr>
            <w:tcW w:w="7460" w:type="dxa"/>
            <w:vAlign w:val="bottom"/>
          </w:tcPr>
          <w:p>
            <w:pPr>
              <w:ind w:left="800"/>
              <w:spacing w:after="0"/>
              <w:rPr>
                <w:sz w:val="20"/>
                <w:szCs w:val="20"/>
                <w:color w:val="auto"/>
              </w:rPr>
            </w:pPr>
            <w:r>
              <w:rPr>
                <w:rFonts w:ascii="Arial" w:cs="Arial" w:eastAsia="Arial" w:hAnsi="Arial"/>
                <w:sz w:val="18"/>
                <w:szCs w:val="18"/>
                <w:color w:val="auto"/>
              </w:rPr>
              <w:t>Interest on Loans</w:t>
            </w:r>
          </w:p>
        </w:tc>
        <w:tc>
          <w:tcPr>
            <w:tcW w:w="2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680" w:type="dxa"/>
            <w:vAlign w:val="bottom"/>
          </w:tcPr>
          <w:p>
            <w:pPr>
              <w:ind w:left="180"/>
              <w:spacing w:after="0"/>
              <w:rPr>
                <w:sz w:val="20"/>
                <w:szCs w:val="20"/>
                <w:color w:val="auto"/>
              </w:rPr>
            </w:pPr>
            <w:r>
              <w:rPr>
                <w:rFonts w:ascii="Arial" w:cs="Arial" w:eastAsia="Arial" w:hAnsi="Arial"/>
                <w:sz w:val="18"/>
                <w:szCs w:val="18"/>
                <w:color w:val="auto"/>
              </w:rPr>
              <w:t>Section 4.3.</w:t>
            </w:r>
          </w:p>
        </w:tc>
        <w:tc>
          <w:tcPr>
            <w:tcW w:w="7460" w:type="dxa"/>
            <w:vAlign w:val="bottom"/>
          </w:tcPr>
          <w:p>
            <w:pPr>
              <w:ind w:left="800"/>
              <w:spacing w:after="0"/>
              <w:rPr>
                <w:sz w:val="20"/>
                <w:szCs w:val="20"/>
                <w:color w:val="auto"/>
              </w:rPr>
            </w:pPr>
            <w:r>
              <w:rPr>
                <w:rFonts w:ascii="Arial" w:cs="Arial" w:eastAsia="Arial" w:hAnsi="Arial"/>
                <w:sz w:val="18"/>
                <w:szCs w:val="18"/>
                <w:color w:val="auto"/>
              </w:rPr>
              <w:t>Payments of Rent; and Payments and Prepayments of Funded Amounts</w:t>
            </w:r>
          </w:p>
        </w:tc>
        <w:tc>
          <w:tcPr>
            <w:tcW w:w="2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680" w:type="dxa"/>
            <w:vAlign w:val="bottom"/>
          </w:tcPr>
          <w:p>
            <w:pPr>
              <w:ind w:left="180"/>
              <w:spacing w:after="0"/>
              <w:rPr>
                <w:sz w:val="20"/>
                <w:szCs w:val="20"/>
                <w:color w:val="auto"/>
              </w:rPr>
            </w:pPr>
            <w:r>
              <w:rPr>
                <w:rFonts w:ascii="Arial" w:cs="Arial" w:eastAsia="Arial" w:hAnsi="Arial"/>
                <w:sz w:val="18"/>
                <w:szCs w:val="18"/>
                <w:color w:val="auto"/>
              </w:rPr>
              <w:t>Section 4.4.</w:t>
            </w:r>
          </w:p>
        </w:tc>
        <w:tc>
          <w:tcPr>
            <w:tcW w:w="7460" w:type="dxa"/>
            <w:vAlign w:val="bottom"/>
          </w:tcPr>
          <w:p>
            <w:pPr>
              <w:ind w:left="800"/>
              <w:spacing w:after="0"/>
              <w:rPr>
                <w:sz w:val="20"/>
                <w:szCs w:val="20"/>
                <w:color w:val="auto"/>
              </w:rPr>
            </w:pPr>
            <w:r>
              <w:rPr>
                <w:rFonts w:ascii="Arial" w:cs="Arial" w:eastAsia="Arial" w:hAnsi="Arial"/>
                <w:sz w:val="18"/>
                <w:szCs w:val="18"/>
                <w:color w:val="auto"/>
              </w:rPr>
              <w:t>Fees</w:t>
            </w:r>
          </w:p>
        </w:tc>
        <w:tc>
          <w:tcPr>
            <w:tcW w:w="2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80" w:type="dxa"/>
            <w:vAlign w:val="bottom"/>
          </w:tcPr>
          <w:p>
            <w:pPr>
              <w:ind w:left="180"/>
              <w:spacing w:after="0"/>
              <w:rPr>
                <w:sz w:val="20"/>
                <w:szCs w:val="20"/>
                <w:color w:val="auto"/>
              </w:rPr>
            </w:pPr>
            <w:r>
              <w:rPr>
                <w:rFonts w:ascii="Arial" w:cs="Arial" w:eastAsia="Arial" w:hAnsi="Arial"/>
                <w:sz w:val="18"/>
                <w:szCs w:val="18"/>
                <w:color w:val="auto"/>
              </w:rPr>
              <w:t>Section 4.5.</w:t>
            </w:r>
          </w:p>
        </w:tc>
        <w:tc>
          <w:tcPr>
            <w:tcW w:w="7460" w:type="dxa"/>
            <w:vAlign w:val="bottom"/>
          </w:tcPr>
          <w:p>
            <w:pPr>
              <w:ind w:left="800"/>
              <w:spacing w:after="0"/>
              <w:rPr>
                <w:sz w:val="20"/>
                <w:szCs w:val="20"/>
                <w:color w:val="auto"/>
              </w:rPr>
            </w:pPr>
            <w:r>
              <w:rPr>
                <w:rFonts w:ascii="Arial" w:cs="Arial" w:eastAsia="Arial" w:hAnsi="Arial"/>
                <w:sz w:val="18"/>
                <w:szCs w:val="18"/>
                <w:color w:val="auto"/>
              </w:rPr>
              <w:t>Obligations Several</w:t>
            </w:r>
          </w:p>
        </w:tc>
        <w:tc>
          <w:tcPr>
            <w:tcW w:w="2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80" w:type="dxa"/>
            <w:vAlign w:val="bottom"/>
          </w:tcPr>
          <w:p>
            <w:pPr>
              <w:ind w:left="180"/>
              <w:spacing w:after="0"/>
              <w:rPr>
                <w:sz w:val="20"/>
                <w:szCs w:val="20"/>
                <w:color w:val="auto"/>
              </w:rPr>
            </w:pPr>
            <w:r>
              <w:rPr>
                <w:rFonts w:ascii="Arial" w:cs="Arial" w:eastAsia="Arial" w:hAnsi="Arial"/>
                <w:sz w:val="18"/>
                <w:szCs w:val="18"/>
                <w:color w:val="auto"/>
              </w:rPr>
              <w:t>Section 4.6.</w:t>
            </w:r>
          </w:p>
        </w:tc>
        <w:tc>
          <w:tcPr>
            <w:tcW w:w="7460" w:type="dxa"/>
            <w:vAlign w:val="bottom"/>
          </w:tcPr>
          <w:p>
            <w:pPr>
              <w:ind w:left="800"/>
              <w:spacing w:after="0"/>
              <w:rPr>
                <w:sz w:val="20"/>
                <w:szCs w:val="20"/>
                <w:color w:val="auto"/>
              </w:rPr>
            </w:pPr>
            <w:r>
              <w:rPr>
                <w:rFonts w:ascii="Arial" w:cs="Arial" w:eastAsia="Arial" w:hAnsi="Arial"/>
                <w:sz w:val="18"/>
                <w:szCs w:val="18"/>
                <w:color w:val="auto"/>
              </w:rPr>
              <w:t>Highest Lawful Rate</w:t>
            </w:r>
          </w:p>
        </w:tc>
        <w:tc>
          <w:tcPr>
            <w:tcW w:w="2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680" w:type="dxa"/>
            <w:vAlign w:val="bottom"/>
          </w:tcPr>
          <w:p>
            <w:pPr>
              <w:ind w:left="180"/>
              <w:spacing w:after="0"/>
              <w:rPr>
                <w:sz w:val="20"/>
                <w:szCs w:val="20"/>
                <w:color w:val="auto"/>
              </w:rPr>
            </w:pPr>
            <w:r>
              <w:rPr>
                <w:rFonts w:ascii="Arial" w:cs="Arial" w:eastAsia="Arial" w:hAnsi="Arial"/>
                <w:sz w:val="18"/>
                <w:szCs w:val="18"/>
                <w:color w:val="auto"/>
              </w:rPr>
              <w:t>Section 4.7.</w:t>
            </w:r>
          </w:p>
        </w:tc>
        <w:tc>
          <w:tcPr>
            <w:tcW w:w="7460" w:type="dxa"/>
            <w:vAlign w:val="bottom"/>
          </w:tcPr>
          <w:p>
            <w:pPr>
              <w:ind w:left="800"/>
              <w:spacing w:after="0"/>
              <w:rPr>
                <w:sz w:val="20"/>
                <w:szCs w:val="20"/>
                <w:color w:val="auto"/>
              </w:rPr>
            </w:pPr>
            <w:r>
              <w:rPr>
                <w:rFonts w:ascii="Arial" w:cs="Arial" w:eastAsia="Arial" w:hAnsi="Arial"/>
                <w:sz w:val="18"/>
                <w:szCs w:val="18"/>
                <w:color w:val="auto"/>
              </w:rPr>
              <w:t>Renewal of Lease</w:t>
            </w:r>
          </w:p>
        </w:tc>
        <w:tc>
          <w:tcPr>
            <w:tcW w:w="2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1680" w:type="dxa"/>
            <w:vAlign w:val="bottom"/>
          </w:tcPr>
          <w:p>
            <w:pPr>
              <w:spacing w:after="0"/>
              <w:rPr>
                <w:sz w:val="20"/>
                <w:szCs w:val="20"/>
                <w:color w:val="auto"/>
              </w:rPr>
            </w:pPr>
            <w:r>
              <w:rPr>
                <w:rFonts w:ascii="Arial" w:cs="Arial" w:eastAsia="Arial" w:hAnsi="Arial"/>
                <w:sz w:val="18"/>
                <w:szCs w:val="18"/>
                <w:color w:val="auto"/>
              </w:rPr>
              <w:t>ARTICLE V</w:t>
            </w:r>
          </w:p>
        </w:tc>
        <w:tc>
          <w:tcPr>
            <w:tcW w:w="7460" w:type="dxa"/>
            <w:vAlign w:val="bottom"/>
          </w:tcPr>
          <w:p>
            <w:pPr>
              <w:ind w:left="620"/>
              <w:spacing w:after="0"/>
              <w:rPr>
                <w:sz w:val="20"/>
                <w:szCs w:val="20"/>
                <w:color w:val="auto"/>
              </w:rPr>
            </w:pPr>
            <w:r>
              <w:rPr>
                <w:rFonts w:ascii="Arial" w:cs="Arial" w:eastAsia="Arial" w:hAnsi="Arial"/>
                <w:sz w:val="18"/>
                <w:szCs w:val="18"/>
                <w:color w:val="auto"/>
              </w:rPr>
              <w:t>CERTAIN INTENTIONS OF THE PARTIES</w:t>
            </w:r>
          </w:p>
        </w:tc>
        <w:tc>
          <w:tcPr>
            <w:tcW w:w="2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8"/>
        </w:trPr>
        <w:tc>
          <w:tcPr>
            <w:tcW w:w="1680" w:type="dxa"/>
            <w:vAlign w:val="bottom"/>
          </w:tcPr>
          <w:p>
            <w:pPr>
              <w:ind w:left="180"/>
              <w:spacing w:after="0"/>
              <w:rPr>
                <w:sz w:val="20"/>
                <w:szCs w:val="20"/>
                <w:color w:val="auto"/>
              </w:rPr>
            </w:pPr>
            <w:r>
              <w:rPr>
                <w:rFonts w:ascii="Arial" w:cs="Arial" w:eastAsia="Arial" w:hAnsi="Arial"/>
                <w:sz w:val="18"/>
                <w:szCs w:val="18"/>
                <w:color w:val="auto"/>
              </w:rPr>
              <w:t>Section 5.1.</w:t>
            </w:r>
          </w:p>
        </w:tc>
        <w:tc>
          <w:tcPr>
            <w:tcW w:w="7460" w:type="dxa"/>
            <w:vAlign w:val="bottom"/>
          </w:tcPr>
          <w:p>
            <w:pPr>
              <w:ind w:left="800"/>
              <w:spacing w:after="0"/>
              <w:rPr>
                <w:sz w:val="20"/>
                <w:szCs w:val="20"/>
                <w:color w:val="auto"/>
              </w:rPr>
            </w:pPr>
            <w:r>
              <w:rPr>
                <w:rFonts w:ascii="Arial" w:cs="Arial" w:eastAsia="Arial" w:hAnsi="Arial"/>
                <w:sz w:val="18"/>
                <w:szCs w:val="18"/>
                <w:color w:val="auto"/>
              </w:rPr>
              <w:t>Nature of Transaction</w:t>
            </w:r>
          </w:p>
        </w:tc>
        <w:tc>
          <w:tcPr>
            <w:tcW w:w="2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680" w:type="dxa"/>
            <w:vAlign w:val="bottom"/>
          </w:tcPr>
          <w:p>
            <w:pPr>
              <w:ind w:left="180"/>
              <w:spacing w:after="0"/>
              <w:rPr>
                <w:sz w:val="20"/>
                <w:szCs w:val="20"/>
                <w:color w:val="auto"/>
              </w:rPr>
            </w:pPr>
            <w:r>
              <w:rPr>
                <w:rFonts w:ascii="Arial" w:cs="Arial" w:eastAsia="Arial" w:hAnsi="Arial"/>
                <w:sz w:val="18"/>
                <w:szCs w:val="18"/>
                <w:color w:val="auto"/>
              </w:rPr>
              <w:t>Section 5.2.</w:t>
            </w:r>
          </w:p>
        </w:tc>
        <w:tc>
          <w:tcPr>
            <w:tcW w:w="7460" w:type="dxa"/>
            <w:vAlign w:val="bottom"/>
          </w:tcPr>
          <w:p>
            <w:pPr>
              <w:ind w:left="800"/>
              <w:spacing w:after="0"/>
              <w:rPr>
                <w:sz w:val="20"/>
                <w:szCs w:val="20"/>
                <w:color w:val="auto"/>
              </w:rPr>
            </w:pPr>
            <w:r>
              <w:rPr>
                <w:rFonts w:ascii="Arial" w:cs="Arial" w:eastAsia="Arial" w:hAnsi="Arial"/>
                <w:sz w:val="18"/>
                <w:szCs w:val="18"/>
                <w:color w:val="auto"/>
              </w:rPr>
              <w:t>Amounts Due Under Lease</w:t>
            </w:r>
          </w:p>
        </w:tc>
        <w:tc>
          <w:tcPr>
            <w:tcW w:w="2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680" w:type="dxa"/>
            <w:vAlign w:val="bottom"/>
          </w:tcPr>
          <w:p>
            <w:pPr>
              <w:ind w:left="180"/>
              <w:spacing w:after="0"/>
              <w:rPr>
                <w:sz w:val="20"/>
                <w:szCs w:val="20"/>
                <w:color w:val="auto"/>
              </w:rPr>
            </w:pPr>
            <w:r>
              <w:rPr>
                <w:rFonts w:ascii="Arial" w:cs="Arial" w:eastAsia="Arial" w:hAnsi="Arial"/>
                <w:sz w:val="18"/>
                <w:szCs w:val="18"/>
                <w:color w:val="auto"/>
              </w:rPr>
              <w:t>Section 5.3.</w:t>
            </w:r>
          </w:p>
        </w:tc>
        <w:tc>
          <w:tcPr>
            <w:tcW w:w="7460" w:type="dxa"/>
            <w:vAlign w:val="bottom"/>
          </w:tcPr>
          <w:p>
            <w:pPr>
              <w:ind w:left="800"/>
              <w:spacing w:after="0"/>
              <w:rPr>
                <w:sz w:val="20"/>
                <w:szCs w:val="20"/>
                <w:color w:val="auto"/>
              </w:rPr>
            </w:pPr>
            <w:r>
              <w:rPr>
                <w:rFonts w:ascii="Arial" w:cs="Arial" w:eastAsia="Arial" w:hAnsi="Arial"/>
                <w:sz w:val="18"/>
                <w:szCs w:val="18"/>
                <w:color w:val="auto"/>
              </w:rPr>
              <w:t>Distribution</w:t>
            </w:r>
          </w:p>
        </w:tc>
        <w:tc>
          <w:tcPr>
            <w:tcW w:w="2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680" w:type="dxa"/>
            <w:vAlign w:val="bottom"/>
          </w:tcPr>
          <w:p>
            <w:pPr>
              <w:ind w:left="180"/>
              <w:spacing w:after="0"/>
              <w:rPr>
                <w:sz w:val="20"/>
                <w:szCs w:val="20"/>
                <w:color w:val="auto"/>
              </w:rPr>
            </w:pPr>
            <w:r>
              <w:rPr>
                <w:rFonts w:ascii="Arial" w:cs="Arial" w:eastAsia="Arial" w:hAnsi="Arial"/>
                <w:sz w:val="18"/>
                <w:szCs w:val="18"/>
                <w:color w:val="auto"/>
              </w:rPr>
              <w:t>Section 5.4.</w:t>
            </w:r>
          </w:p>
        </w:tc>
        <w:tc>
          <w:tcPr>
            <w:tcW w:w="7460" w:type="dxa"/>
            <w:vAlign w:val="bottom"/>
          </w:tcPr>
          <w:p>
            <w:pPr>
              <w:ind w:left="800"/>
              <w:spacing w:after="0"/>
              <w:rPr>
                <w:sz w:val="20"/>
                <w:szCs w:val="20"/>
                <w:color w:val="auto"/>
              </w:rPr>
            </w:pPr>
            <w:r>
              <w:rPr>
                <w:rFonts w:ascii="Arial" w:cs="Arial" w:eastAsia="Arial" w:hAnsi="Arial"/>
                <w:sz w:val="18"/>
                <w:szCs w:val="18"/>
                <w:color w:val="auto"/>
              </w:rPr>
              <w:t>Adjustments</w:t>
            </w:r>
          </w:p>
        </w:tc>
        <w:tc>
          <w:tcPr>
            <w:tcW w:w="2280" w:type="dxa"/>
            <w:vAlign w:val="bottom"/>
          </w:tcPr>
          <w:p>
            <w:pPr>
              <w:jc w:val="right"/>
              <w:spacing w:after="0"/>
              <w:rPr>
                <w:sz w:val="20"/>
                <w:szCs w:val="20"/>
                <w:color w:val="auto"/>
              </w:rPr>
            </w:pPr>
            <w:r>
              <w:rPr>
                <w:rFonts w:ascii="Arial" w:cs="Arial" w:eastAsia="Arial" w:hAnsi="Arial"/>
                <w:sz w:val="18"/>
                <w:szCs w:val="18"/>
                <w:color w:val="auto"/>
              </w:rPr>
              <w:t>12</w:t>
            </w:r>
          </w:p>
        </w:tc>
      </w:tr>
    </w:tbl>
    <w:p>
      <w:pPr>
        <w:sectPr>
          <w:pgSz w:w="11900" w:h="16884" w:orient="portrait"/>
          <w:cols w:equalWidth="0" w:num="1">
            <w:col w:w="11420"/>
          </w:cols>
          <w:pgMar w:left="240" w:top="121" w:right="239" w:bottom="0" w:gutter="0" w:footer="0" w:header="0"/>
        </w:sectPr>
      </w:pPr>
    </w:p>
    <w:bookmarkStart w:id="4" w:name="page5"/>
    <w:bookmarkEnd w:id="4"/>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ARTICLE VI</w:t>
            </w:r>
          </w:p>
        </w:tc>
        <w:tc>
          <w:tcPr>
            <w:tcW w:w="7820" w:type="dxa"/>
            <w:vAlign w:val="bottom"/>
          </w:tcPr>
          <w:p>
            <w:pPr>
              <w:ind w:left="540"/>
              <w:spacing w:after="0"/>
              <w:rPr>
                <w:sz w:val="20"/>
                <w:szCs w:val="20"/>
                <w:color w:val="auto"/>
              </w:rPr>
            </w:pPr>
            <w:r>
              <w:rPr>
                <w:rFonts w:ascii="Arial" w:cs="Arial" w:eastAsia="Arial" w:hAnsi="Arial"/>
                <w:sz w:val="18"/>
                <w:szCs w:val="18"/>
                <w:color w:val="auto"/>
              </w:rPr>
              <w:t>CONDITIONS PRECEDENT TO THE ADVANCE</w:t>
            </w:r>
          </w:p>
        </w:tc>
        <w:tc>
          <w:tcPr>
            <w:tcW w:w="1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1760" w:type="dxa"/>
            <w:vAlign w:val="bottom"/>
          </w:tcPr>
          <w:p>
            <w:pPr>
              <w:ind w:left="180"/>
              <w:spacing w:after="0"/>
              <w:rPr>
                <w:sz w:val="20"/>
                <w:szCs w:val="20"/>
                <w:color w:val="auto"/>
              </w:rPr>
            </w:pPr>
            <w:r>
              <w:rPr>
                <w:rFonts w:ascii="Arial" w:cs="Arial" w:eastAsia="Arial" w:hAnsi="Arial"/>
                <w:sz w:val="18"/>
                <w:szCs w:val="18"/>
                <w:color w:val="auto"/>
              </w:rPr>
              <w:t>Section 6.1.</w:t>
            </w:r>
          </w:p>
        </w:tc>
        <w:tc>
          <w:tcPr>
            <w:tcW w:w="7820" w:type="dxa"/>
            <w:vAlign w:val="bottom"/>
          </w:tcPr>
          <w:p>
            <w:pPr>
              <w:ind w:left="720"/>
              <w:spacing w:after="0"/>
              <w:rPr>
                <w:sz w:val="20"/>
                <w:szCs w:val="20"/>
                <w:color w:val="auto"/>
              </w:rPr>
            </w:pPr>
            <w:r>
              <w:rPr>
                <w:rFonts w:ascii="Arial" w:cs="Arial" w:eastAsia="Arial" w:hAnsi="Arial"/>
                <w:sz w:val="18"/>
                <w:szCs w:val="18"/>
                <w:color w:val="auto"/>
              </w:rPr>
              <w:t>Conditions Precedent to the Advance</w:t>
            </w:r>
          </w:p>
        </w:tc>
        <w:tc>
          <w:tcPr>
            <w:tcW w:w="1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1760" w:type="dxa"/>
            <w:vAlign w:val="bottom"/>
          </w:tcPr>
          <w:p>
            <w:pPr>
              <w:spacing w:after="0"/>
              <w:rPr>
                <w:sz w:val="20"/>
                <w:szCs w:val="20"/>
                <w:color w:val="auto"/>
              </w:rPr>
            </w:pPr>
            <w:r>
              <w:rPr>
                <w:rFonts w:ascii="Arial" w:cs="Arial" w:eastAsia="Arial" w:hAnsi="Arial"/>
                <w:sz w:val="18"/>
                <w:szCs w:val="18"/>
                <w:color w:val="auto"/>
              </w:rPr>
              <w:t>ARTICLE VII</w:t>
            </w:r>
          </w:p>
        </w:tc>
        <w:tc>
          <w:tcPr>
            <w:tcW w:w="7820" w:type="dxa"/>
            <w:vAlign w:val="bottom"/>
          </w:tcPr>
          <w:p>
            <w:pPr>
              <w:ind w:left="540"/>
              <w:spacing w:after="0"/>
              <w:rPr>
                <w:sz w:val="20"/>
                <w:szCs w:val="20"/>
                <w:color w:val="auto"/>
              </w:rPr>
            </w:pPr>
            <w:r>
              <w:rPr>
                <w:rFonts w:ascii="Arial" w:cs="Arial" w:eastAsia="Arial" w:hAnsi="Arial"/>
                <w:sz w:val="18"/>
                <w:szCs w:val="18"/>
                <w:color w:val="auto"/>
              </w:rPr>
              <w:t>[OMITTED]</w:t>
            </w:r>
          </w:p>
        </w:tc>
        <w:tc>
          <w:tcPr>
            <w:tcW w:w="1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760" w:type="dxa"/>
            <w:vAlign w:val="bottom"/>
          </w:tcPr>
          <w:p>
            <w:pPr>
              <w:spacing w:after="0"/>
              <w:rPr>
                <w:sz w:val="20"/>
                <w:szCs w:val="20"/>
                <w:color w:val="auto"/>
              </w:rPr>
            </w:pPr>
            <w:r>
              <w:rPr>
                <w:rFonts w:ascii="Arial" w:cs="Arial" w:eastAsia="Arial" w:hAnsi="Arial"/>
                <w:sz w:val="18"/>
                <w:szCs w:val="18"/>
                <w:color w:val="auto"/>
              </w:rPr>
              <w:t>ARTICLE VIII</w:t>
            </w:r>
          </w:p>
        </w:tc>
        <w:tc>
          <w:tcPr>
            <w:tcW w:w="7820" w:type="dxa"/>
            <w:vAlign w:val="bottom"/>
          </w:tcPr>
          <w:p>
            <w:pPr>
              <w:ind w:left="540"/>
              <w:spacing w:after="0"/>
              <w:rPr>
                <w:sz w:val="20"/>
                <w:szCs w:val="20"/>
                <w:color w:val="auto"/>
              </w:rPr>
            </w:pPr>
            <w:r>
              <w:rPr>
                <w:rFonts w:ascii="Arial" w:cs="Arial" w:eastAsia="Arial" w:hAnsi="Arial"/>
                <w:sz w:val="18"/>
                <w:szCs w:val="18"/>
                <w:color w:val="auto"/>
              </w:rPr>
              <w:t>REPRESENTATIONS</w:t>
            </w:r>
          </w:p>
        </w:tc>
        <w:tc>
          <w:tcPr>
            <w:tcW w:w="1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8"/>
        </w:trPr>
        <w:tc>
          <w:tcPr>
            <w:tcW w:w="1760" w:type="dxa"/>
            <w:vAlign w:val="bottom"/>
          </w:tcPr>
          <w:p>
            <w:pPr>
              <w:ind w:left="180"/>
              <w:spacing w:after="0"/>
              <w:rPr>
                <w:sz w:val="20"/>
                <w:szCs w:val="20"/>
                <w:color w:val="auto"/>
              </w:rPr>
            </w:pPr>
            <w:r>
              <w:rPr>
                <w:rFonts w:ascii="Arial" w:cs="Arial" w:eastAsia="Arial" w:hAnsi="Arial"/>
                <w:sz w:val="18"/>
                <w:szCs w:val="18"/>
                <w:color w:val="auto"/>
              </w:rPr>
              <w:t>Section 8.1.</w:t>
            </w:r>
          </w:p>
        </w:tc>
        <w:tc>
          <w:tcPr>
            <w:tcW w:w="7820" w:type="dxa"/>
            <w:vAlign w:val="bottom"/>
          </w:tcPr>
          <w:p>
            <w:pPr>
              <w:ind w:left="720"/>
              <w:spacing w:after="0"/>
              <w:rPr>
                <w:sz w:val="20"/>
                <w:szCs w:val="20"/>
                <w:color w:val="auto"/>
              </w:rPr>
            </w:pPr>
            <w:r>
              <w:rPr>
                <w:rFonts w:ascii="Arial" w:cs="Arial" w:eastAsia="Arial" w:hAnsi="Arial"/>
                <w:sz w:val="18"/>
                <w:szCs w:val="18"/>
                <w:color w:val="auto"/>
              </w:rPr>
              <w:t>Representations of the Participants</w:t>
            </w:r>
          </w:p>
        </w:tc>
        <w:tc>
          <w:tcPr>
            <w:tcW w:w="18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760" w:type="dxa"/>
            <w:vAlign w:val="bottom"/>
          </w:tcPr>
          <w:p>
            <w:pPr>
              <w:ind w:left="180"/>
              <w:spacing w:after="0"/>
              <w:rPr>
                <w:sz w:val="20"/>
                <w:szCs w:val="20"/>
                <w:color w:val="auto"/>
              </w:rPr>
            </w:pPr>
            <w:r>
              <w:rPr>
                <w:rFonts w:ascii="Arial" w:cs="Arial" w:eastAsia="Arial" w:hAnsi="Arial"/>
                <w:sz w:val="18"/>
                <w:szCs w:val="18"/>
                <w:color w:val="auto"/>
              </w:rPr>
              <w:t>Section 8.2.</w:t>
            </w:r>
          </w:p>
        </w:tc>
        <w:tc>
          <w:tcPr>
            <w:tcW w:w="7820" w:type="dxa"/>
            <w:vAlign w:val="bottom"/>
          </w:tcPr>
          <w:p>
            <w:pPr>
              <w:ind w:left="720"/>
              <w:spacing w:after="0"/>
              <w:rPr>
                <w:sz w:val="20"/>
                <w:szCs w:val="20"/>
                <w:color w:val="auto"/>
              </w:rPr>
            </w:pPr>
            <w:r>
              <w:rPr>
                <w:rFonts w:ascii="Arial" w:cs="Arial" w:eastAsia="Arial" w:hAnsi="Arial"/>
                <w:sz w:val="18"/>
                <w:szCs w:val="18"/>
                <w:color w:val="auto"/>
              </w:rPr>
              <w:t>Representations of Lessee</w:t>
            </w:r>
          </w:p>
        </w:tc>
        <w:tc>
          <w:tcPr>
            <w:tcW w:w="1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48"/>
        </w:trPr>
        <w:tc>
          <w:tcPr>
            <w:tcW w:w="1760" w:type="dxa"/>
            <w:vAlign w:val="bottom"/>
            <w:tcBorders>
              <w:bottom w:val="single" w:sz="8" w:color="808080"/>
            </w:tcBorders>
          </w:tcPr>
          <w:p>
            <w:pPr>
              <w:spacing w:after="0"/>
              <w:rPr>
                <w:sz w:val="24"/>
                <w:szCs w:val="24"/>
                <w:color w:val="auto"/>
              </w:rPr>
            </w:pPr>
          </w:p>
        </w:tc>
        <w:tc>
          <w:tcPr>
            <w:tcW w:w="782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r>
      <w:tr>
        <w:trPr>
          <w:trHeight w:val="780"/>
        </w:trPr>
        <w:tc>
          <w:tcPr>
            <w:tcW w:w="1760" w:type="dxa"/>
            <w:vAlign w:val="bottom"/>
          </w:tcPr>
          <w:p>
            <w:pPr>
              <w:ind w:left="180"/>
              <w:spacing w:after="0"/>
              <w:rPr>
                <w:sz w:val="20"/>
                <w:szCs w:val="20"/>
                <w:color w:val="auto"/>
              </w:rPr>
            </w:pPr>
            <w:r>
              <w:rPr>
                <w:rFonts w:ascii="Arial" w:cs="Arial" w:eastAsia="Arial" w:hAnsi="Arial"/>
                <w:sz w:val="18"/>
                <w:szCs w:val="18"/>
                <w:color w:val="auto"/>
              </w:rPr>
              <w:t>Section 8.3.</w:t>
            </w:r>
          </w:p>
        </w:tc>
        <w:tc>
          <w:tcPr>
            <w:tcW w:w="7820" w:type="dxa"/>
            <w:vAlign w:val="bottom"/>
          </w:tcPr>
          <w:p>
            <w:pPr>
              <w:ind w:left="720"/>
              <w:spacing w:after="0"/>
              <w:rPr>
                <w:sz w:val="20"/>
                <w:szCs w:val="20"/>
                <w:color w:val="auto"/>
              </w:rPr>
            </w:pPr>
            <w:r>
              <w:rPr>
                <w:rFonts w:ascii="Arial" w:cs="Arial" w:eastAsia="Arial" w:hAnsi="Arial"/>
                <w:sz w:val="18"/>
                <w:szCs w:val="18"/>
                <w:color w:val="auto"/>
              </w:rPr>
              <w:t>Representations and Warranties of Administrative Agent</w:t>
            </w:r>
          </w:p>
        </w:tc>
        <w:tc>
          <w:tcPr>
            <w:tcW w:w="18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760" w:type="dxa"/>
            <w:vAlign w:val="bottom"/>
          </w:tcPr>
          <w:p>
            <w:pPr>
              <w:spacing w:after="0"/>
              <w:rPr>
                <w:sz w:val="20"/>
                <w:szCs w:val="20"/>
                <w:color w:val="auto"/>
              </w:rPr>
            </w:pPr>
            <w:r>
              <w:rPr>
                <w:rFonts w:ascii="Arial" w:cs="Arial" w:eastAsia="Arial" w:hAnsi="Arial"/>
                <w:sz w:val="18"/>
                <w:szCs w:val="18"/>
                <w:color w:val="auto"/>
              </w:rPr>
              <w:t>ARTICLE IX</w:t>
            </w:r>
          </w:p>
        </w:tc>
        <w:tc>
          <w:tcPr>
            <w:tcW w:w="7820" w:type="dxa"/>
            <w:vAlign w:val="bottom"/>
          </w:tcPr>
          <w:p>
            <w:pPr>
              <w:ind w:left="540"/>
              <w:spacing w:after="0"/>
              <w:rPr>
                <w:sz w:val="20"/>
                <w:szCs w:val="20"/>
                <w:color w:val="auto"/>
              </w:rPr>
            </w:pPr>
            <w:r>
              <w:rPr>
                <w:rFonts w:ascii="Arial" w:cs="Arial" w:eastAsia="Arial" w:hAnsi="Arial"/>
                <w:sz w:val="18"/>
                <w:szCs w:val="18"/>
                <w:color w:val="auto"/>
              </w:rPr>
              <w:t>COVENANTS OF LESSEE</w:t>
            </w:r>
          </w:p>
        </w:tc>
        <w:tc>
          <w:tcPr>
            <w:tcW w:w="18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8"/>
        </w:trPr>
        <w:tc>
          <w:tcPr>
            <w:tcW w:w="1760" w:type="dxa"/>
            <w:vAlign w:val="bottom"/>
          </w:tcPr>
          <w:p>
            <w:pPr>
              <w:ind w:left="180"/>
              <w:spacing w:after="0"/>
              <w:rPr>
                <w:sz w:val="20"/>
                <w:szCs w:val="20"/>
                <w:color w:val="auto"/>
              </w:rPr>
            </w:pPr>
            <w:r>
              <w:rPr>
                <w:rFonts w:ascii="Arial" w:cs="Arial" w:eastAsia="Arial" w:hAnsi="Arial"/>
                <w:sz w:val="18"/>
                <w:szCs w:val="18"/>
                <w:color w:val="auto"/>
              </w:rPr>
              <w:t>Section 9.1.</w:t>
            </w:r>
          </w:p>
        </w:tc>
        <w:tc>
          <w:tcPr>
            <w:tcW w:w="7820" w:type="dxa"/>
            <w:vAlign w:val="bottom"/>
          </w:tcPr>
          <w:p>
            <w:pPr>
              <w:ind w:left="720"/>
              <w:spacing w:after="0"/>
              <w:rPr>
                <w:sz w:val="20"/>
                <w:szCs w:val="20"/>
                <w:color w:val="auto"/>
              </w:rPr>
            </w:pPr>
            <w:r>
              <w:rPr>
                <w:rFonts w:ascii="Arial" w:cs="Arial" w:eastAsia="Arial" w:hAnsi="Arial"/>
                <w:sz w:val="18"/>
                <w:szCs w:val="18"/>
                <w:color w:val="auto"/>
              </w:rPr>
              <w:t>Affirmative Covenants of Lessee</w:t>
            </w:r>
          </w:p>
        </w:tc>
        <w:tc>
          <w:tcPr>
            <w:tcW w:w="18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760" w:type="dxa"/>
            <w:vAlign w:val="bottom"/>
          </w:tcPr>
          <w:p>
            <w:pPr>
              <w:ind w:left="180"/>
              <w:spacing w:after="0"/>
              <w:rPr>
                <w:sz w:val="20"/>
                <w:szCs w:val="20"/>
                <w:color w:val="auto"/>
              </w:rPr>
            </w:pPr>
            <w:r>
              <w:rPr>
                <w:rFonts w:ascii="Arial" w:cs="Arial" w:eastAsia="Arial" w:hAnsi="Arial"/>
                <w:sz w:val="18"/>
                <w:szCs w:val="18"/>
                <w:color w:val="auto"/>
              </w:rPr>
              <w:t>Section 9.2.</w:t>
            </w:r>
          </w:p>
        </w:tc>
        <w:tc>
          <w:tcPr>
            <w:tcW w:w="7820" w:type="dxa"/>
            <w:vAlign w:val="bottom"/>
          </w:tcPr>
          <w:p>
            <w:pPr>
              <w:ind w:left="720"/>
              <w:spacing w:after="0"/>
              <w:rPr>
                <w:sz w:val="20"/>
                <w:szCs w:val="20"/>
                <w:color w:val="auto"/>
              </w:rPr>
            </w:pPr>
            <w:r>
              <w:rPr>
                <w:rFonts w:ascii="Arial" w:cs="Arial" w:eastAsia="Arial" w:hAnsi="Arial"/>
                <w:sz w:val="18"/>
                <w:szCs w:val="18"/>
                <w:color w:val="auto"/>
              </w:rPr>
              <w:t>Negative Covenants of Lessee</w:t>
            </w:r>
          </w:p>
        </w:tc>
        <w:tc>
          <w:tcPr>
            <w:tcW w:w="18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760" w:type="dxa"/>
            <w:vAlign w:val="bottom"/>
          </w:tcPr>
          <w:p>
            <w:pPr>
              <w:spacing w:after="0"/>
              <w:rPr>
                <w:sz w:val="20"/>
                <w:szCs w:val="20"/>
                <w:color w:val="auto"/>
              </w:rPr>
            </w:pPr>
            <w:r>
              <w:rPr>
                <w:rFonts w:ascii="Arial" w:cs="Arial" w:eastAsia="Arial" w:hAnsi="Arial"/>
                <w:sz w:val="18"/>
                <w:szCs w:val="18"/>
                <w:color w:val="auto"/>
              </w:rPr>
              <w:t>ARTICLE X</w:t>
            </w:r>
          </w:p>
        </w:tc>
        <w:tc>
          <w:tcPr>
            <w:tcW w:w="7820" w:type="dxa"/>
            <w:vAlign w:val="bottom"/>
          </w:tcPr>
          <w:p>
            <w:pPr>
              <w:ind w:left="540"/>
              <w:spacing w:after="0"/>
              <w:rPr>
                <w:sz w:val="20"/>
                <w:szCs w:val="20"/>
                <w:color w:val="auto"/>
              </w:rPr>
            </w:pPr>
            <w:r>
              <w:rPr>
                <w:rFonts w:ascii="Arial" w:cs="Arial" w:eastAsia="Arial" w:hAnsi="Arial"/>
                <w:sz w:val="18"/>
                <w:szCs w:val="18"/>
                <w:color w:val="auto"/>
              </w:rPr>
              <w:t>OTHER COVENANTS AND AGREEMENTS</w:t>
            </w:r>
          </w:p>
        </w:tc>
        <w:tc>
          <w:tcPr>
            <w:tcW w:w="1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760" w:type="dxa"/>
            <w:vAlign w:val="bottom"/>
          </w:tcPr>
          <w:p>
            <w:pPr>
              <w:ind w:left="180"/>
              <w:spacing w:after="0"/>
              <w:rPr>
                <w:sz w:val="20"/>
                <w:szCs w:val="20"/>
                <w:color w:val="auto"/>
              </w:rPr>
            </w:pPr>
            <w:r>
              <w:rPr>
                <w:rFonts w:ascii="Arial" w:cs="Arial" w:eastAsia="Arial" w:hAnsi="Arial"/>
                <w:sz w:val="18"/>
                <w:szCs w:val="18"/>
                <w:color w:val="auto"/>
              </w:rPr>
              <w:t>Section 10.1.</w:t>
            </w:r>
          </w:p>
        </w:tc>
        <w:tc>
          <w:tcPr>
            <w:tcW w:w="7820" w:type="dxa"/>
            <w:vAlign w:val="bottom"/>
          </w:tcPr>
          <w:p>
            <w:pPr>
              <w:ind w:left="720"/>
              <w:spacing w:after="0"/>
              <w:rPr>
                <w:sz w:val="20"/>
                <w:szCs w:val="20"/>
                <w:color w:val="auto"/>
              </w:rPr>
            </w:pPr>
            <w:r>
              <w:rPr>
                <w:rFonts w:ascii="Arial" w:cs="Arial" w:eastAsia="Arial" w:hAnsi="Arial"/>
                <w:sz w:val="18"/>
                <w:szCs w:val="18"/>
                <w:color w:val="auto"/>
              </w:rPr>
              <w:t>Covenants of the Administrative Agent and the Participants</w:t>
            </w:r>
          </w:p>
        </w:tc>
        <w:tc>
          <w:tcPr>
            <w:tcW w:w="1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1760" w:type="dxa"/>
            <w:vAlign w:val="bottom"/>
          </w:tcPr>
          <w:p>
            <w:pPr>
              <w:spacing w:after="0"/>
              <w:rPr>
                <w:sz w:val="20"/>
                <w:szCs w:val="20"/>
                <w:color w:val="auto"/>
              </w:rPr>
            </w:pPr>
            <w:r>
              <w:rPr>
                <w:rFonts w:ascii="Arial" w:cs="Arial" w:eastAsia="Arial" w:hAnsi="Arial"/>
                <w:sz w:val="18"/>
                <w:szCs w:val="18"/>
                <w:color w:val="auto"/>
              </w:rPr>
              <w:t>ARTICLE XI</w:t>
            </w:r>
          </w:p>
        </w:tc>
        <w:tc>
          <w:tcPr>
            <w:tcW w:w="7820" w:type="dxa"/>
            <w:vAlign w:val="bottom"/>
          </w:tcPr>
          <w:p>
            <w:pPr>
              <w:ind w:left="540"/>
              <w:spacing w:after="0"/>
              <w:rPr>
                <w:sz w:val="20"/>
                <w:szCs w:val="20"/>
                <w:color w:val="auto"/>
              </w:rPr>
            </w:pPr>
            <w:r>
              <w:rPr>
                <w:rFonts w:ascii="Arial" w:cs="Arial" w:eastAsia="Arial" w:hAnsi="Arial"/>
                <w:sz w:val="18"/>
                <w:szCs w:val="18"/>
                <w:b w:val="1"/>
                <w:bCs w:val="1"/>
                <w:color w:val="auto"/>
              </w:rPr>
              <w:t>LESSEE’S RIGHT OF QUIET ENJOYMENT</w:t>
            </w: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760" w:type="dxa"/>
            <w:vAlign w:val="bottom"/>
          </w:tcPr>
          <w:p>
            <w:pPr>
              <w:spacing w:after="0"/>
              <w:rPr>
                <w:sz w:val="20"/>
                <w:szCs w:val="20"/>
                <w:color w:val="auto"/>
              </w:rPr>
            </w:pPr>
            <w:r>
              <w:rPr>
                <w:rFonts w:ascii="Arial" w:cs="Arial" w:eastAsia="Arial" w:hAnsi="Arial"/>
                <w:sz w:val="18"/>
                <w:szCs w:val="18"/>
                <w:color w:val="auto"/>
              </w:rPr>
              <w:t>ARTICLE XII</w:t>
            </w:r>
          </w:p>
        </w:tc>
        <w:tc>
          <w:tcPr>
            <w:tcW w:w="7820" w:type="dxa"/>
            <w:vAlign w:val="bottom"/>
          </w:tcPr>
          <w:p>
            <w:pPr>
              <w:ind w:left="720"/>
              <w:spacing w:after="0"/>
              <w:rPr>
                <w:sz w:val="20"/>
                <w:szCs w:val="20"/>
                <w:color w:val="auto"/>
              </w:rPr>
            </w:pPr>
            <w:r>
              <w:rPr>
                <w:rFonts w:ascii="Arial" w:cs="Arial" w:eastAsia="Arial" w:hAnsi="Arial"/>
                <w:sz w:val="18"/>
                <w:szCs w:val="18"/>
                <w:color w:val="auto"/>
              </w:rPr>
              <w:t>TRANSFERS OF PARTICIPANTS’ INTERESTS</w:t>
            </w: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8"/>
        </w:trPr>
        <w:tc>
          <w:tcPr>
            <w:tcW w:w="1760" w:type="dxa"/>
            <w:vAlign w:val="bottom"/>
          </w:tcPr>
          <w:p>
            <w:pPr>
              <w:ind w:left="180"/>
              <w:spacing w:after="0"/>
              <w:rPr>
                <w:sz w:val="20"/>
                <w:szCs w:val="20"/>
                <w:color w:val="auto"/>
              </w:rPr>
            </w:pPr>
            <w:r>
              <w:rPr>
                <w:rFonts w:ascii="Arial" w:cs="Arial" w:eastAsia="Arial" w:hAnsi="Arial"/>
                <w:sz w:val="18"/>
                <w:szCs w:val="18"/>
                <w:color w:val="auto"/>
              </w:rPr>
              <w:t>Section 12.1.</w:t>
            </w:r>
          </w:p>
        </w:tc>
        <w:tc>
          <w:tcPr>
            <w:tcW w:w="7820" w:type="dxa"/>
            <w:vAlign w:val="bottom"/>
          </w:tcPr>
          <w:p>
            <w:pPr>
              <w:ind w:left="720"/>
              <w:spacing w:after="0"/>
              <w:rPr>
                <w:sz w:val="20"/>
                <w:szCs w:val="20"/>
                <w:color w:val="auto"/>
              </w:rPr>
            </w:pPr>
            <w:r>
              <w:rPr>
                <w:rFonts w:ascii="Arial" w:cs="Arial" w:eastAsia="Arial" w:hAnsi="Arial"/>
                <w:sz w:val="18"/>
                <w:szCs w:val="18"/>
                <w:color w:val="auto"/>
              </w:rPr>
              <w:t>Assignments</w:t>
            </w:r>
          </w:p>
        </w:tc>
        <w:tc>
          <w:tcPr>
            <w:tcW w:w="1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12.2.</w:t>
            </w:r>
          </w:p>
        </w:tc>
        <w:tc>
          <w:tcPr>
            <w:tcW w:w="7820" w:type="dxa"/>
            <w:vAlign w:val="bottom"/>
          </w:tcPr>
          <w:p>
            <w:pPr>
              <w:ind w:left="720"/>
              <w:spacing w:after="0"/>
              <w:rPr>
                <w:sz w:val="20"/>
                <w:szCs w:val="20"/>
                <w:color w:val="auto"/>
              </w:rPr>
            </w:pPr>
            <w:r>
              <w:rPr>
                <w:rFonts w:ascii="Arial" w:cs="Arial" w:eastAsia="Arial" w:hAnsi="Arial"/>
                <w:sz w:val="18"/>
                <w:szCs w:val="18"/>
                <w:color w:val="auto"/>
              </w:rPr>
              <w:t>Participations</w:t>
            </w:r>
          </w:p>
        </w:tc>
        <w:tc>
          <w:tcPr>
            <w:tcW w:w="18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760" w:type="dxa"/>
            <w:vAlign w:val="bottom"/>
          </w:tcPr>
          <w:p>
            <w:pPr>
              <w:ind w:left="180"/>
              <w:spacing w:after="0"/>
              <w:rPr>
                <w:sz w:val="20"/>
                <w:szCs w:val="20"/>
                <w:color w:val="auto"/>
              </w:rPr>
            </w:pPr>
            <w:r>
              <w:rPr>
                <w:rFonts w:ascii="Arial" w:cs="Arial" w:eastAsia="Arial" w:hAnsi="Arial"/>
                <w:sz w:val="18"/>
                <w:szCs w:val="18"/>
                <w:color w:val="auto"/>
              </w:rPr>
              <w:t>Section 12.3.</w:t>
            </w:r>
          </w:p>
        </w:tc>
        <w:tc>
          <w:tcPr>
            <w:tcW w:w="7820" w:type="dxa"/>
            <w:vAlign w:val="bottom"/>
          </w:tcPr>
          <w:p>
            <w:pPr>
              <w:ind w:left="720"/>
              <w:spacing w:after="0"/>
              <w:rPr>
                <w:sz w:val="20"/>
                <w:szCs w:val="20"/>
                <w:color w:val="auto"/>
              </w:rPr>
            </w:pPr>
            <w:r>
              <w:rPr>
                <w:rFonts w:ascii="Arial" w:cs="Arial" w:eastAsia="Arial" w:hAnsi="Arial"/>
                <w:sz w:val="18"/>
                <w:szCs w:val="18"/>
                <w:color w:val="auto"/>
              </w:rPr>
              <w:t>Withholding Taxes; Disclosure of Information; Pledge Under Regulation A</w:t>
            </w:r>
          </w:p>
        </w:tc>
        <w:tc>
          <w:tcPr>
            <w:tcW w:w="18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1760" w:type="dxa"/>
            <w:vAlign w:val="bottom"/>
          </w:tcPr>
          <w:p>
            <w:pPr>
              <w:spacing w:after="0"/>
              <w:rPr>
                <w:sz w:val="20"/>
                <w:szCs w:val="20"/>
                <w:color w:val="auto"/>
              </w:rPr>
            </w:pPr>
            <w:r>
              <w:rPr>
                <w:rFonts w:ascii="Arial" w:cs="Arial" w:eastAsia="Arial" w:hAnsi="Arial"/>
                <w:sz w:val="18"/>
                <w:szCs w:val="18"/>
                <w:color w:val="auto"/>
              </w:rPr>
              <w:t>ARTICLE XIII</w:t>
            </w:r>
          </w:p>
        </w:tc>
        <w:tc>
          <w:tcPr>
            <w:tcW w:w="7820" w:type="dxa"/>
            <w:vAlign w:val="bottom"/>
          </w:tcPr>
          <w:p>
            <w:pPr>
              <w:ind w:left="540"/>
              <w:spacing w:after="0"/>
              <w:rPr>
                <w:sz w:val="20"/>
                <w:szCs w:val="20"/>
                <w:color w:val="auto"/>
              </w:rPr>
            </w:pPr>
            <w:r>
              <w:rPr>
                <w:rFonts w:ascii="Arial" w:cs="Arial" w:eastAsia="Arial" w:hAnsi="Arial"/>
                <w:sz w:val="18"/>
                <w:szCs w:val="18"/>
                <w:color w:val="auto"/>
              </w:rPr>
              <w:t>INDEMNIFICATION</w:t>
            </w:r>
          </w:p>
        </w:tc>
        <w:tc>
          <w:tcPr>
            <w:tcW w:w="18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8"/>
        </w:trPr>
        <w:tc>
          <w:tcPr>
            <w:tcW w:w="1760" w:type="dxa"/>
            <w:vAlign w:val="bottom"/>
          </w:tcPr>
          <w:p>
            <w:pPr>
              <w:ind w:left="180"/>
              <w:spacing w:after="0"/>
              <w:rPr>
                <w:sz w:val="20"/>
                <w:szCs w:val="20"/>
                <w:color w:val="auto"/>
              </w:rPr>
            </w:pPr>
            <w:r>
              <w:rPr>
                <w:rFonts w:ascii="Arial" w:cs="Arial" w:eastAsia="Arial" w:hAnsi="Arial"/>
                <w:sz w:val="18"/>
                <w:szCs w:val="18"/>
                <w:color w:val="auto"/>
              </w:rPr>
              <w:t>Section 13.1.</w:t>
            </w:r>
          </w:p>
        </w:tc>
        <w:tc>
          <w:tcPr>
            <w:tcW w:w="7820" w:type="dxa"/>
            <w:vAlign w:val="bottom"/>
          </w:tcPr>
          <w:p>
            <w:pPr>
              <w:ind w:left="720"/>
              <w:spacing w:after="0"/>
              <w:rPr>
                <w:sz w:val="20"/>
                <w:szCs w:val="20"/>
                <w:color w:val="auto"/>
              </w:rPr>
            </w:pPr>
            <w:r>
              <w:rPr>
                <w:rFonts w:ascii="Arial" w:cs="Arial" w:eastAsia="Arial" w:hAnsi="Arial"/>
                <w:sz w:val="18"/>
                <w:szCs w:val="18"/>
                <w:color w:val="auto"/>
              </w:rPr>
              <w:t>Indemnification</w:t>
            </w:r>
          </w:p>
        </w:tc>
        <w:tc>
          <w:tcPr>
            <w:tcW w:w="18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13.2.</w:t>
            </w:r>
          </w:p>
        </w:tc>
        <w:tc>
          <w:tcPr>
            <w:tcW w:w="7820" w:type="dxa"/>
            <w:vAlign w:val="bottom"/>
          </w:tcPr>
          <w:p>
            <w:pPr>
              <w:ind w:left="720"/>
              <w:spacing w:after="0"/>
              <w:rPr>
                <w:sz w:val="20"/>
                <w:szCs w:val="20"/>
                <w:color w:val="auto"/>
              </w:rPr>
            </w:pPr>
            <w:r>
              <w:rPr>
                <w:rFonts w:ascii="Arial" w:cs="Arial" w:eastAsia="Arial" w:hAnsi="Arial"/>
                <w:sz w:val="18"/>
                <w:szCs w:val="18"/>
                <w:color w:val="auto"/>
              </w:rPr>
              <w:t>Nonconformance</w:t>
            </w:r>
          </w:p>
        </w:tc>
        <w:tc>
          <w:tcPr>
            <w:tcW w:w="1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13.3.</w:t>
            </w:r>
          </w:p>
        </w:tc>
        <w:tc>
          <w:tcPr>
            <w:tcW w:w="7820" w:type="dxa"/>
            <w:vAlign w:val="bottom"/>
          </w:tcPr>
          <w:p>
            <w:pPr>
              <w:ind w:left="720"/>
              <w:spacing w:after="0"/>
              <w:rPr>
                <w:sz w:val="20"/>
                <w:szCs w:val="20"/>
                <w:color w:val="auto"/>
              </w:rPr>
            </w:pPr>
            <w:r>
              <w:rPr>
                <w:rFonts w:ascii="Arial" w:cs="Arial" w:eastAsia="Arial" w:hAnsi="Arial"/>
                <w:sz w:val="18"/>
                <w:szCs w:val="18"/>
                <w:color w:val="auto"/>
              </w:rPr>
              <w:t>Proceedings in Respect of Claims</w:t>
            </w:r>
          </w:p>
        </w:tc>
        <w:tc>
          <w:tcPr>
            <w:tcW w:w="18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13.4.</w:t>
            </w:r>
          </w:p>
        </w:tc>
        <w:tc>
          <w:tcPr>
            <w:tcW w:w="7820" w:type="dxa"/>
            <w:vAlign w:val="bottom"/>
          </w:tcPr>
          <w:p>
            <w:pPr>
              <w:ind w:left="720"/>
              <w:spacing w:after="0"/>
              <w:rPr>
                <w:sz w:val="20"/>
                <w:szCs w:val="20"/>
                <w:color w:val="auto"/>
              </w:rPr>
            </w:pPr>
            <w:r>
              <w:rPr>
                <w:rFonts w:ascii="Arial" w:cs="Arial" w:eastAsia="Arial" w:hAnsi="Arial"/>
                <w:sz w:val="18"/>
                <w:szCs w:val="18"/>
                <w:color w:val="auto"/>
              </w:rPr>
              <w:t>General Tax Indemnity</w:t>
            </w:r>
          </w:p>
        </w:tc>
        <w:tc>
          <w:tcPr>
            <w:tcW w:w="18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13.5.</w:t>
            </w:r>
          </w:p>
        </w:tc>
        <w:tc>
          <w:tcPr>
            <w:tcW w:w="7820" w:type="dxa"/>
            <w:vAlign w:val="bottom"/>
          </w:tcPr>
          <w:p>
            <w:pPr>
              <w:ind w:left="720"/>
              <w:spacing w:after="0"/>
              <w:rPr>
                <w:sz w:val="20"/>
                <w:szCs w:val="20"/>
                <w:color w:val="auto"/>
              </w:rPr>
            </w:pPr>
            <w:r>
              <w:rPr>
                <w:rFonts w:ascii="Arial" w:cs="Arial" w:eastAsia="Arial" w:hAnsi="Arial"/>
                <w:sz w:val="18"/>
                <w:szCs w:val="18"/>
                <w:color w:val="auto"/>
              </w:rPr>
              <w:t>After Tax Basis</w:t>
            </w:r>
          </w:p>
        </w:tc>
        <w:tc>
          <w:tcPr>
            <w:tcW w:w="18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13.6.</w:t>
            </w:r>
          </w:p>
        </w:tc>
        <w:tc>
          <w:tcPr>
            <w:tcW w:w="7820" w:type="dxa"/>
            <w:vAlign w:val="bottom"/>
          </w:tcPr>
          <w:p>
            <w:pPr>
              <w:ind w:left="720"/>
              <w:spacing w:after="0"/>
              <w:rPr>
                <w:sz w:val="20"/>
                <w:szCs w:val="20"/>
                <w:color w:val="auto"/>
              </w:rPr>
            </w:pPr>
            <w:r>
              <w:rPr>
                <w:rFonts w:ascii="Arial" w:cs="Arial" w:eastAsia="Arial" w:hAnsi="Arial"/>
                <w:sz w:val="18"/>
                <w:szCs w:val="18"/>
                <w:color w:val="auto"/>
              </w:rPr>
              <w:t>Intentionally Omitted</w:t>
            </w:r>
          </w:p>
        </w:tc>
        <w:tc>
          <w:tcPr>
            <w:tcW w:w="18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760" w:type="dxa"/>
            <w:vAlign w:val="bottom"/>
          </w:tcPr>
          <w:p>
            <w:pPr>
              <w:ind w:left="180"/>
              <w:spacing w:after="0"/>
              <w:rPr>
                <w:sz w:val="20"/>
                <w:szCs w:val="20"/>
                <w:color w:val="auto"/>
              </w:rPr>
            </w:pPr>
            <w:r>
              <w:rPr>
                <w:rFonts w:ascii="Arial" w:cs="Arial" w:eastAsia="Arial" w:hAnsi="Arial"/>
                <w:sz w:val="18"/>
                <w:szCs w:val="18"/>
                <w:color w:val="auto"/>
              </w:rPr>
              <w:t>Section 13.7.</w:t>
            </w:r>
          </w:p>
        </w:tc>
        <w:tc>
          <w:tcPr>
            <w:tcW w:w="7820" w:type="dxa"/>
            <w:vAlign w:val="bottom"/>
          </w:tcPr>
          <w:p>
            <w:pPr>
              <w:ind w:left="720"/>
              <w:spacing w:after="0"/>
              <w:rPr>
                <w:sz w:val="20"/>
                <w:szCs w:val="20"/>
                <w:color w:val="auto"/>
              </w:rPr>
            </w:pPr>
            <w:r>
              <w:rPr>
                <w:rFonts w:ascii="Arial" w:cs="Arial" w:eastAsia="Arial" w:hAnsi="Arial"/>
                <w:sz w:val="18"/>
                <w:szCs w:val="18"/>
                <w:color w:val="auto"/>
              </w:rPr>
              <w:t>Environmental Indemnity</w:t>
            </w:r>
          </w:p>
        </w:tc>
        <w:tc>
          <w:tcPr>
            <w:tcW w:w="18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1760" w:type="dxa"/>
            <w:vAlign w:val="bottom"/>
          </w:tcPr>
          <w:p>
            <w:pPr>
              <w:spacing w:after="0"/>
              <w:rPr>
                <w:sz w:val="20"/>
                <w:szCs w:val="20"/>
                <w:color w:val="auto"/>
              </w:rPr>
            </w:pPr>
            <w:r>
              <w:rPr>
                <w:rFonts w:ascii="Arial" w:cs="Arial" w:eastAsia="Arial" w:hAnsi="Arial"/>
                <w:sz w:val="18"/>
                <w:szCs w:val="18"/>
                <w:color w:val="auto"/>
              </w:rPr>
              <w:t>ARTICLE XIV</w:t>
            </w:r>
          </w:p>
        </w:tc>
        <w:tc>
          <w:tcPr>
            <w:tcW w:w="7820" w:type="dxa"/>
            <w:vAlign w:val="bottom"/>
          </w:tcPr>
          <w:p>
            <w:pPr>
              <w:ind w:left="540"/>
              <w:spacing w:after="0"/>
              <w:rPr>
                <w:sz w:val="20"/>
                <w:szCs w:val="20"/>
                <w:color w:val="auto"/>
              </w:rPr>
            </w:pPr>
            <w:r>
              <w:rPr>
                <w:rFonts w:ascii="Arial" w:cs="Arial" w:eastAsia="Arial" w:hAnsi="Arial"/>
                <w:sz w:val="18"/>
                <w:szCs w:val="18"/>
                <w:color w:val="auto"/>
              </w:rPr>
              <w:t>CONTINGENT LIBOR AND OTHER COSTS</w:t>
            </w:r>
          </w:p>
        </w:tc>
        <w:tc>
          <w:tcPr>
            <w:tcW w:w="18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8"/>
        </w:trPr>
        <w:tc>
          <w:tcPr>
            <w:tcW w:w="1760" w:type="dxa"/>
            <w:vAlign w:val="bottom"/>
          </w:tcPr>
          <w:p>
            <w:pPr>
              <w:ind w:left="180"/>
              <w:spacing w:after="0"/>
              <w:rPr>
                <w:sz w:val="20"/>
                <w:szCs w:val="20"/>
                <w:color w:val="auto"/>
              </w:rPr>
            </w:pPr>
            <w:r>
              <w:rPr>
                <w:rFonts w:ascii="Arial" w:cs="Arial" w:eastAsia="Arial" w:hAnsi="Arial"/>
                <w:sz w:val="18"/>
                <w:szCs w:val="18"/>
                <w:color w:val="auto"/>
              </w:rPr>
              <w:t>Section 14.1.</w:t>
            </w:r>
          </w:p>
        </w:tc>
        <w:tc>
          <w:tcPr>
            <w:tcW w:w="7820" w:type="dxa"/>
            <w:vAlign w:val="bottom"/>
          </w:tcPr>
          <w:p>
            <w:pPr>
              <w:ind w:left="720"/>
              <w:spacing w:after="0"/>
              <w:rPr>
                <w:sz w:val="20"/>
                <w:szCs w:val="20"/>
                <w:color w:val="auto"/>
              </w:rPr>
            </w:pPr>
            <w:r>
              <w:rPr>
                <w:rFonts w:ascii="Arial" w:cs="Arial" w:eastAsia="Arial" w:hAnsi="Arial"/>
                <w:sz w:val="18"/>
                <w:szCs w:val="18"/>
                <w:color w:val="auto"/>
              </w:rPr>
              <w:t>LIBO Rate Lending Unlawful</w:t>
            </w:r>
          </w:p>
        </w:tc>
        <w:tc>
          <w:tcPr>
            <w:tcW w:w="18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14.2.</w:t>
            </w:r>
          </w:p>
        </w:tc>
        <w:tc>
          <w:tcPr>
            <w:tcW w:w="7820" w:type="dxa"/>
            <w:vAlign w:val="bottom"/>
          </w:tcPr>
          <w:p>
            <w:pPr>
              <w:ind w:left="720"/>
              <w:spacing w:after="0"/>
              <w:rPr>
                <w:sz w:val="20"/>
                <w:szCs w:val="20"/>
                <w:color w:val="auto"/>
              </w:rPr>
            </w:pPr>
            <w:r>
              <w:rPr>
                <w:rFonts w:ascii="Arial" w:cs="Arial" w:eastAsia="Arial" w:hAnsi="Arial"/>
                <w:sz w:val="18"/>
                <w:szCs w:val="18"/>
                <w:color w:val="auto"/>
              </w:rPr>
              <w:t>Deposits Unavailable</w:t>
            </w:r>
          </w:p>
        </w:tc>
        <w:tc>
          <w:tcPr>
            <w:tcW w:w="18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14.3.</w:t>
            </w:r>
          </w:p>
        </w:tc>
        <w:tc>
          <w:tcPr>
            <w:tcW w:w="7820" w:type="dxa"/>
            <w:vAlign w:val="bottom"/>
          </w:tcPr>
          <w:p>
            <w:pPr>
              <w:ind w:left="720"/>
              <w:spacing w:after="0"/>
              <w:rPr>
                <w:sz w:val="20"/>
                <w:szCs w:val="20"/>
                <w:color w:val="auto"/>
              </w:rPr>
            </w:pPr>
            <w:r>
              <w:rPr>
                <w:rFonts w:ascii="Arial" w:cs="Arial" w:eastAsia="Arial" w:hAnsi="Arial"/>
                <w:sz w:val="18"/>
                <w:szCs w:val="18"/>
                <w:color w:val="auto"/>
              </w:rPr>
              <w:t>Increased Costs, etc</w:t>
            </w:r>
          </w:p>
        </w:tc>
        <w:tc>
          <w:tcPr>
            <w:tcW w:w="18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14.4.</w:t>
            </w:r>
          </w:p>
        </w:tc>
        <w:tc>
          <w:tcPr>
            <w:tcW w:w="7820" w:type="dxa"/>
            <w:vAlign w:val="bottom"/>
          </w:tcPr>
          <w:p>
            <w:pPr>
              <w:ind w:left="720"/>
              <w:spacing w:after="0"/>
              <w:rPr>
                <w:sz w:val="20"/>
                <w:szCs w:val="20"/>
                <w:color w:val="auto"/>
              </w:rPr>
            </w:pPr>
            <w:r>
              <w:rPr>
                <w:rFonts w:ascii="Arial" w:cs="Arial" w:eastAsia="Arial" w:hAnsi="Arial"/>
                <w:sz w:val="18"/>
                <w:szCs w:val="18"/>
                <w:color w:val="auto"/>
              </w:rPr>
              <w:t>Funding Losses</w:t>
            </w:r>
          </w:p>
        </w:tc>
        <w:tc>
          <w:tcPr>
            <w:tcW w:w="18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14.5.</w:t>
            </w:r>
          </w:p>
        </w:tc>
        <w:tc>
          <w:tcPr>
            <w:tcW w:w="7820" w:type="dxa"/>
            <w:vAlign w:val="bottom"/>
          </w:tcPr>
          <w:p>
            <w:pPr>
              <w:ind w:left="720"/>
              <w:spacing w:after="0"/>
              <w:rPr>
                <w:sz w:val="20"/>
                <w:szCs w:val="20"/>
                <w:color w:val="auto"/>
              </w:rPr>
            </w:pPr>
            <w:r>
              <w:rPr>
                <w:rFonts w:ascii="Arial" w:cs="Arial" w:eastAsia="Arial" w:hAnsi="Arial"/>
                <w:sz w:val="18"/>
                <w:szCs w:val="18"/>
                <w:color w:val="auto"/>
              </w:rPr>
              <w:t>Increased Capital Costs</w:t>
            </w:r>
          </w:p>
        </w:tc>
        <w:tc>
          <w:tcPr>
            <w:tcW w:w="18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14.6.</w:t>
            </w:r>
          </w:p>
        </w:tc>
        <w:tc>
          <w:tcPr>
            <w:tcW w:w="7820" w:type="dxa"/>
            <w:vAlign w:val="bottom"/>
          </w:tcPr>
          <w:p>
            <w:pPr>
              <w:ind w:left="720"/>
              <w:spacing w:after="0"/>
              <w:rPr>
                <w:sz w:val="20"/>
                <w:szCs w:val="20"/>
                <w:color w:val="auto"/>
              </w:rPr>
            </w:pPr>
            <w:r>
              <w:rPr>
                <w:rFonts w:ascii="Arial" w:cs="Arial" w:eastAsia="Arial" w:hAnsi="Arial"/>
                <w:sz w:val="18"/>
                <w:szCs w:val="18"/>
                <w:color w:val="auto"/>
              </w:rPr>
              <w:t>After Tax Basis</w:t>
            </w:r>
          </w:p>
        </w:tc>
        <w:tc>
          <w:tcPr>
            <w:tcW w:w="18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14.7.</w:t>
            </w:r>
          </w:p>
        </w:tc>
        <w:tc>
          <w:tcPr>
            <w:tcW w:w="7820" w:type="dxa"/>
            <w:vAlign w:val="bottom"/>
          </w:tcPr>
          <w:p>
            <w:pPr>
              <w:ind w:left="720"/>
              <w:spacing w:after="0"/>
              <w:rPr>
                <w:sz w:val="20"/>
                <w:szCs w:val="20"/>
                <w:color w:val="auto"/>
              </w:rPr>
            </w:pPr>
            <w:r>
              <w:rPr>
                <w:rFonts w:ascii="Arial" w:cs="Arial" w:eastAsia="Arial" w:hAnsi="Arial"/>
                <w:sz w:val="18"/>
                <w:szCs w:val="18"/>
                <w:color w:val="auto"/>
              </w:rPr>
              <w:t>Applicability of Certain Sections</w:t>
            </w:r>
          </w:p>
        </w:tc>
        <w:tc>
          <w:tcPr>
            <w:tcW w:w="18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14.8.</w:t>
            </w:r>
          </w:p>
        </w:tc>
        <w:tc>
          <w:tcPr>
            <w:tcW w:w="7820" w:type="dxa"/>
            <w:vAlign w:val="bottom"/>
          </w:tcPr>
          <w:p>
            <w:pPr>
              <w:ind w:left="720"/>
              <w:spacing w:after="0"/>
              <w:rPr>
                <w:sz w:val="20"/>
                <w:szCs w:val="20"/>
                <w:color w:val="auto"/>
              </w:rPr>
            </w:pPr>
            <w:r>
              <w:rPr>
                <w:rFonts w:ascii="Arial" w:cs="Arial" w:eastAsia="Arial" w:hAnsi="Arial"/>
                <w:sz w:val="18"/>
                <w:szCs w:val="18"/>
                <w:color w:val="auto"/>
              </w:rPr>
              <w:t>Funding Office</w:t>
            </w:r>
          </w:p>
        </w:tc>
        <w:tc>
          <w:tcPr>
            <w:tcW w:w="18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760" w:type="dxa"/>
            <w:vAlign w:val="bottom"/>
          </w:tcPr>
          <w:p>
            <w:pPr>
              <w:ind w:left="180"/>
              <w:spacing w:after="0"/>
              <w:rPr>
                <w:sz w:val="20"/>
                <w:szCs w:val="20"/>
                <w:color w:val="auto"/>
              </w:rPr>
            </w:pPr>
            <w:r>
              <w:rPr>
                <w:rFonts w:ascii="Arial" w:cs="Arial" w:eastAsia="Arial" w:hAnsi="Arial"/>
                <w:sz w:val="18"/>
                <w:szCs w:val="18"/>
                <w:color w:val="auto"/>
              </w:rPr>
              <w:t>Section 14.9.</w:t>
            </w:r>
          </w:p>
        </w:tc>
        <w:tc>
          <w:tcPr>
            <w:tcW w:w="7820" w:type="dxa"/>
            <w:vAlign w:val="bottom"/>
          </w:tcPr>
          <w:p>
            <w:pPr>
              <w:ind w:left="720"/>
              <w:spacing w:after="0"/>
              <w:rPr>
                <w:sz w:val="20"/>
                <w:szCs w:val="20"/>
                <w:color w:val="auto"/>
              </w:rPr>
            </w:pPr>
            <w:r>
              <w:rPr>
                <w:rFonts w:ascii="Arial" w:cs="Arial" w:eastAsia="Arial" w:hAnsi="Arial"/>
                <w:sz w:val="18"/>
                <w:szCs w:val="18"/>
                <w:color w:val="auto"/>
              </w:rPr>
              <w:t>Replacement of Participants</w:t>
            </w:r>
          </w:p>
        </w:tc>
        <w:tc>
          <w:tcPr>
            <w:tcW w:w="18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1760" w:type="dxa"/>
            <w:vAlign w:val="bottom"/>
          </w:tcPr>
          <w:p>
            <w:pPr>
              <w:spacing w:after="0"/>
              <w:rPr>
                <w:sz w:val="20"/>
                <w:szCs w:val="20"/>
                <w:color w:val="auto"/>
              </w:rPr>
            </w:pPr>
            <w:r>
              <w:rPr>
                <w:rFonts w:ascii="Arial" w:cs="Arial" w:eastAsia="Arial" w:hAnsi="Arial"/>
                <w:sz w:val="18"/>
                <w:szCs w:val="18"/>
                <w:color w:val="auto"/>
              </w:rPr>
              <w:t>ARTICLE XV</w:t>
            </w:r>
          </w:p>
        </w:tc>
        <w:tc>
          <w:tcPr>
            <w:tcW w:w="7820" w:type="dxa"/>
            <w:vAlign w:val="bottom"/>
          </w:tcPr>
          <w:p>
            <w:pPr>
              <w:ind w:left="540"/>
              <w:spacing w:after="0"/>
              <w:rPr>
                <w:sz w:val="20"/>
                <w:szCs w:val="20"/>
                <w:color w:val="auto"/>
              </w:rPr>
            </w:pPr>
            <w:r>
              <w:rPr>
                <w:rFonts w:ascii="Arial" w:cs="Arial" w:eastAsia="Arial" w:hAnsi="Arial"/>
                <w:sz w:val="18"/>
                <w:szCs w:val="18"/>
                <w:color w:val="auto"/>
              </w:rPr>
              <w:t>MISCELLANEOUS</w:t>
            </w:r>
          </w:p>
        </w:tc>
        <w:tc>
          <w:tcPr>
            <w:tcW w:w="1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8"/>
        </w:trPr>
        <w:tc>
          <w:tcPr>
            <w:tcW w:w="1760" w:type="dxa"/>
            <w:vAlign w:val="bottom"/>
          </w:tcPr>
          <w:p>
            <w:pPr>
              <w:ind w:left="180"/>
              <w:spacing w:after="0"/>
              <w:rPr>
                <w:sz w:val="20"/>
                <w:szCs w:val="20"/>
                <w:color w:val="auto"/>
              </w:rPr>
            </w:pPr>
            <w:r>
              <w:rPr>
                <w:rFonts w:ascii="Arial" w:cs="Arial" w:eastAsia="Arial" w:hAnsi="Arial"/>
                <w:sz w:val="18"/>
                <w:szCs w:val="18"/>
                <w:color w:val="auto"/>
              </w:rPr>
              <w:t>Section 15.1.</w:t>
            </w:r>
          </w:p>
        </w:tc>
        <w:tc>
          <w:tcPr>
            <w:tcW w:w="7820" w:type="dxa"/>
            <w:vAlign w:val="bottom"/>
          </w:tcPr>
          <w:p>
            <w:pPr>
              <w:ind w:left="720"/>
              <w:spacing w:after="0"/>
              <w:rPr>
                <w:sz w:val="20"/>
                <w:szCs w:val="20"/>
                <w:color w:val="auto"/>
              </w:rPr>
            </w:pPr>
            <w:r>
              <w:rPr>
                <w:rFonts w:ascii="Arial" w:cs="Arial" w:eastAsia="Arial" w:hAnsi="Arial"/>
                <w:sz w:val="18"/>
                <w:szCs w:val="18"/>
                <w:color w:val="auto"/>
              </w:rPr>
              <w:t>Survival of Agreements</w:t>
            </w:r>
          </w:p>
        </w:tc>
        <w:tc>
          <w:tcPr>
            <w:tcW w:w="1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15.2.</w:t>
            </w:r>
          </w:p>
        </w:tc>
        <w:tc>
          <w:tcPr>
            <w:tcW w:w="7820" w:type="dxa"/>
            <w:vAlign w:val="bottom"/>
          </w:tcPr>
          <w:p>
            <w:pPr>
              <w:ind w:left="720"/>
              <w:spacing w:after="0"/>
              <w:rPr>
                <w:sz w:val="20"/>
                <w:szCs w:val="20"/>
                <w:color w:val="auto"/>
              </w:rPr>
            </w:pPr>
            <w:r>
              <w:rPr>
                <w:rFonts w:ascii="Arial" w:cs="Arial" w:eastAsia="Arial" w:hAnsi="Arial"/>
                <w:sz w:val="18"/>
                <w:szCs w:val="18"/>
                <w:color w:val="auto"/>
              </w:rPr>
              <w:t>No Broker, Etc.</w:t>
            </w:r>
          </w:p>
        </w:tc>
        <w:tc>
          <w:tcPr>
            <w:tcW w:w="1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15.3.</w:t>
            </w:r>
          </w:p>
        </w:tc>
        <w:tc>
          <w:tcPr>
            <w:tcW w:w="7820" w:type="dxa"/>
            <w:vAlign w:val="bottom"/>
          </w:tcPr>
          <w:p>
            <w:pPr>
              <w:ind w:left="720"/>
              <w:spacing w:after="0"/>
              <w:rPr>
                <w:sz w:val="20"/>
                <w:szCs w:val="20"/>
                <w:color w:val="auto"/>
              </w:rPr>
            </w:pPr>
            <w:r>
              <w:rPr>
                <w:rFonts w:ascii="Arial" w:cs="Arial" w:eastAsia="Arial" w:hAnsi="Arial"/>
                <w:sz w:val="18"/>
                <w:szCs w:val="18"/>
                <w:color w:val="auto"/>
              </w:rPr>
              <w:t>Notices</w:t>
            </w:r>
          </w:p>
        </w:tc>
        <w:tc>
          <w:tcPr>
            <w:tcW w:w="1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760" w:type="dxa"/>
            <w:vAlign w:val="bottom"/>
          </w:tcPr>
          <w:p>
            <w:pPr>
              <w:ind w:left="180"/>
              <w:spacing w:after="0"/>
              <w:rPr>
                <w:sz w:val="20"/>
                <w:szCs w:val="20"/>
                <w:color w:val="auto"/>
              </w:rPr>
            </w:pPr>
            <w:r>
              <w:rPr>
                <w:rFonts w:ascii="Arial" w:cs="Arial" w:eastAsia="Arial" w:hAnsi="Arial"/>
                <w:sz w:val="18"/>
                <w:szCs w:val="18"/>
                <w:color w:val="auto"/>
              </w:rPr>
              <w:t>Section 15.4.</w:t>
            </w:r>
          </w:p>
        </w:tc>
        <w:tc>
          <w:tcPr>
            <w:tcW w:w="7820" w:type="dxa"/>
            <w:vAlign w:val="bottom"/>
          </w:tcPr>
          <w:p>
            <w:pPr>
              <w:ind w:left="720"/>
              <w:spacing w:after="0"/>
              <w:rPr>
                <w:sz w:val="20"/>
                <w:szCs w:val="20"/>
                <w:color w:val="auto"/>
              </w:rPr>
            </w:pPr>
            <w:r>
              <w:rPr>
                <w:rFonts w:ascii="Arial" w:cs="Arial" w:eastAsia="Arial" w:hAnsi="Arial"/>
                <w:sz w:val="18"/>
                <w:szCs w:val="18"/>
                <w:color w:val="auto"/>
              </w:rPr>
              <w:t>Counterparts</w:t>
            </w:r>
          </w:p>
        </w:tc>
        <w:tc>
          <w:tcPr>
            <w:tcW w:w="18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1760" w:type="dxa"/>
            <w:vAlign w:val="bottom"/>
          </w:tcPr>
          <w:p>
            <w:pPr>
              <w:spacing w:after="0"/>
              <w:rPr>
                <w:sz w:val="24"/>
                <w:szCs w:val="24"/>
                <w:color w:val="auto"/>
              </w:rPr>
            </w:pPr>
          </w:p>
        </w:tc>
        <w:tc>
          <w:tcPr>
            <w:tcW w:w="7820" w:type="dxa"/>
            <w:vAlign w:val="bottom"/>
          </w:tcPr>
          <w:p>
            <w:pPr>
              <w:ind w:left="3900"/>
              <w:spacing w:after="0"/>
              <w:rPr>
                <w:sz w:val="20"/>
                <w:szCs w:val="20"/>
                <w:color w:val="auto"/>
              </w:rPr>
            </w:pPr>
            <w:r>
              <w:rPr>
                <w:rFonts w:ascii="Arial" w:cs="Arial" w:eastAsia="Arial" w:hAnsi="Arial"/>
                <w:sz w:val="18"/>
                <w:szCs w:val="18"/>
                <w:color w:val="auto"/>
              </w:rPr>
              <w:t>ii</w:t>
            </w:r>
          </w:p>
        </w:tc>
        <w:tc>
          <w:tcPr>
            <w:tcW w:w="1880" w:type="dxa"/>
            <w:vAlign w:val="bottom"/>
          </w:tcPr>
          <w:p>
            <w:pPr>
              <w:spacing w:after="0"/>
              <w:rPr>
                <w:sz w:val="24"/>
                <w:szCs w:val="24"/>
                <w:color w:val="auto"/>
              </w:rPr>
            </w:pPr>
          </w:p>
        </w:tc>
      </w:tr>
      <w:tr>
        <w:trPr>
          <w:trHeight w:val="132"/>
        </w:trPr>
        <w:tc>
          <w:tcPr>
            <w:tcW w:w="1760" w:type="dxa"/>
            <w:vAlign w:val="bottom"/>
            <w:tcBorders>
              <w:bottom w:val="single" w:sz="8" w:color="808080"/>
            </w:tcBorders>
          </w:tcPr>
          <w:p>
            <w:pPr>
              <w:spacing w:after="0"/>
              <w:rPr>
                <w:sz w:val="11"/>
                <w:szCs w:val="11"/>
                <w:color w:val="auto"/>
              </w:rPr>
            </w:pPr>
          </w:p>
        </w:tc>
        <w:tc>
          <w:tcPr>
            <w:tcW w:w="7820" w:type="dxa"/>
            <w:vAlign w:val="bottom"/>
            <w:tcBorders>
              <w:bottom w:val="single" w:sz="8" w:color="808080"/>
            </w:tcBorders>
          </w:tcPr>
          <w:p>
            <w:pPr>
              <w:spacing w:after="0"/>
              <w:rPr>
                <w:sz w:val="11"/>
                <w:szCs w:val="11"/>
                <w:color w:val="auto"/>
              </w:rPr>
            </w:pPr>
          </w:p>
        </w:tc>
        <w:tc>
          <w:tcPr>
            <w:tcW w:w="1880" w:type="dxa"/>
            <w:vAlign w:val="bottom"/>
            <w:tcBorders>
              <w:bottom w:val="single" w:sz="8" w:color="808080"/>
            </w:tcBorders>
          </w:tcPr>
          <w:p>
            <w:pPr>
              <w:spacing w:after="0"/>
              <w:rPr>
                <w:sz w:val="11"/>
                <w:szCs w:val="11"/>
                <w:color w:val="auto"/>
              </w:rPr>
            </w:pPr>
          </w:p>
        </w:tc>
      </w:tr>
      <w:tr>
        <w:trPr>
          <w:trHeight w:val="766"/>
        </w:trPr>
        <w:tc>
          <w:tcPr>
            <w:tcW w:w="1760" w:type="dxa"/>
            <w:vAlign w:val="bottom"/>
          </w:tcPr>
          <w:p>
            <w:pPr>
              <w:ind w:left="180"/>
              <w:spacing w:after="0"/>
              <w:rPr>
                <w:sz w:val="20"/>
                <w:szCs w:val="20"/>
                <w:color w:val="auto"/>
              </w:rPr>
            </w:pPr>
            <w:r>
              <w:rPr>
                <w:rFonts w:ascii="Arial" w:cs="Arial" w:eastAsia="Arial" w:hAnsi="Arial"/>
                <w:sz w:val="18"/>
                <w:szCs w:val="18"/>
                <w:color w:val="auto"/>
              </w:rPr>
              <w:t>Section 15.5.</w:t>
            </w:r>
          </w:p>
        </w:tc>
        <w:tc>
          <w:tcPr>
            <w:tcW w:w="7820" w:type="dxa"/>
            <w:vAlign w:val="bottom"/>
          </w:tcPr>
          <w:p>
            <w:pPr>
              <w:ind w:left="720"/>
              <w:spacing w:after="0"/>
              <w:rPr>
                <w:sz w:val="20"/>
                <w:szCs w:val="20"/>
                <w:color w:val="auto"/>
              </w:rPr>
            </w:pPr>
            <w:r>
              <w:rPr>
                <w:rFonts w:ascii="Arial" w:cs="Arial" w:eastAsia="Arial" w:hAnsi="Arial"/>
                <w:sz w:val="18"/>
                <w:szCs w:val="18"/>
                <w:color w:val="auto"/>
              </w:rPr>
              <w:t>Amendments</w:t>
            </w:r>
          </w:p>
        </w:tc>
        <w:tc>
          <w:tcPr>
            <w:tcW w:w="18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15.6.</w:t>
            </w:r>
          </w:p>
        </w:tc>
        <w:tc>
          <w:tcPr>
            <w:tcW w:w="7820" w:type="dxa"/>
            <w:vAlign w:val="bottom"/>
          </w:tcPr>
          <w:p>
            <w:pPr>
              <w:ind w:left="720"/>
              <w:spacing w:after="0"/>
              <w:rPr>
                <w:sz w:val="20"/>
                <w:szCs w:val="20"/>
                <w:color w:val="auto"/>
              </w:rPr>
            </w:pPr>
            <w:r>
              <w:rPr>
                <w:rFonts w:ascii="Arial" w:cs="Arial" w:eastAsia="Arial" w:hAnsi="Arial"/>
                <w:sz w:val="18"/>
                <w:szCs w:val="18"/>
                <w:color w:val="auto"/>
              </w:rPr>
              <w:t>Obligations</w:t>
            </w:r>
          </w:p>
        </w:tc>
        <w:tc>
          <w:tcPr>
            <w:tcW w:w="18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15.7.</w:t>
            </w:r>
          </w:p>
        </w:tc>
        <w:tc>
          <w:tcPr>
            <w:tcW w:w="7820" w:type="dxa"/>
            <w:vAlign w:val="bottom"/>
          </w:tcPr>
          <w:p>
            <w:pPr>
              <w:ind w:left="720"/>
              <w:spacing w:after="0"/>
              <w:rPr>
                <w:sz w:val="20"/>
                <w:szCs w:val="20"/>
                <w:color w:val="auto"/>
              </w:rPr>
            </w:pPr>
            <w:r>
              <w:rPr>
                <w:rFonts w:ascii="Arial" w:cs="Arial" w:eastAsia="Arial" w:hAnsi="Arial"/>
                <w:sz w:val="18"/>
                <w:szCs w:val="18"/>
                <w:color w:val="auto"/>
              </w:rPr>
              <w:t>Headings, Etc.</w:t>
            </w:r>
          </w:p>
        </w:tc>
        <w:tc>
          <w:tcPr>
            <w:tcW w:w="18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15.8.</w:t>
            </w:r>
          </w:p>
        </w:tc>
        <w:tc>
          <w:tcPr>
            <w:tcW w:w="7820" w:type="dxa"/>
            <w:vAlign w:val="bottom"/>
          </w:tcPr>
          <w:p>
            <w:pPr>
              <w:ind w:left="720"/>
              <w:spacing w:after="0"/>
              <w:rPr>
                <w:sz w:val="20"/>
                <w:szCs w:val="20"/>
                <w:color w:val="auto"/>
              </w:rPr>
            </w:pPr>
            <w:r>
              <w:rPr>
                <w:rFonts w:ascii="Arial" w:cs="Arial" w:eastAsia="Arial" w:hAnsi="Arial"/>
                <w:sz w:val="18"/>
                <w:szCs w:val="18"/>
                <w:color w:val="auto"/>
              </w:rPr>
              <w:t>Parties in Interest</w:t>
            </w:r>
          </w:p>
        </w:tc>
        <w:tc>
          <w:tcPr>
            <w:tcW w:w="18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15.9.</w:t>
            </w:r>
          </w:p>
        </w:tc>
        <w:tc>
          <w:tcPr>
            <w:tcW w:w="7820" w:type="dxa"/>
            <w:vAlign w:val="bottom"/>
          </w:tcPr>
          <w:p>
            <w:pPr>
              <w:ind w:left="720"/>
              <w:spacing w:after="0"/>
              <w:rPr>
                <w:sz w:val="20"/>
                <w:szCs w:val="20"/>
                <w:color w:val="auto"/>
              </w:rPr>
            </w:pPr>
            <w:r>
              <w:rPr>
                <w:rFonts w:ascii="Arial" w:cs="Arial" w:eastAsia="Arial" w:hAnsi="Arial"/>
                <w:sz w:val="18"/>
                <w:szCs w:val="18"/>
                <w:color w:val="auto"/>
              </w:rPr>
              <w:t>Governing Law</w:t>
            </w:r>
          </w:p>
        </w:tc>
        <w:tc>
          <w:tcPr>
            <w:tcW w:w="18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15.10.</w:t>
            </w:r>
          </w:p>
        </w:tc>
        <w:tc>
          <w:tcPr>
            <w:tcW w:w="7820" w:type="dxa"/>
            <w:vAlign w:val="bottom"/>
          </w:tcPr>
          <w:p>
            <w:pPr>
              <w:ind w:left="720"/>
              <w:spacing w:after="0"/>
              <w:rPr>
                <w:sz w:val="20"/>
                <w:szCs w:val="20"/>
                <w:color w:val="auto"/>
              </w:rPr>
            </w:pPr>
            <w:r>
              <w:rPr>
                <w:rFonts w:ascii="Arial" w:cs="Arial" w:eastAsia="Arial" w:hAnsi="Arial"/>
                <w:sz w:val="18"/>
                <w:szCs w:val="18"/>
                <w:color w:val="auto"/>
              </w:rPr>
              <w:t>Severability</w:t>
            </w:r>
          </w:p>
        </w:tc>
        <w:tc>
          <w:tcPr>
            <w:tcW w:w="18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15.11.</w:t>
            </w:r>
          </w:p>
        </w:tc>
        <w:tc>
          <w:tcPr>
            <w:tcW w:w="7820" w:type="dxa"/>
            <w:vAlign w:val="bottom"/>
          </w:tcPr>
          <w:p>
            <w:pPr>
              <w:ind w:left="720"/>
              <w:spacing w:after="0"/>
              <w:rPr>
                <w:sz w:val="20"/>
                <w:szCs w:val="20"/>
                <w:color w:val="auto"/>
              </w:rPr>
            </w:pPr>
            <w:r>
              <w:rPr>
                <w:rFonts w:ascii="Arial" w:cs="Arial" w:eastAsia="Arial" w:hAnsi="Arial"/>
                <w:sz w:val="18"/>
                <w:szCs w:val="18"/>
                <w:color w:val="auto"/>
              </w:rPr>
              <w:t>Further Assurances</w:t>
            </w:r>
          </w:p>
        </w:tc>
        <w:tc>
          <w:tcPr>
            <w:tcW w:w="18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15.12.</w:t>
            </w:r>
          </w:p>
        </w:tc>
        <w:tc>
          <w:tcPr>
            <w:tcW w:w="7820" w:type="dxa"/>
            <w:vAlign w:val="bottom"/>
          </w:tcPr>
          <w:p>
            <w:pPr>
              <w:ind w:left="720"/>
              <w:spacing w:after="0"/>
              <w:rPr>
                <w:sz w:val="20"/>
                <w:szCs w:val="20"/>
                <w:color w:val="auto"/>
              </w:rPr>
            </w:pPr>
            <w:r>
              <w:rPr>
                <w:rFonts w:ascii="Arial" w:cs="Arial" w:eastAsia="Arial" w:hAnsi="Arial"/>
                <w:sz w:val="18"/>
                <w:szCs w:val="18"/>
                <w:color w:val="auto"/>
              </w:rPr>
              <w:t>Submission to Jurisdiction</w:t>
            </w:r>
          </w:p>
        </w:tc>
        <w:tc>
          <w:tcPr>
            <w:tcW w:w="18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760" w:type="dxa"/>
            <w:vAlign w:val="bottom"/>
          </w:tcPr>
          <w:p>
            <w:pPr>
              <w:ind w:left="180"/>
              <w:spacing w:after="0"/>
              <w:rPr>
                <w:sz w:val="20"/>
                <w:szCs w:val="20"/>
                <w:color w:val="auto"/>
              </w:rPr>
            </w:pPr>
            <w:r>
              <w:rPr>
                <w:rFonts w:ascii="Arial" w:cs="Arial" w:eastAsia="Arial" w:hAnsi="Arial"/>
                <w:sz w:val="18"/>
                <w:szCs w:val="18"/>
                <w:color w:val="auto"/>
              </w:rPr>
              <w:t>Section 15.13.</w:t>
            </w:r>
          </w:p>
        </w:tc>
        <w:tc>
          <w:tcPr>
            <w:tcW w:w="7820" w:type="dxa"/>
            <w:vAlign w:val="bottom"/>
          </w:tcPr>
          <w:p>
            <w:pPr>
              <w:ind w:left="720"/>
              <w:spacing w:after="0"/>
              <w:rPr>
                <w:sz w:val="20"/>
                <w:szCs w:val="20"/>
                <w:color w:val="auto"/>
              </w:rPr>
            </w:pPr>
            <w:r>
              <w:rPr>
                <w:rFonts w:ascii="Arial" w:cs="Arial" w:eastAsia="Arial" w:hAnsi="Arial"/>
                <w:sz w:val="18"/>
                <w:szCs w:val="18"/>
                <w:color w:val="auto"/>
              </w:rPr>
              <w:t>Waiver of Jury Trial</w:t>
            </w:r>
          </w:p>
        </w:tc>
        <w:tc>
          <w:tcPr>
            <w:tcW w:w="188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-8800465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-8800465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-1622425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-1622425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341" w:right="199" w:bottom="0" w:gutter="0" w:footer="0" w:header="0"/>
        </w:sectPr>
      </w:pPr>
    </w:p>
    <w:bookmarkStart w:id="5" w:name="page6"/>
    <w:bookmarkEnd w:id="5"/>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15.14.</w:t>
            </w:r>
          </w:p>
        </w:tc>
        <w:tc>
          <w:tcPr>
            <w:tcW w:w="6920" w:type="dxa"/>
            <w:vAlign w:val="bottom"/>
          </w:tcPr>
          <w:p>
            <w:pPr>
              <w:ind w:left="720"/>
              <w:spacing w:after="0"/>
              <w:rPr>
                <w:sz w:val="20"/>
                <w:szCs w:val="20"/>
                <w:color w:val="auto"/>
              </w:rPr>
            </w:pPr>
            <w:r>
              <w:rPr>
                <w:rFonts w:ascii="Arial" w:cs="Arial" w:eastAsia="Arial" w:hAnsi="Arial"/>
                <w:sz w:val="18"/>
                <w:szCs w:val="18"/>
                <w:color w:val="auto"/>
              </w:rPr>
              <w:t>Confidentiality</w:t>
            </w:r>
          </w:p>
        </w:tc>
        <w:tc>
          <w:tcPr>
            <w:tcW w:w="27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15.15.</w:t>
            </w:r>
          </w:p>
        </w:tc>
        <w:tc>
          <w:tcPr>
            <w:tcW w:w="6920" w:type="dxa"/>
            <w:vAlign w:val="bottom"/>
          </w:tcPr>
          <w:p>
            <w:pPr>
              <w:ind w:left="720"/>
              <w:spacing w:after="0"/>
              <w:rPr>
                <w:sz w:val="20"/>
                <w:szCs w:val="20"/>
                <w:color w:val="auto"/>
              </w:rPr>
            </w:pPr>
            <w:r>
              <w:rPr>
                <w:rFonts w:ascii="Arial" w:cs="Arial" w:eastAsia="Arial" w:hAnsi="Arial"/>
                <w:sz w:val="18"/>
                <w:szCs w:val="18"/>
                <w:color w:val="auto"/>
              </w:rPr>
              <w:t>Limited Liability of Lessor</w:t>
            </w:r>
          </w:p>
        </w:tc>
        <w:tc>
          <w:tcPr>
            <w:tcW w:w="27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15.16.</w:t>
            </w:r>
          </w:p>
        </w:tc>
        <w:tc>
          <w:tcPr>
            <w:tcW w:w="6920" w:type="dxa"/>
            <w:vAlign w:val="bottom"/>
          </w:tcPr>
          <w:p>
            <w:pPr>
              <w:ind w:left="720"/>
              <w:spacing w:after="0"/>
              <w:rPr>
                <w:sz w:val="20"/>
                <w:szCs w:val="20"/>
                <w:color w:val="auto"/>
              </w:rPr>
            </w:pPr>
            <w:r>
              <w:rPr>
                <w:rFonts w:ascii="Arial" w:cs="Arial" w:eastAsia="Arial" w:hAnsi="Arial"/>
                <w:sz w:val="18"/>
                <w:szCs w:val="18"/>
                <w:color w:val="auto"/>
              </w:rPr>
              <w:t>Limited Liability of Administrative Agent</w:t>
            </w:r>
          </w:p>
        </w:tc>
        <w:tc>
          <w:tcPr>
            <w:tcW w:w="27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15.17.</w:t>
            </w:r>
          </w:p>
        </w:tc>
        <w:tc>
          <w:tcPr>
            <w:tcW w:w="6920" w:type="dxa"/>
            <w:vAlign w:val="bottom"/>
          </w:tcPr>
          <w:p>
            <w:pPr>
              <w:ind w:left="720"/>
              <w:spacing w:after="0"/>
              <w:rPr>
                <w:sz w:val="20"/>
                <w:szCs w:val="20"/>
                <w:color w:val="auto"/>
              </w:rPr>
            </w:pPr>
            <w:r>
              <w:rPr>
                <w:rFonts w:ascii="Arial" w:cs="Arial" w:eastAsia="Arial" w:hAnsi="Arial"/>
                <w:sz w:val="18"/>
                <w:szCs w:val="18"/>
                <w:color w:val="auto"/>
              </w:rPr>
              <w:t>Payment of Transaction Expenses and Other Costs</w:t>
            </w:r>
          </w:p>
        </w:tc>
        <w:tc>
          <w:tcPr>
            <w:tcW w:w="2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15.18.</w:t>
            </w:r>
          </w:p>
        </w:tc>
        <w:tc>
          <w:tcPr>
            <w:tcW w:w="6920" w:type="dxa"/>
            <w:vAlign w:val="bottom"/>
          </w:tcPr>
          <w:p>
            <w:pPr>
              <w:ind w:left="720"/>
              <w:spacing w:after="0"/>
              <w:rPr>
                <w:sz w:val="20"/>
                <w:szCs w:val="20"/>
                <w:color w:val="auto"/>
              </w:rPr>
            </w:pPr>
            <w:r>
              <w:rPr>
                <w:rFonts w:ascii="Arial" w:cs="Arial" w:eastAsia="Arial" w:hAnsi="Arial"/>
                <w:sz w:val="18"/>
                <w:szCs w:val="18"/>
                <w:color w:val="auto"/>
              </w:rPr>
              <w:t>Reproduction of Documents</w:t>
            </w:r>
          </w:p>
        </w:tc>
        <w:tc>
          <w:tcPr>
            <w:tcW w:w="2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15.19.</w:t>
            </w:r>
          </w:p>
        </w:tc>
        <w:tc>
          <w:tcPr>
            <w:tcW w:w="6920" w:type="dxa"/>
            <w:vAlign w:val="bottom"/>
          </w:tcPr>
          <w:p>
            <w:pPr>
              <w:ind w:left="720"/>
              <w:spacing w:after="0"/>
              <w:rPr>
                <w:sz w:val="20"/>
                <w:szCs w:val="20"/>
                <w:color w:val="auto"/>
              </w:rPr>
            </w:pPr>
            <w:r>
              <w:rPr>
                <w:rFonts w:ascii="Arial" w:cs="Arial" w:eastAsia="Arial" w:hAnsi="Arial"/>
                <w:sz w:val="18"/>
                <w:szCs w:val="18"/>
                <w:color w:val="auto"/>
              </w:rPr>
              <w:t>Role of Arranger</w:t>
            </w:r>
          </w:p>
        </w:tc>
        <w:tc>
          <w:tcPr>
            <w:tcW w:w="2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15.20.</w:t>
            </w:r>
          </w:p>
        </w:tc>
        <w:tc>
          <w:tcPr>
            <w:tcW w:w="6920" w:type="dxa"/>
            <w:vAlign w:val="bottom"/>
          </w:tcPr>
          <w:p>
            <w:pPr>
              <w:ind w:left="720"/>
              <w:spacing w:after="0"/>
              <w:rPr>
                <w:sz w:val="20"/>
                <w:szCs w:val="20"/>
                <w:color w:val="auto"/>
              </w:rPr>
            </w:pPr>
            <w:r>
              <w:rPr>
                <w:rFonts w:ascii="Arial" w:cs="Arial" w:eastAsia="Arial" w:hAnsi="Arial"/>
                <w:sz w:val="18"/>
                <w:szCs w:val="18"/>
                <w:color w:val="auto"/>
              </w:rPr>
              <w:t>Retention of Consultants</w:t>
            </w:r>
          </w:p>
        </w:tc>
        <w:tc>
          <w:tcPr>
            <w:tcW w:w="2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15.21.</w:t>
            </w:r>
          </w:p>
        </w:tc>
        <w:tc>
          <w:tcPr>
            <w:tcW w:w="6920" w:type="dxa"/>
            <w:vAlign w:val="bottom"/>
          </w:tcPr>
          <w:p>
            <w:pPr>
              <w:ind w:left="720"/>
              <w:spacing w:after="0"/>
              <w:rPr>
                <w:sz w:val="20"/>
                <w:szCs w:val="20"/>
                <w:color w:val="auto"/>
              </w:rPr>
            </w:pPr>
            <w:r>
              <w:rPr>
                <w:rFonts w:ascii="Arial" w:cs="Arial" w:eastAsia="Arial" w:hAnsi="Arial"/>
                <w:sz w:val="18"/>
                <w:szCs w:val="18"/>
                <w:color w:val="auto"/>
              </w:rPr>
              <w:t>Liability Limited</w:t>
            </w:r>
          </w:p>
        </w:tc>
        <w:tc>
          <w:tcPr>
            <w:tcW w:w="2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15.22.</w:t>
            </w:r>
          </w:p>
        </w:tc>
        <w:tc>
          <w:tcPr>
            <w:tcW w:w="6920" w:type="dxa"/>
            <w:vAlign w:val="bottom"/>
          </w:tcPr>
          <w:p>
            <w:pPr>
              <w:ind w:left="720"/>
              <w:spacing w:after="0"/>
              <w:rPr>
                <w:sz w:val="20"/>
                <w:szCs w:val="20"/>
                <w:color w:val="auto"/>
              </w:rPr>
            </w:pPr>
            <w:r>
              <w:rPr>
                <w:rFonts w:ascii="Arial" w:cs="Arial" w:eastAsia="Arial" w:hAnsi="Arial"/>
                <w:sz w:val="18"/>
                <w:szCs w:val="18"/>
                <w:color w:val="auto"/>
              </w:rPr>
              <w:t>Deliveries to Participants</w:t>
            </w:r>
          </w:p>
        </w:tc>
        <w:tc>
          <w:tcPr>
            <w:tcW w:w="2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15.23.</w:t>
            </w:r>
          </w:p>
        </w:tc>
        <w:tc>
          <w:tcPr>
            <w:tcW w:w="6920" w:type="dxa"/>
            <w:vAlign w:val="bottom"/>
          </w:tcPr>
          <w:p>
            <w:pPr>
              <w:ind w:left="720"/>
              <w:spacing w:after="0"/>
              <w:rPr>
                <w:sz w:val="20"/>
                <w:szCs w:val="20"/>
                <w:color w:val="auto"/>
              </w:rPr>
            </w:pPr>
            <w:r>
              <w:rPr>
                <w:rFonts w:ascii="Arial" w:cs="Arial" w:eastAsia="Arial" w:hAnsi="Arial"/>
                <w:sz w:val="18"/>
                <w:szCs w:val="18"/>
                <w:color w:val="auto"/>
              </w:rPr>
              <w:t>USA patriot Act Notice</w:t>
            </w:r>
          </w:p>
        </w:tc>
        <w:tc>
          <w:tcPr>
            <w:tcW w:w="2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760" w:type="dxa"/>
            <w:vAlign w:val="bottom"/>
          </w:tcPr>
          <w:p>
            <w:pPr>
              <w:ind w:left="180"/>
              <w:spacing w:after="0"/>
              <w:rPr>
                <w:sz w:val="20"/>
                <w:szCs w:val="20"/>
                <w:color w:val="auto"/>
              </w:rPr>
            </w:pPr>
            <w:r>
              <w:rPr>
                <w:rFonts w:ascii="Arial" w:cs="Arial" w:eastAsia="Arial" w:hAnsi="Arial"/>
                <w:sz w:val="18"/>
                <w:szCs w:val="18"/>
                <w:color w:val="auto"/>
              </w:rPr>
              <w:t>Section 15.24.</w:t>
            </w:r>
          </w:p>
        </w:tc>
        <w:tc>
          <w:tcPr>
            <w:tcW w:w="6920" w:type="dxa"/>
            <w:vAlign w:val="bottom"/>
          </w:tcPr>
          <w:p>
            <w:pPr>
              <w:ind w:left="720"/>
              <w:spacing w:after="0"/>
              <w:rPr>
                <w:sz w:val="20"/>
                <w:szCs w:val="20"/>
                <w:color w:val="auto"/>
              </w:rPr>
            </w:pPr>
            <w:r>
              <w:rPr>
                <w:rFonts w:ascii="Arial" w:cs="Arial" w:eastAsia="Arial" w:hAnsi="Arial"/>
                <w:sz w:val="18"/>
                <w:szCs w:val="18"/>
                <w:color w:val="auto"/>
              </w:rPr>
              <w:t>No Advisory or Fiduciary Responsibility</w:t>
            </w:r>
          </w:p>
        </w:tc>
        <w:tc>
          <w:tcPr>
            <w:tcW w:w="2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1760" w:type="dxa"/>
            <w:vAlign w:val="bottom"/>
          </w:tcPr>
          <w:p>
            <w:pPr>
              <w:spacing w:after="0"/>
              <w:rPr>
                <w:sz w:val="20"/>
                <w:szCs w:val="20"/>
                <w:color w:val="auto"/>
              </w:rPr>
            </w:pPr>
            <w:r>
              <w:rPr>
                <w:rFonts w:ascii="Arial" w:cs="Arial" w:eastAsia="Arial" w:hAnsi="Arial"/>
                <w:sz w:val="18"/>
                <w:szCs w:val="18"/>
                <w:color w:val="auto"/>
              </w:rPr>
              <w:t>ARTICLE XVI</w:t>
            </w:r>
          </w:p>
        </w:tc>
        <w:tc>
          <w:tcPr>
            <w:tcW w:w="6920" w:type="dxa"/>
            <w:vAlign w:val="bottom"/>
          </w:tcPr>
          <w:p>
            <w:pPr>
              <w:ind w:left="540"/>
              <w:spacing w:after="0"/>
              <w:rPr>
                <w:sz w:val="20"/>
                <w:szCs w:val="20"/>
                <w:color w:val="auto"/>
              </w:rPr>
            </w:pPr>
            <w:r>
              <w:rPr>
                <w:rFonts w:ascii="Arial" w:cs="Arial" w:eastAsia="Arial" w:hAnsi="Arial"/>
                <w:sz w:val="18"/>
                <w:szCs w:val="18"/>
                <w:color w:val="auto"/>
              </w:rPr>
              <w:t>THE ADMINISTRATIVE AGENT</w:t>
            </w:r>
          </w:p>
        </w:tc>
        <w:tc>
          <w:tcPr>
            <w:tcW w:w="27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18"/>
        </w:trPr>
        <w:tc>
          <w:tcPr>
            <w:tcW w:w="1760" w:type="dxa"/>
            <w:vAlign w:val="bottom"/>
          </w:tcPr>
          <w:p>
            <w:pPr>
              <w:ind w:left="180"/>
              <w:spacing w:after="0"/>
              <w:rPr>
                <w:sz w:val="20"/>
                <w:szCs w:val="20"/>
                <w:color w:val="auto"/>
              </w:rPr>
            </w:pPr>
            <w:r>
              <w:rPr>
                <w:rFonts w:ascii="Arial" w:cs="Arial" w:eastAsia="Arial" w:hAnsi="Arial"/>
                <w:sz w:val="18"/>
                <w:szCs w:val="18"/>
                <w:color w:val="auto"/>
              </w:rPr>
              <w:t>Section 16.1.</w:t>
            </w:r>
          </w:p>
        </w:tc>
        <w:tc>
          <w:tcPr>
            <w:tcW w:w="6920" w:type="dxa"/>
            <w:vAlign w:val="bottom"/>
          </w:tcPr>
          <w:p>
            <w:pPr>
              <w:ind w:left="720"/>
              <w:spacing w:after="0"/>
              <w:rPr>
                <w:sz w:val="20"/>
                <w:szCs w:val="20"/>
                <w:color w:val="auto"/>
              </w:rPr>
            </w:pPr>
            <w:r>
              <w:rPr>
                <w:rFonts w:ascii="Arial" w:cs="Arial" w:eastAsia="Arial" w:hAnsi="Arial"/>
                <w:sz w:val="18"/>
                <w:szCs w:val="18"/>
                <w:color w:val="auto"/>
              </w:rPr>
              <w:t>Appointment</w:t>
            </w:r>
          </w:p>
        </w:tc>
        <w:tc>
          <w:tcPr>
            <w:tcW w:w="27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16.2.</w:t>
            </w:r>
          </w:p>
        </w:tc>
        <w:tc>
          <w:tcPr>
            <w:tcW w:w="6920" w:type="dxa"/>
            <w:vAlign w:val="bottom"/>
          </w:tcPr>
          <w:p>
            <w:pPr>
              <w:ind w:left="720"/>
              <w:spacing w:after="0"/>
              <w:rPr>
                <w:sz w:val="20"/>
                <w:szCs w:val="20"/>
                <w:color w:val="auto"/>
              </w:rPr>
            </w:pPr>
            <w:r>
              <w:rPr>
                <w:rFonts w:ascii="Arial" w:cs="Arial" w:eastAsia="Arial" w:hAnsi="Arial"/>
                <w:sz w:val="18"/>
                <w:szCs w:val="18"/>
                <w:color w:val="auto"/>
              </w:rPr>
              <w:t>Delegation of Duties</w:t>
            </w:r>
          </w:p>
        </w:tc>
        <w:tc>
          <w:tcPr>
            <w:tcW w:w="27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16.3.</w:t>
            </w:r>
          </w:p>
        </w:tc>
        <w:tc>
          <w:tcPr>
            <w:tcW w:w="6920" w:type="dxa"/>
            <w:vAlign w:val="bottom"/>
          </w:tcPr>
          <w:p>
            <w:pPr>
              <w:ind w:left="720"/>
              <w:spacing w:after="0"/>
              <w:rPr>
                <w:sz w:val="20"/>
                <w:szCs w:val="20"/>
                <w:color w:val="auto"/>
              </w:rPr>
            </w:pPr>
            <w:r>
              <w:rPr>
                <w:rFonts w:ascii="Arial" w:cs="Arial" w:eastAsia="Arial" w:hAnsi="Arial"/>
                <w:sz w:val="18"/>
                <w:szCs w:val="18"/>
                <w:color w:val="auto"/>
              </w:rPr>
              <w:t>Exculpatory Provisions</w:t>
            </w:r>
          </w:p>
        </w:tc>
        <w:tc>
          <w:tcPr>
            <w:tcW w:w="27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16.4.</w:t>
            </w:r>
          </w:p>
        </w:tc>
        <w:tc>
          <w:tcPr>
            <w:tcW w:w="6920" w:type="dxa"/>
            <w:vAlign w:val="bottom"/>
          </w:tcPr>
          <w:p>
            <w:pPr>
              <w:ind w:left="720"/>
              <w:spacing w:after="0"/>
              <w:rPr>
                <w:sz w:val="20"/>
                <w:szCs w:val="20"/>
                <w:color w:val="auto"/>
              </w:rPr>
            </w:pPr>
            <w:r>
              <w:rPr>
                <w:rFonts w:ascii="Arial" w:cs="Arial" w:eastAsia="Arial" w:hAnsi="Arial"/>
                <w:sz w:val="18"/>
                <w:szCs w:val="18"/>
                <w:color w:val="auto"/>
              </w:rPr>
              <w:t>Reliance by Administrative Agent</w:t>
            </w:r>
          </w:p>
        </w:tc>
        <w:tc>
          <w:tcPr>
            <w:tcW w:w="27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16.5.</w:t>
            </w:r>
          </w:p>
        </w:tc>
        <w:tc>
          <w:tcPr>
            <w:tcW w:w="6920" w:type="dxa"/>
            <w:vAlign w:val="bottom"/>
          </w:tcPr>
          <w:p>
            <w:pPr>
              <w:ind w:left="720"/>
              <w:spacing w:after="0"/>
              <w:rPr>
                <w:sz w:val="20"/>
                <w:szCs w:val="20"/>
                <w:color w:val="auto"/>
              </w:rPr>
            </w:pPr>
            <w:r>
              <w:rPr>
                <w:rFonts w:ascii="Arial" w:cs="Arial" w:eastAsia="Arial" w:hAnsi="Arial"/>
                <w:sz w:val="18"/>
                <w:szCs w:val="18"/>
                <w:color w:val="auto"/>
              </w:rPr>
              <w:t>Notice of Default</w:t>
            </w:r>
          </w:p>
        </w:tc>
        <w:tc>
          <w:tcPr>
            <w:tcW w:w="27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16.7.</w:t>
            </w:r>
          </w:p>
        </w:tc>
        <w:tc>
          <w:tcPr>
            <w:tcW w:w="6920" w:type="dxa"/>
            <w:vAlign w:val="bottom"/>
          </w:tcPr>
          <w:p>
            <w:pPr>
              <w:ind w:left="720"/>
              <w:spacing w:after="0"/>
              <w:rPr>
                <w:sz w:val="20"/>
                <w:szCs w:val="20"/>
                <w:color w:val="auto"/>
              </w:rPr>
            </w:pPr>
            <w:r>
              <w:rPr>
                <w:rFonts w:ascii="Arial" w:cs="Arial" w:eastAsia="Arial" w:hAnsi="Arial"/>
                <w:sz w:val="18"/>
                <w:szCs w:val="18"/>
                <w:color w:val="auto"/>
              </w:rPr>
              <w:t>Administrative Agent in Its Individual Capacity</w:t>
            </w:r>
          </w:p>
        </w:tc>
        <w:tc>
          <w:tcPr>
            <w:tcW w:w="27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16.8.</w:t>
            </w:r>
          </w:p>
        </w:tc>
        <w:tc>
          <w:tcPr>
            <w:tcW w:w="6920" w:type="dxa"/>
            <w:vAlign w:val="bottom"/>
          </w:tcPr>
          <w:p>
            <w:pPr>
              <w:ind w:left="720"/>
              <w:spacing w:after="0"/>
              <w:rPr>
                <w:sz w:val="20"/>
                <w:szCs w:val="20"/>
                <w:color w:val="auto"/>
              </w:rPr>
            </w:pPr>
            <w:r>
              <w:rPr>
                <w:rFonts w:ascii="Arial" w:cs="Arial" w:eastAsia="Arial" w:hAnsi="Arial"/>
                <w:sz w:val="18"/>
                <w:szCs w:val="18"/>
                <w:color w:val="auto"/>
              </w:rPr>
              <w:t>Successor Administrative Agent</w:t>
            </w:r>
          </w:p>
        </w:tc>
        <w:tc>
          <w:tcPr>
            <w:tcW w:w="27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760" w:type="dxa"/>
            <w:vAlign w:val="bottom"/>
          </w:tcPr>
          <w:p>
            <w:pPr>
              <w:ind w:left="180"/>
              <w:spacing w:after="0"/>
              <w:rPr>
                <w:sz w:val="20"/>
                <w:szCs w:val="20"/>
                <w:color w:val="auto"/>
              </w:rPr>
            </w:pPr>
            <w:r>
              <w:rPr>
                <w:rFonts w:ascii="Arial" w:cs="Arial" w:eastAsia="Arial" w:hAnsi="Arial"/>
                <w:sz w:val="18"/>
                <w:szCs w:val="18"/>
                <w:color w:val="auto"/>
              </w:rPr>
              <w:t>Section 16.9.</w:t>
            </w:r>
          </w:p>
        </w:tc>
        <w:tc>
          <w:tcPr>
            <w:tcW w:w="6920" w:type="dxa"/>
            <w:vAlign w:val="bottom"/>
          </w:tcPr>
          <w:p>
            <w:pPr>
              <w:ind w:left="720"/>
              <w:spacing w:after="0"/>
              <w:rPr>
                <w:sz w:val="20"/>
                <w:szCs w:val="20"/>
                <w:color w:val="auto"/>
              </w:rPr>
            </w:pPr>
            <w:r>
              <w:rPr>
                <w:rFonts w:ascii="Arial" w:cs="Arial" w:eastAsia="Arial" w:hAnsi="Arial"/>
                <w:sz w:val="18"/>
                <w:szCs w:val="18"/>
                <w:color w:val="auto"/>
              </w:rPr>
              <w:t>Non-Reliance on Administrative Agent</w:t>
            </w:r>
          </w:p>
        </w:tc>
        <w:tc>
          <w:tcPr>
            <w:tcW w:w="27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1760" w:type="dxa"/>
            <w:vAlign w:val="bottom"/>
          </w:tcPr>
          <w:p>
            <w:pPr>
              <w:ind w:left="180"/>
              <w:spacing w:after="0"/>
              <w:rPr>
                <w:sz w:val="20"/>
                <w:szCs w:val="20"/>
                <w:color w:val="auto"/>
              </w:rPr>
            </w:pPr>
            <w:r>
              <w:rPr>
                <w:rFonts w:ascii="Arial" w:cs="Arial" w:eastAsia="Arial" w:hAnsi="Arial"/>
                <w:sz w:val="18"/>
                <w:szCs w:val="18"/>
                <w:color w:val="auto"/>
              </w:rPr>
              <w:t>Section 16.10.</w:t>
            </w:r>
          </w:p>
        </w:tc>
        <w:tc>
          <w:tcPr>
            <w:tcW w:w="6920" w:type="dxa"/>
            <w:vAlign w:val="bottom"/>
          </w:tcPr>
          <w:p>
            <w:pPr>
              <w:ind w:left="720"/>
              <w:spacing w:after="0"/>
              <w:rPr>
                <w:sz w:val="20"/>
                <w:szCs w:val="20"/>
                <w:color w:val="auto"/>
              </w:rPr>
            </w:pPr>
            <w:r>
              <w:rPr>
                <w:rFonts w:ascii="Arial" w:cs="Arial" w:eastAsia="Arial" w:hAnsi="Arial"/>
                <w:sz w:val="18"/>
                <w:szCs w:val="18"/>
                <w:color w:val="auto"/>
              </w:rPr>
              <w:t>Release of Collateral</w:t>
            </w:r>
          </w:p>
        </w:tc>
        <w:tc>
          <w:tcPr>
            <w:tcW w:w="2740" w:type="dxa"/>
            <w:vAlign w:val="bottom"/>
          </w:tcPr>
          <w:p>
            <w:pPr>
              <w:jc w:val="right"/>
              <w:spacing w:after="0"/>
              <w:rPr>
                <w:sz w:val="20"/>
                <w:szCs w:val="20"/>
                <w:color w:val="auto"/>
              </w:rPr>
            </w:pPr>
            <w:r>
              <w:rPr>
                <w:rFonts w:ascii="Arial" w:cs="Arial" w:eastAsia="Arial" w:hAnsi="Arial"/>
                <w:sz w:val="18"/>
                <w:szCs w:val="18"/>
                <w:color w:val="auto"/>
              </w:rPr>
              <w:t>57</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120" w:type="dxa"/>
            <w:vAlign w:val="bottom"/>
          </w:tcPr>
          <w:p>
            <w:pPr>
              <w:ind w:left="3300"/>
              <w:spacing w:after="0"/>
              <w:rPr>
                <w:sz w:val="20"/>
                <w:szCs w:val="20"/>
                <w:color w:val="auto"/>
              </w:rPr>
            </w:pPr>
            <w:r>
              <w:rPr>
                <w:rFonts w:ascii="Arial" w:cs="Arial" w:eastAsia="Arial" w:hAnsi="Arial"/>
                <w:sz w:val="18"/>
                <w:szCs w:val="18"/>
                <w:color w:val="auto"/>
              </w:rPr>
              <w:t>iii</w:t>
            </w:r>
          </w:p>
        </w:tc>
      </w:tr>
      <w:tr>
        <w:trPr>
          <w:trHeight w:val="132"/>
        </w:trPr>
        <w:tc>
          <w:tcPr>
            <w:tcW w:w="8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9120" w:type="dxa"/>
            <w:vAlign w:val="bottom"/>
            <w:tcBorders>
              <w:bottom w:val="single" w:sz="8" w:color="808080"/>
            </w:tcBorders>
          </w:tcPr>
          <w:p>
            <w:pPr>
              <w:spacing w:after="0"/>
              <w:rPr>
                <w:sz w:val="11"/>
                <w:szCs w:val="11"/>
                <w:color w:val="auto"/>
              </w:rPr>
            </w:pPr>
          </w:p>
        </w:tc>
      </w:tr>
      <w:tr>
        <w:trPr>
          <w:trHeight w:val="740"/>
        </w:trPr>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7"/>
              </w:rPr>
              <w:t>APPENDICES</w:t>
            </w: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120" w:type="dxa"/>
            <w:vAlign w:val="bottom"/>
          </w:tcPr>
          <w:p>
            <w:pPr>
              <w:spacing w:after="0"/>
              <w:rPr>
                <w:sz w:val="24"/>
                <w:szCs w:val="24"/>
                <w:color w:val="auto"/>
              </w:rPr>
            </w:pPr>
          </w:p>
        </w:tc>
      </w:tr>
      <w:tr>
        <w:trPr>
          <w:trHeight w:val="453"/>
        </w:trPr>
        <w:tc>
          <w:tcPr>
            <w:tcW w:w="1740" w:type="dxa"/>
            <w:vAlign w:val="bottom"/>
            <w:gridSpan w:val="4"/>
          </w:tcPr>
          <w:p>
            <w:pPr>
              <w:spacing w:after="0"/>
              <w:rPr>
                <w:sz w:val="20"/>
                <w:szCs w:val="20"/>
                <w:color w:val="auto"/>
              </w:rPr>
            </w:pPr>
            <w:r>
              <w:rPr>
                <w:rFonts w:ascii="Arial" w:cs="Arial" w:eastAsia="Arial" w:hAnsi="Arial"/>
                <w:sz w:val="18"/>
                <w:szCs w:val="18"/>
                <w:color w:val="auto"/>
              </w:rPr>
              <w:t>APPENDIX 1</w:t>
            </w:r>
          </w:p>
        </w:tc>
        <w:tc>
          <w:tcPr>
            <w:tcW w:w="600" w:type="dxa"/>
            <w:vAlign w:val="bottom"/>
          </w:tcPr>
          <w:p>
            <w:pPr>
              <w:ind w:left="260"/>
              <w:spacing w:after="0"/>
              <w:rPr>
                <w:sz w:val="20"/>
                <w:szCs w:val="20"/>
                <w:color w:val="auto"/>
              </w:rPr>
            </w:pPr>
            <w:r>
              <w:rPr>
                <w:rFonts w:ascii="Arial" w:cs="Arial" w:eastAsia="Arial" w:hAnsi="Arial"/>
                <w:sz w:val="18"/>
                <w:szCs w:val="18"/>
                <w:color w:val="auto"/>
              </w:rPr>
              <w:t>—</w:t>
            </w:r>
          </w:p>
        </w:tc>
        <w:tc>
          <w:tcPr>
            <w:tcW w:w="9120" w:type="dxa"/>
            <w:vAlign w:val="bottom"/>
          </w:tcPr>
          <w:p>
            <w:pPr>
              <w:ind w:left="160"/>
              <w:spacing w:after="0"/>
              <w:rPr>
                <w:sz w:val="20"/>
                <w:szCs w:val="20"/>
                <w:color w:val="auto"/>
              </w:rPr>
            </w:pPr>
            <w:r>
              <w:rPr>
                <w:rFonts w:ascii="Arial" w:cs="Arial" w:eastAsia="Arial" w:hAnsi="Arial"/>
                <w:sz w:val="18"/>
                <w:szCs w:val="18"/>
                <w:color w:val="auto"/>
              </w:rPr>
              <w:t>Definitions and Interpretation</w:t>
            </w:r>
          </w:p>
        </w:tc>
      </w:tr>
      <w:tr>
        <w:trPr>
          <w:trHeight w:val="392"/>
        </w:trPr>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SCHEDULES</w:t>
            </w:r>
          </w:p>
        </w:tc>
        <w:tc>
          <w:tcPr>
            <w:tcW w:w="640" w:type="dxa"/>
            <w:vAlign w:val="bottom"/>
            <w:gridSpan w:val="2"/>
          </w:tcPr>
          <w:p>
            <w:pPr>
              <w:spacing w:after="0"/>
              <w:rPr>
                <w:sz w:val="24"/>
                <w:szCs w:val="24"/>
                <w:color w:val="auto"/>
              </w:rPr>
            </w:pPr>
          </w:p>
        </w:tc>
        <w:tc>
          <w:tcPr>
            <w:tcW w:w="600" w:type="dxa"/>
            <w:vAlign w:val="bottom"/>
          </w:tcPr>
          <w:p>
            <w:pPr>
              <w:spacing w:after="0"/>
              <w:rPr>
                <w:sz w:val="24"/>
                <w:szCs w:val="24"/>
                <w:color w:val="auto"/>
              </w:rPr>
            </w:pPr>
          </w:p>
        </w:tc>
        <w:tc>
          <w:tcPr>
            <w:tcW w:w="9120" w:type="dxa"/>
            <w:vAlign w:val="bottom"/>
          </w:tcPr>
          <w:p>
            <w:pPr>
              <w:spacing w:after="0"/>
              <w:rPr>
                <w:sz w:val="24"/>
                <w:szCs w:val="24"/>
                <w:color w:val="auto"/>
              </w:rPr>
            </w:pPr>
          </w:p>
        </w:tc>
      </w:tr>
      <w:tr>
        <w:trPr>
          <w:trHeight w:val="438"/>
        </w:trPr>
        <w:tc>
          <w:tcPr>
            <w:tcW w:w="1740" w:type="dxa"/>
            <w:vAlign w:val="bottom"/>
            <w:gridSpan w:val="4"/>
          </w:tcPr>
          <w:p>
            <w:pPr>
              <w:spacing w:after="0"/>
              <w:rPr>
                <w:sz w:val="20"/>
                <w:szCs w:val="20"/>
                <w:color w:val="auto"/>
              </w:rPr>
            </w:pPr>
            <w:r>
              <w:rPr>
                <w:rFonts w:ascii="Arial" w:cs="Arial" w:eastAsia="Arial" w:hAnsi="Arial"/>
                <w:sz w:val="18"/>
                <w:szCs w:val="18"/>
                <w:color w:val="auto"/>
              </w:rPr>
              <w:t>SCHEDULE I</w:t>
            </w:r>
          </w:p>
        </w:tc>
        <w:tc>
          <w:tcPr>
            <w:tcW w:w="600" w:type="dxa"/>
            <w:vAlign w:val="bottom"/>
          </w:tcPr>
          <w:p>
            <w:pPr>
              <w:ind w:left="260"/>
              <w:spacing w:after="0"/>
              <w:rPr>
                <w:sz w:val="20"/>
                <w:szCs w:val="20"/>
                <w:color w:val="auto"/>
              </w:rPr>
            </w:pPr>
            <w:r>
              <w:rPr>
                <w:rFonts w:ascii="Arial" w:cs="Arial" w:eastAsia="Arial" w:hAnsi="Arial"/>
                <w:sz w:val="18"/>
                <w:szCs w:val="18"/>
                <w:color w:val="auto"/>
              </w:rPr>
              <w:t>—</w:t>
            </w:r>
          </w:p>
        </w:tc>
        <w:tc>
          <w:tcPr>
            <w:tcW w:w="9120" w:type="dxa"/>
            <w:vAlign w:val="bottom"/>
          </w:tcPr>
          <w:p>
            <w:pPr>
              <w:ind w:left="160"/>
              <w:spacing w:after="0"/>
              <w:rPr>
                <w:sz w:val="20"/>
                <w:szCs w:val="20"/>
                <w:color w:val="auto"/>
              </w:rPr>
            </w:pPr>
            <w:r>
              <w:rPr>
                <w:rFonts w:ascii="Arial" w:cs="Arial" w:eastAsia="Arial" w:hAnsi="Arial"/>
                <w:sz w:val="18"/>
                <w:szCs w:val="18"/>
                <w:color w:val="auto"/>
              </w:rPr>
              <w:t>Lessor Commitment</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SCHEDULE II</w:t>
            </w:r>
          </w:p>
        </w:tc>
        <w:tc>
          <w:tcPr>
            <w:tcW w:w="600" w:type="dxa"/>
            <w:vAlign w:val="bottom"/>
          </w:tcPr>
          <w:p>
            <w:pPr>
              <w:ind w:left="260"/>
              <w:spacing w:after="0"/>
              <w:rPr>
                <w:sz w:val="20"/>
                <w:szCs w:val="20"/>
                <w:color w:val="auto"/>
              </w:rPr>
            </w:pPr>
            <w:r>
              <w:rPr>
                <w:rFonts w:ascii="Arial" w:cs="Arial" w:eastAsia="Arial" w:hAnsi="Arial"/>
                <w:sz w:val="18"/>
                <w:szCs w:val="18"/>
                <w:color w:val="auto"/>
              </w:rPr>
              <w:t>—</w:t>
            </w:r>
          </w:p>
        </w:tc>
        <w:tc>
          <w:tcPr>
            <w:tcW w:w="9120" w:type="dxa"/>
            <w:vAlign w:val="bottom"/>
          </w:tcPr>
          <w:p>
            <w:pPr>
              <w:ind w:left="160"/>
              <w:spacing w:after="0"/>
              <w:rPr>
                <w:sz w:val="20"/>
                <w:szCs w:val="20"/>
                <w:color w:val="auto"/>
              </w:rPr>
            </w:pPr>
            <w:r>
              <w:rPr>
                <w:rFonts w:ascii="Arial" w:cs="Arial" w:eastAsia="Arial" w:hAnsi="Arial"/>
                <w:sz w:val="18"/>
                <w:szCs w:val="18"/>
                <w:color w:val="auto"/>
              </w:rPr>
              <w:t>Lenders’ Commitments</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SCHEDULE III</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   Notice Information, Payment Offices and Applicable Lending Offices</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SCHEDULE IV</w:t>
            </w:r>
          </w:p>
        </w:tc>
        <w:tc>
          <w:tcPr>
            <w:tcW w:w="600" w:type="dxa"/>
            <w:vAlign w:val="bottom"/>
          </w:tcPr>
          <w:p>
            <w:pPr>
              <w:ind w:left="260"/>
              <w:spacing w:after="0"/>
              <w:rPr>
                <w:sz w:val="20"/>
                <w:szCs w:val="20"/>
                <w:color w:val="auto"/>
              </w:rPr>
            </w:pPr>
            <w:r>
              <w:rPr>
                <w:rFonts w:ascii="Arial" w:cs="Arial" w:eastAsia="Arial" w:hAnsi="Arial"/>
                <w:sz w:val="18"/>
                <w:szCs w:val="18"/>
                <w:color w:val="auto"/>
              </w:rPr>
              <w:t>—</w:t>
            </w:r>
          </w:p>
        </w:tc>
        <w:tc>
          <w:tcPr>
            <w:tcW w:w="9120" w:type="dxa"/>
            <w:vAlign w:val="bottom"/>
          </w:tcPr>
          <w:p>
            <w:pPr>
              <w:ind w:left="160"/>
              <w:spacing w:after="0"/>
              <w:rPr>
                <w:sz w:val="20"/>
                <w:szCs w:val="20"/>
                <w:color w:val="auto"/>
              </w:rPr>
            </w:pPr>
            <w:r>
              <w:rPr>
                <w:rFonts w:ascii="Arial" w:cs="Arial" w:eastAsia="Arial" w:hAnsi="Arial"/>
                <w:sz w:val="18"/>
                <w:szCs w:val="18"/>
                <w:color w:val="auto"/>
              </w:rPr>
              <w:t>Initial Subsidiary Guarantors</w:t>
            </w:r>
          </w:p>
        </w:tc>
      </w:tr>
      <w:tr>
        <w:trPr>
          <w:trHeight w:val="230"/>
        </w:trPr>
        <w:tc>
          <w:tcPr>
            <w:tcW w:w="1740" w:type="dxa"/>
            <w:vAlign w:val="bottom"/>
            <w:gridSpan w:val="4"/>
          </w:tcPr>
          <w:p>
            <w:pPr>
              <w:spacing w:after="0"/>
              <w:rPr>
                <w:sz w:val="20"/>
                <w:szCs w:val="20"/>
                <w:color w:val="auto"/>
              </w:rPr>
            </w:pPr>
            <w:r>
              <w:rPr>
                <w:rFonts w:ascii="Arial" w:cs="Arial" w:eastAsia="Arial" w:hAnsi="Arial"/>
                <w:sz w:val="18"/>
                <w:szCs w:val="18"/>
                <w:color w:val="auto"/>
              </w:rPr>
              <w:t>SCHEDULE 6.1(xi)</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   Governmental Actions; Filings and Recordings</w:t>
            </w:r>
          </w:p>
        </w:tc>
      </w:tr>
      <w:tr>
        <w:trPr>
          <w:trHeight w:val="392"/>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EXHIBITS</w:t>
            </w:r>
          </w:p>
        </w:tc>
        <w:tc>
          <w:tcPr>
            <w:tcW w:w="860" w:type="dxa"/>
            <w:vAlign w:val="bottom"/>
            <w:gridSpan w:val="3"/>
          </w:tcPr>
          <w:p>
            <w:pPr>
              <w:spacing w:after="0"/>
              <w:rPr>
                <w:sz w:val="24"/>
                <w:szCs w:val="24"/>
                <w:color w:val="auto"/>
              </w:rPr>
            </w:pPr>
          </w:p>
        </w:tc>
        <w:tc>
          <w:tcPr>
            <w:tcW w:w="600" w:type="dxa"/>
            <w:vAlign w:val="bottom"/>
          </w:tcPr>
          <w:p>
            <w:pPr>
              <w:spacing w:after="0"/>
              <w:rPr>
                <w:sz w:val="24"/>
                <w:szCs w:val="24"/>
                <w:color w:val="auto"/>
              </w:rPr>
            </w:pPr>
          </w:p>
        </w:tc>
        <w:tc>
          <w:tcPr>
            <w:tcW w:w="9120" w:type="dxa"/>
            <w:vAlign w:val="bottom"/>
          </w:tcPr>
          <w:p>
            <w:pPr>
              <w:spacing w:after="0"/>
              <w:rPr>
                <w:sz w:val="24"/>
                <w:szCs w:val="24"/>
                <w:color w:val="auto"/>
              </w:rPr>
            </w:pPr>
          </w:p>
        </w:tc>
      </w:tr>
      <w:tr>
        <w:trPr>
          <w:trHeight w:val="438"/>
        </w:trPr>
        <w:tc>
          <w:tcPr>
            <w:tcW w:w="1740" w:type="dxa"/>
            <w:vAlign w:val="bottom"/>
            <w:gridSpan w:val="4"/>
          </w:tcPr>
          <w:p>
            <w:pPr>
              <w:spacing w:after="0"/>
              <w:rPr>
                <w:sz w:val="20"/>
                <w:szCs w:val="20"/>
                <w:color w:val="auto"/>
              </w:rPr>
            </w:pPr>
            <w:r>
              <w:rPr>
                <w:rFonts w:ascii="Arial" w:cs="Arial" w:eastAsia="Arial" w:hAnsi="Arial"/>
                <w:sz w:val="18"/>
                <w:szCs w:val="18"/>
                <w:color w:val="auto"/>
              </w:rPr>
              <w:t>EXHIBIT A</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   Form of Advance Request</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EXHIBIT B</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   Form of Lessee’s Document Closing Date Certificate</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EXHIBIT C</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   Form of Parent Guarantor’s Document Closing Date Certificate</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EXHIBIT D</w:t>
            </w:r>
          </w:p>
        </w:tc>
        <w:tc>
          <w:tcPr>
            <w:tcW w:w="600" w:type="dxa"/>
            <w:vAlign w:val="bottom"/>
          </w:tcPr>
          <w:p>
            <w:pPr>
              <w:ind w:left="260"/>
              <w:spacing w:after="0"/>
              <w:rPr>
                <w:sz w:val="20"/>
                <w:szCs w:val="20"/>
                <w:color w:val="auto"/>
              </w:rPr>
            </w:pPr>
            <w:r>
              <w:rPr>
                <w:rFonts w:ascii="Arial" w:cs="Arial" w:eastAsia="Arial" w:hAnsi="Arial"/>
                <w:sz w:val="18"/>
                <w:szCs w:val="18"/>
                <w:color w:val="auto"/>
              </w:rPr>
              <w:t>—</w:t>
            </w:r>
          </w:p>
        </w:tc>
        <w:tc>
          <w:tcPr>
            <w:tcW w:w="9120" w:type="dxa"/>
            <w:vAlign w:val="bottom"/>
          </w:tcPr>
          <w:p>
            <w:pPr>
              <w:ind w:left="160"/>
              <w:spacing w:after="0"/>
              <w:rPr>
                <w:sz w:val="20"/>
                <w:szCs w:val="20"/>
                <w:color w:val="auto"/>
              </w:rPr>
            </w:pPr>
            <w:r>
              <w:rPr>
                <w:rFonts w:ascii="Arial" w:cs="Arial" w:eastAsia="Arial" w:hAnsi="Arial"/>
                <w:sz w:val="18"/>
                <w:szCs w:val="18"/>
                <w:color w:val="auto"/>
              </w:rPr>
              <w:t>Form of Guaranty</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EXHIBIT E</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   Form of Assignment Agreement</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EXHIBIT F-1</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   Form of Officer’s Certificate of Lessee</w:t>
            </w:r>
          </w:p>
        </w:tc>
      </w:tr>
      <w:tr>
        <w:trPr>
          <w:trHeight w:val="216"/>
        </w:trPr>
        <w:tc>
          <w:tcPr>
            <w:tcW w:w="1740" w:type="dxa"/>
            <w:vAlign w:val="bottom"/>
            <w:gridSpan w:val="4"/>
          </w:tcPr>
          <w:p>
            <w:pPr>
              <w:spacing w:after="0"/>
              <w:rPr>
                <w:sz w:val="20"/>
                <w:szCs w:val="20"/>
                <w:color w:val="auto"/>
              </w:rPr>
            </w:pPr>
            <w:r>
              <w:rPr>
                <w:rFonts w:ascii="Arial" w:cs="Arial" w:eastAsia="Arial" w:hAnsi="Arial"/>
                <w:sz w:val="18"/>
                <w:szCs w:val="18"/>
                <w:color w:val="auto"/>
              </w:rPr>
              <w:t>EXHIBIT F-2</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   Form of Officer’s Certificate of Parent Guarantor</w:t>
            </w:r>
          </w:p>
        </w:tc>
      </w:tr>
      <w:tr>
        <w:trPr>
          <w:trHeight w:val="230"/>
        </w:trPr>
        <w:tc>
          <w:tcPr>
            <w:tcW w:w="1740" w:type="dxa"/>
            <w:vAlign w:val="bottom"/>
            <w:gridSpan w:val="4"/>
          </w:tcPr>
          <w:p>
            <w:pPr>
              <w:spacing w:after="0"/>
              <w:rPr>
                <w:sz w:val="20"/>
                <w:szCs w:val="20"/>
                <w:color w:val="auto"/>
              </w:rPr>
            </w:pPr>
            <w:r>
              <w:rPr>
                <w:rFonts w:ascii="Arial" w:cs="Arial" w:eastAsia="Arial" w:hAnsi="Arial"/>
                <w:sz w:val="18"/>
                <w:szCs w:val="18"/>
                <w:color w:val="auto"/>
              </w:rPr>
              <w:t>EXHIBIT F-3</w:t>
            </w:r>
          </w:p>
        </w:tc>
        <w:tc>
          <w:tcPr>
            <w:tcW w:w="9720" w:type="dxa"/>
            <w:vAlign w:val="bottom"/>
            <w:gridSpan w:val="2"/>
          </w:tcPr>
          <w:p>
            <w:pPr>
              <w:ind w:left="260"/>
              <w:spacing w:after="0"/>
              <w:rPr>
                <w:sz w:val="20"/>
                <w:szCs w:val="20"/>
                <w:color w:val="auto"/>
              </w:rPr>
            </w:pPr>
            <w:r>
              <w:rPr>
                <w:rFonts w:ascii="Arial" w:cs="Arial" w:eastAsia="Arial" w:hAnsi="Arial"/>
                <w:sz w:val="18"/>
                <w:szCs w:val="18"/>
                <w:color w:val="auto"/>
              </w:rPr>
              <w:t>—   Form of Officer’s Certificate of Subsidiary Guarantor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-3406140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-3406140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PARTICIPATION AGREEMENT</w:t>
      </w:r>
    </w:p>
    <w:p>
      <w:pPr>
        <w:spacing w:after="0" w:line="229"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THIS PARTICIPATION AGREEMENT (this “</w:t>
      </w:r>
      <w:r>
        <w:rPr>
          <w:rFonts w:ascii="Arial" w:cs="Arial" w:eastAsia="Arial" w:hAnsi="Arial"/>
          <w:sz w:val="18"/>
          <w:szCs w:val="18"/>
          <w:i w:val="1"/>
          <w:iCs w:val="1"/>
          <w:color w:val="auto"/>
        </w:rPr>
        <w:t>Participation Agreement</w:t>
      </w:r>
      <w:r>
        <w:rPr>
          <w:rFonts w:ascii="Arial" w:cs="Arial" w:eastAsia="Arial" w:hAnsi="Arial"/>
          <w:sz w:val="18"/>
          <w:szCs w:val="18"/>
          <w:color w:val="auto"/>
        </w:rPr>
        <w:t>”), dated as of March 3, 2017, is entered into by and among OLD SAW MILL HOLDINGS LLC, a New York limited liability company, as Lessee (together with its successors and permitted assigns, in its capacity as Lessee, the “</w:t>
      </w:r>
      <w:r>
        <w:rPr>
          <w:rFonts w:ascii="Arial" w:cs="Arial" w:eastAsia="Arial" w:hAnsi="Arial"/>
          <w:sz w:val="18"/>
          <w:szCs w:val="18"/>
          <w:i w:val="1"/>
          <w:iCs w:val="1"/>
          <w:color w:val="auto"/>
        </w:rPr>
        <w:t>Lessee</w:t>
      </w:r>
      <w:r>
        <w:rPr>
          <w:rFonts w:ascii="Arial" w:cs="Arial" w:eastAsia="Arial" w:hAnsi="Arial"/>
          <w:sz w:val="18"/>
          <w:szCs w:val="18"/>
          <w:color w:val="auto"/>
        </w:rPr>
        <w:t>”); BA LEASING BSC, LLC, a Delaware limited liability company, as Lessor (together with its successors and permitted assigns, in its capacity as Lessor, the “</w:t>
      </w:r>
      <w:r>
        <w:rPr>
          <w:rFonts w:ascii="Arial" w:cs="Arial" w:eastAsia="Arial" w:hAnsi="Arial"/>
          <w:sz w:val="18"/>
          <w:szCs w:val="18"/>
          <w:i w:val="1"/>
          <w:iCs w:val="1"/>
          <w:color w:val="auto"/>
        </w:rPr>
        <w:t>Lessor</w:t>
      </w:r>
      <w:r>
        <w:rPr>
          <w:rFonts w:ascii="Arial" w:cs="Arial" w:eastAsia="Arial" w:hAnsi="Arial"/>
          <w:sz w:val="18"/>
          <w:szCs w:val="18"/>
          <w:color w:val="auto"/>
        </w:rPr>
        <w:t>”); BANK OF AMERICA, N.A., not in its individual capacity, except as expressly stated herein, but solely as Administrative Agent (together with its successors and permitted assigns, in its capacity as Administrative Agent, the “</w:t>
      </w:r>
      <w:r>
        <w:rPr>
          <w:rFonts w:ascii="Arial" w:cs="Arial" w:eastAsia="Arial" w:hAnsi="Arial"/>
          <w:sz w:val="18"/>
          <w:szCs w:val="18"/>
          <w:i w:val="1"/>
          <w:iCs w:val="1"/>
          <w:color w:val="auto"/>
        </w:rPr>
        <w:t>Administrative Agent</w:t>
      </w:r>
      <w:r>
        <w:rPr>
          <w:rFonts w:ascii="Arial" w:cs="Arial" w:eastAsia="Arial" w:hAnsi="Arial"/>
          <w:sz w:val="18"/>
          <w:szCs w:val="18"/>
          <w:color w:val="auto"/>
        </w:rPr>
        <w:t>”), and the financial institutions listed on Schedule II hereto as Lenders (together with their permitted successors and assigns, each as a Lender under the Loan Agreement, a “</w:t>
      </w:r>
      <w:r>
        <w:rPr>
          <w:rFonts w:ascii="Arial" w:cs="Arial" w:eastAsia="Arial" w:hAnsi="Arial"/>
          <w:sz w:val="18"/>
          <w:szCs w:val="18"/>
          <w:i w:val="1"/>
          <w:iCs w:val="1"/>
          <w:color w:val="auto"/>
        </w:rPr>
        <w:t>Lender</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collectively, the “</w:t>
      </w:r>
      <w:r>
        <w:rPr>
          <w:rFonts w:ascii="Arial" w:cs="Arial" w:eastAsia="Arial" w:hAnsi="Arial"/>
          <w:sz w:val="18"/>
          <w:szCs w:val="18"/>
          <w:i w:val="1"/>
          <w:iCs w:val="1"/>
          <w:color w:val="auto"/>
        </w:rPr>
        <w:t>Lenders</w:t>
      </w:r>
      <w:r>
        <w:rPr>
          <w:rFonts w:ascii="Arial" w:cs="Arial" w:eastAsia="Arial" w:hAnsi="Arial"/>
          <w:sz w:val="18"/>
          <w:szCs w:val="18"/>
          <w:color w:val="auto"/>
        </w:rPr>
        <w:t>”).</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ind w:right="640" w:firstLine="673"/>
        <w:spacing w:after="0" w:line="277" w:lineRule="auto"/>
        <w:tabs>
          <w:tab w:leader="none" w:pos="1313"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Lessee, Lessor, Administrative Agent and Lenders are entering into this Participation Agreement, the Lease and the other Operative Documents to finance the purchase of the Site and the Facility.</w:t>
      </w:r>
    </w:p>
    <w:p>
      <w:pPr>
        <w:spacing w:after="0" w:line="170" w:lineRule="exact"/>
        <w:rPr>
          <w:rFonts w:ascii="Arial" w:cs="Arial" w:eastAsia="Arial" w:hAnsi="Arial"/>
          <w:sz w:val="18"/>
          <w:szCs w:val="18"/>
          <w:color w:val="auto"/>
        </w:rPr>
      </w:pPr>
    </w:p>
    <w:p>
      <w:pPr>
        <w:jc w:val="both"/>
        <w:ind w:right="340" w:firstLine="684"/>
        <w:spacing w:after="0" w:line="264"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Subject to the terms and conditions of this Participation Agreement and the other Operative Documents, on the Document Closing Date, among other things, (i) Lessor will acquire the Site and the Facility from the Sellers and (ii) Lessee and Lessor will enter into the Lease pursuant to which Lessor will lease to Lessee, and Lessee will lease from Lessor, the Leased Property pursuant to the Lease.</w:t>
      </w:r>
    </w:p>
    <w:p>
      <w:pPr>
        <w:spacing w:after="0" w:line="181" w:lineRule="exact"/>
        <w:rPr>
          <w:rFonts w:ascii="Arial" w:cs="Arial" w:eastAsia="Arial" w:hAnsi="Arial"/>
          <w:sz w:val="18"/>
          <w:szCs w:val="18"/>
          <w:color w:val="auto"/>
        </w:rPr>
      </w:pPr>
    </w:p>
    <w:p>
      <w:pPr>
        <w:ind w:right="280" w:firstLine="684"/>
        <w:spacing w:after="0" w:line="277"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Administrative Agent, using amounts funded by Participants, will provide the Advance on the Document Closing Date to pay Participant Costs (including the Purchase Price and payment of, and reimbursement to the Parent Guarantor of, the Deposit).</w:t>
      </w:r>
    </w:p>
    <w:p>
      <w:pPr>
        <w:sectPr>
          <w:pgSz w:w="11900" w:h="16929" w:orient="portrait"/>
          <w:cols w:equalWidth="0" w:num="1">
            <w:col w:w="11460"/>
          </w:cols>
          <w:pgMar w:left="240" w:top="125" w:right="199" w:bottom="0" w:gutter="0" w:footer="0" w:header="0"/>
        </w:sectPr>
      </w:pPr>
    </w:p>
    <w:bookmarkStart w:id="6" w:name="page7"/>
    <w:bookmarkEnd w:id="6"/>
    <w:p>
      <w:pPr>
        <w:ind w:right="300" w:firstLine="673"/>
        <w:spacing w:after="0" w:line="308" w:lineRule="auto"/>
        <w:tabs>
          <w:tab w:leader="none" w:pos="1313"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secure the repayment of the Funded Amounts and the other amounts due and payable by Lessee under the Operative Documents, the Administrative Agent, on behalf of the Participants, will have the benefit of a Lien on the Leased Property and the other Collateral.</w:t>
      </w:r>
    </w:p>
    <w:p>
      <w:pPr>
        <w:spacing w:after="0" w:line="147" w:lineRule="exact"/>
        <w:rPr>
          <w:sz w:val="20"/>
          <w:szCs w:val="20"/>
          <w:color w:val="auto"/>
        </w:rPr>
      </w:pPr>
    </w:p>
    <w:p>
      <w:pPr>
        <w:ind w:right="960" w:firstLine="648"/>
        <w:spacing w:after="0" w:line="277" w:lineRule="auto"/>
        <w:rPr>
          <w:sz w:val="20"/>
          <w:szCs w:val="20"/>
          <w:color w:val="auto"/>
        </w:rPr>
      </w:pPr>
      <w:r>
        <w:rPr>
          <w:rFonts w:ascii="Arial" w:cs="Arial" w:eastAsia="Arial" w:hAnsi="Arial"/>
          <w:sz w:val="18"/>
          <w:szCs w:val="18"/>
          <w:color w:val="auto"/>
        </w:rPr>
        <w:t>NOW, THEREFORE, in consideration of the mutual agreements contained in this Participation Agreement and other good and valuable consideration, the receipt and sufficiency of which are hereby acknowledged, the parties hereto agree as follows: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 INTERPRETATION</w:t>
      </w:r>
    </w:p>
    <w:p>
      <w:pPr>
        <w:spacing w:after="0" w:line="211" w:lineRule="exact"/>
        <w:rPr>
          <w:sz w:val="20"/>
          <w:szCs w:val="20"/>
          <w:color w:val="auto"/>
        </w:rPr>
      </w:pPr>
    </w:p>
    <w:p>
      <w:pPr>
        <w:ind w:right="20" w:firstLine="688"/>
        <w:spacing w:after="0" w:line="264" w:lineRule="auto"/>
        <w:rPr>
          <w:sz w:val="20"/>
          <w:szCs w:val="20"/>
          <w:color w:val="auto"/>
        </w:rPr>
      </w:pPr>
      <w:r>
        <w:rPr>
          <w:rFonts w:ascii="Arial" w:cs="Arial" w:eastAsia="Arial" w:hAnsi="Arial"/>
          <w:sz w:val="18"/>
          <w:szCs w:val="18"/>
          <w:i w:val="1"/>
          <w:iCs w:val="1"/>
          <w:color w:val="auto"/>
        </w:rPr>
        <w:t>Section 1.1. Definitions; Interpretation</w:t>
      </w:r>
      <w:r>
        <w:rPr>
          <w:rFonts w:ascii="Arial" w:cs="Arial" w:eastAsia="Arial" w:hAnsi="Arial"/>
          <w:sz w:val="18"/>
          <w:szCs w:val="18"/>
          <w:color w:val="auto"/>
        </w:rPr>
        <w:t>. Unless the context shall otherwise require, capitalized terms used and not defined herein shall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meanings assigned thereto in Appendix 1 hereto for all purposes hereof; and the rules of interpretation set forth in Appendix 1 hereto shall apply to this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 CLOSING DATE; ACQUISITION DATE</w:t>
      </w:r>
    </w:p>
    <w:p>
      <w:pPr>
        <w:spacing w:after="0" w:line="211" w:lineRule="exact"/>
        <w:rPr>
          <w:sz w:val="20"/>
          <w:szCs w:val="20"/>
          <w:color w:val="auto"/>
        </w:rPr>
      </w:pPr>
    </w:p>
    <w:p>
      <w:pPr>
        <w:ind w:right="100" w:firstLine="688"/>
        <w:spacing w:after="0" w:line="342" w:lineRule="auto"/>
        <w:rPr>
          <w:sz w:val="20"/>
          <w:szCs w:val="20"/>
          <w:color w:val="auto"/>
        </w:rPr>
      </w:pPr>
      <w:r>
        <w:rPr>
          <w:rFonts w:ascii="Arial" w:cs="Arial" w:eastAsia="Arial" w:hAnsi="Arial"/>
          <w:sz w:val="16"/>
          <w:szCs w:val="16"/>
          <w:i w:val="1"/>
          <w:iCs w:val="1"/>
          <w:color w:val="auto"/>
        </w:rPr>
        <w:t>Section 2.1. Effectiveness of Agreement</w:t>
      </w:r>
      <w:r>
        <w:rPr>
          <w:rFonts w:ascii="Arial" w:cs="Arial" w:eastAsia="Arial" w:hAnsi="Arial"/>
          <w:sz w:val="16"/>
          <w:szCs w:val="16"/>
          <w:color w:val="auto"/>
        </w:rPr>
        <w:t>. This Participation Agreement shall be effective as of the earliest date (the “</w:t>
      </w:r>
      <w:r>
        <w:rPr>
          <w:rFonts w:ascii="Arial" w:cs="Arial" w:eastAsia="Arial" w:hAnsi="Arial"/>
          <w:sz w:val="16"/>
          <w:szCs w:val="16"/>
          <w:i w:val="1"/>
          <w:iCs w:val="1"/>
          <w:color w:val="auto"/>
        </w:rPr>
        <w:t>Document Closing Date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on which all of the conditions precedent thereto set forth in Section 6.1 have been satisfied or waived by the applicable parties as set forth therein.</w:t>
      </w:r>
    </w:p>
    <w:p>
      <w:pPr>
        <w:spacing w:after="0" w:line="124" w:lineRule="exact"/>
        <w:rPr>
          <w:sz w:val="20"/>
          <w:szCs w:val="20"/>
          <w:color w:val="auto"/>
        </w:rPr>
      </w:pPr>
    </w:p>
    <w:p>
      <w:pPr>
        <w:ind w:right="140" w:firstLine="688"/>
        <w:spacing w:after="0" w:line="259" w:lineRule="auto"/>
        <w:rPr>
          <w:sz w:val="20"/>
          <w:szCs w:val="20"/>
          <w:color w:val="auto"/>
        </w:rPr>
      </w:pPr>
      <w:r>
        <w:rPr>
          <w:rFonts w:ascii="Arial" w:cs="Arial" w:eastAsia="Arial" w:hAnsi="Arial"/>
          <w:sz w:val="18"/>
          <w:szCs w:val="18"/>
          <w:i w:val="1"/>
          <w:iCs w:val="1"/>
          <w:color w:val="auto"/>
        </w:rPr>
        <w:t>Section 2.2. Lease of Leased Property</w:t>
      </w:r>
      <w:r>
        <w:rPr>
          <w:rFonts w:ascii="Arial" w:cs="Arial" w:eastAsia="Arial" w:hAnsi="Arial"/>
          <w:sz w:val="18"/>
          <w:szCs w:val="18"/>
          <w:color w:val="auto"/>
        </w:rPr>
        <w:t>. Subject to the conditions set forth in this Participation Agreement and pursuant to the terms hereof, on</w:t>
      </w:r>
      <w:r>
        <w:rPr>
          <w:rFonts w:ascii="Arial" w:cs="Arial" w:eastAsia="Arial" w:hAnsi="Arial"/>
          <w:sz w:val="18"/>
          <w:szCs w:val="18"/>
          <w:i w:val="1"/>
          <w:iCs w:val="1"/>
          <w:color w:val="auto"/>
        </w:rPr>
        <w:t xml:space="preserve"> </w:t>
      </w:r>
      <w:r>
        <w:rPr>
          <w:rFonts w:ascii="Arial" w:cs="Arial" w:eastAsia="Arial" w:hAnsi="Arial"/>
          <w:sz w:val="18"/>
          <w:szCs w:val="18"/>
          <w:color w:val="auto"/>
        </w:rPr>
        <w:t>the Document Closing Date, (i) Lessee shall assign its right under the Purchase Agreement to Lessor and Lessor shall acquire the Site and the Facility from the Sellers, together with the Appurtenant Rights existing at such time and (ii) Lessor and Lessee will enter into the Lease pursuant to which Lessor shall lease to Lessee, and Lessee shall lease from Lessor, the Leased Property for the Term.</w:t>
      </w:r>
    </w:p>
    <w:p>
      <w:pPr>
        <w:spacing w:after="0" w:line="187" w:lineRule="exact"/>
        <w:rPr>
          <w:sz w:val="20"/>
          <w:szCs w:val="20"/>
          <w:color w:val="auto"/>
        </w:rPr>
      </w:pPr>
    </w:p>
    <w:p>
      <w:pPr>
        <w:ind w:right="60" w:firstLine="688"/>
        <w:spacing w:after="0" w:line="277" w:lineRule="auto"/>
        <w:rPr>
          <w:sz w:val="20"/>
          <w:szCs w:val="20"/>
          <w:color w:val="auto"/>
        </w:rPr>
      </w:pPr>
      <w:r>
        <w:rPr>
          <w:rFonts w:ascii="Arial" w:cs="Arial" w:eastAsia="Arial" w:hAnsi="Arial"/>
          <w:sz w:val="18"/>
          <w:szCs w:val="18"/>
          <w:i w:val="1"/>
          <w:iCs w:val="1"/>
          <w:color w:val="auto"/>
        </w:rPr>
        <w:t>Section 2.3. Participant Costs</w:t>
      </w:r>
      <w:r>
        <w:rPr>
          <w:rFonts w:ascii="Arial" w:cs="Arial" w:eastAsia="Arial" w:hAnsi="Arial"/>
          <w:sz w:val="18"/>
          <w:szCs w:val="18"/>
          <w:color w:val="auto"/>
        </w:rPr>
        <w:t>. Subject to the terms and conditions of this Participation Agreement, on the Document Closing Date, the Lessor</w:t>
      </w:r>
      <w:r>
        <w:rPr>
          <w:rFonts w:ascii="Arial" w:cs="Arial" w:eastAsia="Arial" w:hAnsi="Arial"/>
          <w:sz w:val="18"/>
          <w:szCs w:val="18"/>
          <w:i w:val="1"/>
          <w:iCs w:val="1"/>
          <w:color w:val="auto"/>
        </w:rPr>
        <w:t xml:space="preserve"> </w:t>
      </w:r>
      <w:r>
        <w:rPr>
          <w:rFonts w:ascii="Arial" w:cs="Arial" w:eastAsia="Arial" w:hAnsi="Arial"/>
          <w:sz w:val="18"/>
          <w:szCs w:val="18"/>
          <w:color w:val="auto"/>
        </w:rPr>
        <w:t>shall make the Advance, the proceeds of which shall be used for the payment of Participant Costs.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FUNDING OF ADVANCES</w:t>
      </w:r>
    </w:p>
    <w:p>
      <w:pPr>
        <w:spacing w:after="0" w:line="211" w:lineRule="exact"/>
        <w:rPr>
          <w:sz w:val="20"/>
          <w:szCs w:val="20"/>
          <w:color w:val="auto"/>
        </w:rPr>
      </w:pPr>
    </w:p>
    <w:p>
      <w:pPr>
        <w:ind w:right="40" w:firstLine="688"/>
        <w:spacing w:after="0" w:line="289" w:lineRule="auto"/>
        <w:rPr>
          <w:sz w:val="20"/>
          <w:szCs w:val="20"/>
          <w:color w:val="auto"/>
        </w:rPr>
      </w:pPr>
      <w:r>
        <w:rPr>
          <w:rFonts w:ascii="Arial" w:cs="Arial" w:eastAsia="Arial" w:hAnsi="Arial"/>
          <w:sz w:val="16"/>
          <w:szCs w:val="16"/>
          <w:i w:val="1"/>
          <w:iCs w:val="1"/>
          <w:color w:val="auto"/>
        </w:rPr>
        <w:t>Section 3.1. Fundings</w:t>
      </w:r>
      <w:r>
        <w:rPr>
          <w:rFonts w:ascii="Arial" w:cs="Arial" w:eastAsia="Arial" w:hAnsi="Arial"/>
          <w:sz w:val="16"/>
          <w:szCs w:val="16"/>
          <w:color w:val="auto"/>
        </w:rPr>
        <w:t>. (a)</w:t>
      </w:r>
      <w:r>
        <w:rPr>
          <w:rFonts w:ascii="Arial" w:cs="Arial" w:eastAsia="Arial" w:hAnsi="Arial"/>
          <w:sz w:val="16"/>
          <w:szCs w:val="16"/>
          <w:i w:val="1"/>
          <w:iCs w:val="1"/>
          <w:color w:val="auto"/>
        </w:rPr>
        <w:t xml:space="preserve"> Amount of Fundings. </w:t>
      </w:r>
      <w:r>
        <w:rPr>
          <w:rFonts w:ascii="Arial" w:cs="Arial" w:eastAsia="Arial" w:hAnsi="Arial"/>
          <w:sz w:val="16"/>
          <w:szCs w:val="16"/>
          <w:color w:val="auto"/>
        </w:rPr>
        <w:t>Subject to the terms and conditions of this Participation Agreement and in reliance on the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representations and warranties of each of the parties hereto contained herein or made pursuant hereto, upon receipt of the Advance Request, on the Document Closing Date the Lessor shall, to the extent it has received amounts from the Participants, make the requested Advance and each Participant will fund its portion of the Advance, as and to the extent provided herein, in each case by making available to the Administrative Agent by wire transfer of immediately available funds in accordance with the instructions set forth in the Advance Request, an amount equal to (i) with respect to any Lender, the product of such Lender’s Commitment Percentage and the aggregate amount of the requested Advance and (ii) with respect to the Lessor, the product of Lessor’s Commitment Percentage and the aggregate amount of the requested Advance. Notwithstanding the foregoing, (x) the Funding by each Participant on the Document Closing Date shall not exceed such Participant’s Commitment and (y) the Advance to be made by the Participants on the Document Closing Date, shall not exceed the Aggregate Commitment Amount. No amounts paid or prepaid with respect to Lessor Amount or the Loans may be readvanced.</w:t>
      </w:r>
    </w:p>
    <w:p>
      <w:pPr>
        <w:spacing w:after="0" w:line="167" w:lineRule="exact"/>
        <w:rPr>
          <w:sz w:val="20"/>
          <w:szCs w:val="20"/>
          <w:color w:val="auto"/>
        </w:rPr>
      </w:pPr>
    </w:p>
    <w:p>
      <w:pPr>
        <w:ind w:right="140" w:firstLine="639"/>
        <w:spacing w:after="0" w:line="259"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Notes and Lessor Amount</w:t>
      </w:r>
      <w:r>
        <w:rPr>
          <w:rFonts w:ascii="Arial" w:cs="Arial" w:eastAsia="Arial" w:hAnsi="Arial"/>
          <w:sz w:val="18"/>
          <w:szCs w:val="18"/>
          <w:color w:val="auto"/>
        </w:rPr>
        <w:t>. Each Lender’s Loans shall be evidenced by a single Note issued to such Lender and repayable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with, and with Interest accruing pursuant to, the terms of the Loan Agreement. The Lessor Amount shall accrue Yield at the Yield Rate. Each Lender is authorized and entitled to make notations on its Note in accordance with the Loan Documents, each of which notations shall constitute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accuracy of the information so noted, absent manifest error.</w:t>
      </w:r>
    </w:p>
    <w:p>
      <w:pPr>
        <w:spacing w:after="0" w:line="186" w:lineRule="exact"/>
        <w:rPr>
          <w:rFonts w:ascii="Arial" w:cs="Arial" w:eastAsia="Arial" w:hAnsi="Arial"/>
          <w:sz w:val="18"/>
          <w:szCs w:val="18"/>
          <w:color w:val="auto"/>
        </w:rPr>
      </w:pPr>
    </w:p>
    <w:p>
      <w:pPr>
        <w:ind w:left="1300" w:hanging="649"/>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Funding</w:t>
      </w:r>
      <w:r>
        <w:rPr>
          <w:rFonts w:ascii="Arial" w:cs="Arial" w:eastAsia="Arial" w:hAnsi="Arial"/>
          <w:sz w:val="18"/>
          <w:szCs w:val="18"/>
          <w:color w:val="auto"/>
        </w:rPr>
        <w:t>. The Advance required to be made by Lessor pursuant to any Operative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Document shall be made by the Participants making the Funding directly to the Administrative Agent. The Funding by the Participants to the Administrative Agent with respect to the Advance and the Advance by the Administrative Agent to any Person entitled to payments constituting Participant Costs shall be deemed to constitute the required Advance by the Participants.</w:t>
      </w:r>
    </w:p>
    <w:p>
      <w:pPr>
        <w:spacing w:after="0" w:line="181" w:lineRule="exact"/>
        <w:rPr>
          <w:sz w:val="20"/>
          <w:szCs w:val="20"/>
          <w:color w:val="auto"/>
        </w:rPr>
      </w:pPr>
    </w:p>
    <w:p>
      <w:pPr>
        <w:ind w:left="1300" w:hanging="661"/>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Advances; Limitations and Limits</w:t>
      </w:r>
      <w:r>
        <w:rPr>
          <w:rFonts w:ascii="Arial" w:cs="Arial" w:eastAsia="Arial" w:hAnsi="Arial"/>
          <w:sz w:val="18"/>
          <w:szCs w:val="18"/>
          <w:color w:val="auto"/>
        </w:rPr>
        <w:t>. (i) Pursuant to Section 3.2, the Advance shall be used solely to pay Participant Costs.</w:t>
      </w:r>
    </w:p>
    <w:p>
      <w:pPr>
        <w:spacing w:after="0" w:line="225" w:lineRule="exact"/>
        <w:rPr>
          <w:rFonts w:ascii="Arial" w:cs="Arial" w:eastAsia="Arial" w:hAnsi="Arial"/>
          <w:sz w:val="18"/>
          <w:szCs w:val="18"/>
          <w:color w:val="auto"/>
        </w:rPr>
      </w:pPr>
    </w:p>
    <w:p>
      <w:pPr>
        <w:ind w:left="660" w:right="20" w:firstLine="746"/>
        <w:spacing w:after="0" w:line="284" w:lineRule="auto"/>
        <w:tabs>
          <w:tab w:leader="none" w:pos="1981"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Document Closing Date shall occur on or before March 3, 2017. The Document Closing Date shall be a Business Day which is also a Payment Date, and there shall be no more than one Advance. All remittances made by the Participants for the Funding of the Advance shall be made in immediately available federal funds by wire transfer to the Administrative Agent at the Administrative Agent’s Payment Office referred to in Schedule III hereto, as applicable, prior to 12:00 p.m. (New York City time) on the Document Closing Date. Promptly upon the satisfaction (or waiver in accordance with Section 6.1) of the terms and conditions set forth in Section 6.1 of this Participation Agreement, Administrative Agent shall wire such funds received from the Participants on the Document Closing Date to the Persons entitled thereto and to such accounts as Lessee</w:t>
      </w:r>
    </w:p>
    <w:p>
      <w:pPr>
        <w:spacing w:after="0" w:line="5" w:lineRule="exact"/>
        <w:rPr>
          <w:sz w:val="20"/>
          <w:szCs w:val="20"/>
          <w:color w:val="auto"/>
        </w:rPr>
      </w:pPr>
    </w:p>
    <w:p>
      <w:pPr>
        <w:ind w:left="660"/>
        <w:spacing w:after="0" w:line="287" w:lineRule="auto"/>
        <w:rPr>
          <w:sz w:val="20"/>
          <w:szCs w:val="20"/>
          <w:color w:val="auto"/>
        </w:rPr>
      </w:pPr>
      <w:r>
        <w:rPr>
          <w:rFonts w:ascii="Arial" w:cs="Arial" w:eastAsia="Arial" w:hAnsi="Arial"/>
          <w:sz w:val="16"/>
          <w:szCs w:val="16"/>
          <w:color w:val="auto"/>
        </w:rPr>
        <w:t>shall have indicated in the Advance Request. Unless the Administrative Agent shall have received notice from a Participant prior to the proposed Document Closing Date that such Participant will not make available to the Administrative Agent such Participant’s share of the Advance, the Administrative Agent may assume that such Participant has made or will make such share available on the Document Closing Date in accordance with this Section 3.1 and may, in reliance upon such assumption, make available a corresponding amount to the Lessee or other applicable recipient as directed by the Lessee. In such event, if a Participant has not in fact made its share of the Advance available to the Administrative Agent, then the Administrative Agent shall be entitled to recover such corresponding amount on demand from such Participant, together with interest, at the Interest Rate or Yield Rate, as applicable, on such corresponding amount for each day from and including the date such amount is made available to the Lessee to but excluding the date of payment to the Administrative Agent and the interest owing by any Participant pursuant to this sentence shall be</w:t>
      </w:r>
    </w:p>
    <w:p>
      <w:pPr>
        <w:sectPr>
          <w:pgSz w:w="11900" w:h="16838" w:orient="portrait"/>
          <w:cols w:equalWidth="0" w:num="1">
            <w:col w:w="11400"/>
          </w:cols>
          <w:pgMar w:left="240" w:top="341" w:right="259" w:bottom="0" w:gutter="0" w:footer="0" w:header="0"/>
        </w:sectPr>
      </w:pPr>
    </w:p>
    <w:bookmarkStart w:id="7" w:name="page8"/>
    <w:bookmarkEnd w:id="7"/>
    <w:p>
      <w:pPr>
        <w:spacing w:after="0" w:line="11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netted from the amount of Rent paid by the Lessee remaining, if any, after the payment of all amounts owing to the other Participants who made their share of the Advance available to the Administrative Agent.</w:t>
      </w:r>
    </w:p>
    <w:p>
      <w:pPr>
        <w:spacing w:after="0" w:line="170" w:lineRule="exact"/>
        <w:rPr>
          <w:sz w:val="20"/>
          <w:szCs w:val="20"/>
          <w:color w:val="auto"/>
        </w:rPr>
      </w:pPr>
    </w:p>
    <w:p>
      <w:pPr>
        <w:ind w:left="700"/>
        <w:spacing w:after="0"/>
        <w:tabs>
          <w:tab w:leader="none" w:pos="1920" w:val="left"/>
        </w:tabs>
        <w:rPr>
          <w:sz w:val="20"/>
          <w:szCs w:val="20"/>
          <w:color w:val="auto"/>
        </w:rPr>
      </w:pPr>
      <w:r>
        <w:rPr>
          <w:rFonts w:ascii="Arial" w:cs="Arial" w:eastAsia="Arial" w:hAnsi="Arial"/>
          <w:sz w:val="18"/>
          <w:szCs w:val="18"/>
          <w:i w:val="1"/>
          <w:iCs w:val="1"/>
          <w:color w:val="auto"/>
        </w:rPr>
        <w:t>Section 3.2.</w:t>
      </w:r>
      <w:r>
        <w:rPr>
          <w:sz w:val="20"/>
          <w:szCs w:val="20"/>
          <w:color w:val="auto"/>
        </w:rPr>
        <w:tab/>
      </w:r>
      <w:r>
        <w:rPr>
          <w:rFonts w:ascii="Arial" w:cs="Arial" w:eastAsia="Arial" w:hAnsi="Arial"/>
          <w:sz w:val="16"/>
          <w:szCs w:val="16"/>
          <w:i w:val="1"/>
          <w:iCs w:val="1"/>
          <w:color w:val="auto"/>
        </w:rPr>
        <w:t>Payment of Participant Costs and Fees.</w:t>
      </w:r>
    </w:p>
    <w:p>
      <w:pPr>
        <w:spacing w:after="0" w:line="225"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On the Document Closing Date, upon the satisfaction (or waiver in accordance with Section 6.1) of the terms and conditions set forth in Section 6.1 of this Participation Agreement, the Participants shall make the Advance in the amount specified in the Advance Request to pay the Purchase Price less the Deposit to the Sellers (or their designee) and pay the Deposit to the Parent Guarantor (to reimburse the Parent Guarantor for same).</w:t>
      </w:r>
    </w:p>
    <w:p>
      <w:pPr>
        <w:spacing w:after="0" w:line="147" w:lineRule="exact"/>
        <w:rPr>
          <w:sz w:val="20"/>
          <w:szCs w:val="20"/>
          <w:color w:val="auto"/>
        </w:rPr>
      </w:pPr>
    </w:p>
    <w:p>
      <w:pPr>
        <w:ind w:left="700"/>
        <w:spacing w:after="0"/>
        <w:tabs>
          <w:tab w:leader="none" w:pos="1920" w:val="left"/>
        </w:tabs>
        <w:rPr>
          <w:sz w:val="20"/>
          <w:szCs w:val="20"/>
          <w:color w:val="auto"/>
        </w:rPr>
      </w:pPr>
      <w:r>
        <w:rPr>
          <w:rFonts w:ascii="Arial" w:cs="Arial" w:eastAsia="Arial" w:hAnsi="Arial"/>
          <w:sz w:val="18"/>
          <w:szCs w:val="18"/>
          <w:i w:val="1"/>
          <w:iCs w:val="1"/>
          <w:color w:val="auto"/>
        </w:rPr>
        <w:t>Section 3.3.</w:t>
      </w:r>
      <w:r>
        <w:rPr>
          <w:sz w:val="20"/>
          <w:szCs w:val="20"/>
          <w:color w:val="auto"/>
        </w:rPr>
        <w:tab/>
      </w:r>
      <w:r>
        <w:rPr>
          <w:rFonts w:ascii="Arial" w:cs="Arial" w:eastAsia="Arial" w:hAnsi="Arial"/>
          <w:sz w:val="15"/>
          <w:szCs w:val="15"/>
          <w:i w:val="1"/>
          <w:iCs w:val="1"/>
          <w:color w:val="auto"/>
        </w:rPr>
        <w:t>Advance Request</w:t>
      </w:r>
      <w:r>
        <w:rPr>
          <w:rFonts w:ascii="Arial" w:cs="Arial" w:eastAsia="Arial" w:hAnsi="Arial"/>
          <w:sz w:val="15"/>
          <w:szCs w:val="15"/>
          <w:color w:val="auto"/>
        </w:rPr>
        <w:t>.</w:t>
      </w:r>
    </w:p>
    <w:p>
      <w:pPr>
        <w:spacing w:after="0" w:line="22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At least three (3) Business Days prior to the Document Closing Date (but no later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than 12:00 noon New York time on such date), Lessee shall deliver to Administrative Agent (which shall promptly forward a copy of the Advance Request to each Participant) an irrevocable written notice substantially in the form of Exhibit A (an “</w:t>
      </w:r>
      <w:r>
        <w:rPr>
          <w:rFonts w:ascii="Arial" w:cs="Arial" w:eastAsia="Arial" w:hAnsi="Arial"/>
          <w:sz w:val="18"/>
          <w:szCs w:val="18"/>
          <w:i w:val="1"/>
          <w:iCs w:val="1"/>
          <w:color w:val="auto"/>
        </w:rPr>
        <w:t>Advance Request</w:t>
      </w:r>
      <w:r>
        <w:rPr>
          <w:rFonts w:ascii="Arial" w:cs="Arial" w:eastAsia="Arial" w:hAnsi="Arial"/>
          <w:sz w:val="18"/>
          <w:szCs w:val="18"/>
          <w:color w:val="auto"/>
        </w:rPr>
        <w:t>”), setting forth:</w:t>
      </w:r>
    </w:p>
    <w:p>
      <w:pPr>
        <w:spacing w:after="0" w:line="170" w:lineRule="exact"/>
        <w:rPr>
          <w:sz w:val="20"/>
          <w:szCs w:val="20"/>
          <w:color w:val="auto"/>
        </w:rPr>
      </w:pPr>
    </w:p>
    <w:p>
      <w:pPr>
        <w:ind w:left="1960" w:hanging="498"/>
        <w:spacing w:after="0"/>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proposed Document Closing Date;</w:t>
      </w:r>
    </w:p>
    <w:p>
      <w:pPr>
        <w:spacing w:after="0" w:line="225" w:lineRule="exact"/>
        <w:rPr>
          <w:rFonts w:ascii="Arial" w:cs="Arial" w:eastAsia="Arial" w:hAnsi="Arial"/>
          <w:sz w:val="18"/>
          <w:szCs w:val="18"/>
          <w:color w:val="auto"/>
        </w:rPr>
      </w:pPr>
    </w:p>
    <w:p>
      <w:pPr>
        <w:ind w:left="660" w:right="280" w:firstLine="746"/>
        <w:spacing w:after="0" w:line="308" w:lineRule="auto"/>
        <w:tabs>
          <w:tab w:leader="none" w:pos="1981" w:val="left"/>
        </w:tabs>
        <w:numPr>
          <w:ilvl w:val="0"/>
          <w:numId w:val="5"/>
        </w:numPr>
        <w:rPr>
          <w:rFonts w:ascii="Arial" w:cs="Arial" w:eastAsia="Arial" w:hAnsi="Arial"/>
          <w:sz w:val="17"/>
          <w:szCs w:val="17"/>
          <w:color w:val="auto"/>
        </w:rPr>
      </w:pPr>
      <w:r>
        <w:rPr>
          <w:rFonts w:ascii="Arial" w:cs="Arial" w:eastAsia="Arial" w:hAnsi="Arial"/>
          <w:sz w:val="17"/>
          <w:szCs w:val="17"/>
          <w:color w:val="auto"/>
        </w:rPr>
        <w:t>statement of the amount of the requested Advance setting forth the amount of the Advance to be used to Fund (A) the Purchase Price less the Deposit, to Sellers and (B) the Deposit, to the Parent Guarantor (to reimburse the Parent Guarantor for same); and</w:t>
      </w:r>
    </w:p>
    <w:p>
      <w:pPr>
        <w:spacing w:after="0" w:line="146" w:lineRule="exact"/>
        <w:rPr>
          <w:rFonts w:ascii="Arial" w:cs="Arial" w:eastAsia="Arial" w:hAnsi="Arial"/>
          <w:sz w:val="17"/>
          <w:szCs w:val="17"/>
          <w:color w:val="auto"/>
        </w:rPr>
      </w:pPr>
    </w:p>
    <w:p>
      <w:pPr>
        <w:ind w:left="660" w:right="120" w:firstLine="701"/>
        <w:spacing w:after="0" w:line="264" w:lineRule="auto"/>
        <w:tabs>
          <w:tab w:leader="none" w:pos="1999"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certification by Lessee that: (A) the aggregate amount to be Funded by the Participants on the Document Closing Date does not exceed the Aggregate Commitment Amount, and (B) wire transfer instructions for the disbursement of the appropriate amount of funds to Sellers, Lessee or to such other Persons as may be entitled to the Advance.</w:t>
      </w:r>
    </w:p>
    <w:p>
      <w:pPr>
        <w:spacing w:after="0" w:line="18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All documents and instruments required to be delivered on the Document Closing Date and in connection with the Advance pursuant to this Participation Agreement shall be delivered at the offices of Chapman and Cutler LLP, 595 Market Street, Suite 2600, San Francisco, California 94105-2839, Attention: Vincent W. Pelleriti, Esq. or at such other location as the Administrative Agent and Lessee may agree. All documents and instruments required to be delivered subsequent to the Document Closing Date pursuant to this Participation Agreement shall be delivered to the Administrative Agent, or at such other location as the Administrative Agent, Required Participants, Lessor and Lessee may agree.</w:t>
      </w:r>
    </w:p>
    <w:p>
      <w:pPr>
        <w:spacing w:after="0" w:line="173" w:lineRule="exact"/>
        <w:rPr>
          <w:sz w:val="20"/>
          <w:szCs w:val="20"/>
          <w:color w:val="auto"/>
        </w:rPr>
      </w:pPr>
    </w:p>
    <w:p>
      <w:pPr>
        <w:ind w:right="840" w:firstLine="688"/>
        <w:spacing w:after="0" w:line="277" w:lineRule="auto"/>
        <w:rPr>
          <w:sz w:val="20"/>
          <w:szCs w:val="20"/>
          <w:color w:val="auto"/>
        </w:rPr>
      </w:pPr>
      <w:r>
        <w:rPr>
          <w:rFonts w:ascii="Arial" w:cs="Arial" w:eastAsia="Arial" w:hAnsi="Arial"/>
          <w:sz w:val="18"/>
          <w:szCs w:val="18"/>
          <w:i w:val="1"/>
          <w:iCs w:val="1"/>
          <w:color w:val="auto"/>
        </w:rPr>
        <w:t>Section 3.4. Assignment of Purchase Agreement</w:t>
      </w:r>
      <w:r>
        <w:rPr>
          <w:rFonts w:ascii="Arial" w:cs="Arial" w:eastAsia="Arial" w:hAnsi="Arial"/>
          <w:sz w:val="18"/>
          <w:szCs w:val="18"/>
          <w:color w:val="auto"/>
        </w:rPr>
        <w:t>. On the Document Closing Date, Lessee will enter into the Assignment of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the Lessor, in form and substance reasonably satisfactory to Lessor.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YIELD; INTEREST</w:t>
      </w:r>
    </w:p>
    <w:p>
      <w:pPr>
        <w:spacing w:after="0" w:line="211" w:lineRule="exact"/>
        <w:rPr>
          <w:sz w:val="20"/>
          <w:szCs w:val="20"/>
          <w:color w:val="auto"/>
        </w:rPr>
      </w:pPr>
    </w:p>
    <w:p>
      <w:pPr>
        <w:ind w:right="20" w:firstLine="688"/>
        <w:spacing w:after="0" w:line="257" w:lineRule="auto"/>
        <w:rPr>
          <w:sz w:val="20"/>
          <w:szCs w:val="20"/>
          <w:color w:val="auto"/>
        </w:rPr>
      </w:pPr>
      <w:r>
        <w:rPr>
          <w:rFonts w:ascii="Arial" w:cs="Arial" w:eastAsia="Arial" w:hAnsi="Arial"/>
          <w:sz w:val="18"/>
          <w:szCs w:val="18"/>
          <w:i w:val="1"/>
          <w:iCs w:val="1"/>
          <w:color w:val="auto"/>
        </w:rPr>
        <w:t>Section 4.1. Yield</w:t>
      </w:r>
      <w:r>
        <w:rPr>
          <w:rFonts w:ascii="Arial" w:cs="Arial" w:eastAsia="Arial" w:hAnsi="Arial"/>
          <w:sz w:val="18"/>
          <w:szCs w:val="18"/>
          <w:color w:val="auto"/>
        </w:rPr>
        <w:t>. The amount of the Lessor Amount outstanding from time to time shall accrue Yield at the Yield Rate, calculated on the basis</w:t>
      </w:r>
      <w:r>
        <w:rPr>
          <w:rFonts w:ascii="Arial" w:cs="Arial" w:eastAsia="Arial" w:hAnsi="Arial"/>
          <w:sz w:val="18"/>
          <w:szCs w:val="18"/>
          <w:i w:val="1"/>
          <w:iCs w:val="1"/>
          <w:color w:val="auto"/>
        </w:rPr>
        <w:t xml:space="preserve"> </w:t>
      </w:r>
      <w:r>
        <w:rPr>
          <w:rFonts w:ascii="Arial" w:cs="Arial" w:eastAsia="Arial" w:hAnsi="Arial"/>
          <w:sz w:val="18"/>
          <w:szCs w:val="18"/>
          <w:color w:val="auto"/>
        </w:rPr>
        <w:t>of a 360-day year using the actual number of days elapsed and, when the Yield Rate is based on an Alternate Base Rate, a 365 (or, if applicable, 366) day year basis, and, at all other times, a 360-day year basis. If all or any portion of the Lessor Amount outstanding, any Yield payable thereon or any other amount payable hereunder shall not be paid when due (whether at stated maturity, acceleration thereof or otherwise), such overdue amount shall bear interest at a rate per annum which is equal to the Overdue Rate.</w:t>
      </w:r>
    </w:p>
    <w:p>
      <w:pPr>
        <w:spacing w:after="0" w:line="188" w:lineRule="exact"/>
        <w:rPr>
          <w:sz w:val="20"/>
          <w:szCs w:val="20"/>
          <w:color w:val="auto"/>
        </w:rPr>
      </w:pPr>
    </w:p>
    <w:p>
      <w:pPr>
        <w:ind w:left="700"/>
        <w:spacing w:after="0"/>
        <w:tabs>
          <w:tab w:leader="none" w:pos="1920" w:val="left"/>
        </w:tabs>
        <w:rPr>
          <w:sz w:val="20"/>
          <w:szCs w:val="20"/>
          <w:color w:val="auto"/>
        </w:rPr>
      </w:pPr>
      <w:r>
        <w:rPr>
          <w:rFonts w:ascii="Arial" w:cs="Arial" w:eastAsia="Arial" w:hAnsi="Arial"/>
          <w:sz w:val="18"/>
          <w:szCs w:val="18"/>
          <w:i w:val="1"/>
          <w:iCs w:val="1"/>
          <w:color w:val="auto"/>
        </w:rPr>
        <w:t>Section 4.2.</w:t>
      </w:r>
      <w:r>
        <w:rPr>
          <w:sz w:val="20"/>
          <w:szCs w:val="20"/>
          <w:color w:val="auto"/>
        </w:rPr>
        <w:tab/>
      </w:r>
      <w:r>
        <w:rPr>
          <w:rFonts w:ascii="Arial" w:cs="Arial" w:eastAsia="Arial" w:hAnsi="Arial"/>
          <w:sz w:val="16"/>
          <w:szCs w:val="16"/>
          <w:i w:val="1"/>
          <w:iCs w:val="1"/>
          <w:color w:val="auto"/>
        </w:rPr>
        <w:t>Interest on Loans</w:t>
      </w:r>
      <w:r>
        <w:rPr>
          <w:rFonts w:ascii="Arial" w:cs="Arial" w:eastAsia="Arial" w:hAnsi="Arial"/>
          <w:sz w:val="16"/>
          <w:szCs w:val="16"/>
          <w:color w:val="auto"/>
        </w:rPr>
        <w:t>. Each Loan shall accrue Interest computed and payable in accordance with the terms of the Loan Agreement.</w:t>
      </w:r>
    </w:p>
    <w:p>
      <w:pPr>
        <w:spacing w:after="0" w:line="225" w:lineRule="exact"/>
        <w:rPr>
          <w:sz w:val="20"/>
          <w:szCs w:val="20"/>
          <w:color w:val="auto"/>
        </w:rPr>
      </w:pPr>
    </w:p>
    <w:p>
      <w:pPr>
        <w:ind w:left="700"/>
        <w:spacing w:after="0"/>
        <w:tabs>
          <w:tab w:leader="none" w:pos="1920" w:val="left"/>
        </w:tabs>
        <w:rPr>
          <w:sz w:val="20"/>
          <w:szCs w:val="20"/>
          <w:color w:val="auto"/>
        </w:rPr>
      </w:pPr>
      <w:r>
        <w:rPr>
          <w:rFonts w:ascii="Arial" w:cs="Arial" w:eastAsia="Arial" w:hAnsi="Arial"/>
          <w:sz w:val="18"/>
          <w:szCs w:val="18"/>
          <w:i w:val="1"/>
          <w:iCs w:val="1"/>
          <w:color w:val="auto"/>
        </w:rPr>
        <w:t>Section 4.3.</w:t>
      </w:r>
      <w:r>
        <w:rPr>
          <w:sz w:val="20"/>
          <w:szCs w:val="20"/>
          <w:color w:val="auto"/>
        </w:rPr>
        <w:tab/>
      </w:r>
      <w:r>
        <w:rPr>
          <w:rFonts w:ascii="Arial" w:cs="Arial" w:eastAsia="Arial" w:hAnsi="Arial"/>
          <w:sz w:val="15"/>
          <w:szCs w:val="15"/>
          <w:i w:val="1"/>
          <w:iCs w:val="1"/>
          <w:color w:val="auto"/>
        </w:rPr>
        <w:t>Payments of Rent; and Payments and Prepayments of Funded Amounts</w:t>
      </w:r>
      <w:r>
        <w:rPr>
          <w:rFonts w:ascii="Arial" w:cs="Arial" w:eastAsia="Arial" w:hAnsi="Arial"/>
          <w:sz w:val="15"/>
          <w:szCs w:val="15"/>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firstLine="8"/>
        <w:spacing w:after="0" w:line="264"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Notwithstanding any provisions in the Lease to the contrary, the Lessor hereby directs the Lessee to pay to the Administrative Agent the Rent from time to time payable under the Lease (other than Supplemental Rent that is payable to Persons other than Lessor, which the Lessor hereby directs the Lessee to make directly to the applicable Person entitled thereto).</w:t>
      </w:r>
    </w:p>
    <w:p>
      <w:pPr>
        <w:spacing w:after="0" w:line="181" w:lineRule="exact"/>
        <w:rPr>
          <w:rFonts w:ascii="Arial" w:cs="Arial" w:eastAsia="Arial" w:hAnsi="Arial"/>
          <w:sz w:val="18"/>
          <w:szCs w:val="18"/>
          <w:color w:val="auto"/>
        </w:rPr>
      </w:pPr>
    </w:p>
    <w:p>
      <w:pPr>
        <w:ind w:right="200" w:firstLine="639"/>
        <w:spacing w:after="0" w:line="297"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In the event that the Lessee pays or causes to be paid the Lease Balance and all other amounts owing by Lessee to the Administrative Agent, if any, and/or the Participants under the Operative Documents (including, but without duplication, accrued and unpaid Rent) to the Lessor in connection with the Lessee’s purchase of the Leased Property in accordance with Section 15.1, 16.2(e) or 18.1 of the Lease or Article XIX of the Lease, the Lessor will prepay the entire outstanding principal amount of the Loans and the Lessor Amount. Each Participant hereby acknowledges that its Loans or Lessor Amount, as the case may be, may be so prepaid without any prepayment premium or charge (other than Break Costs, if any).</w:t>
      </w:r>
    </w:p>
    <w:p>
      <w:pPr>
        <w:spacing w:after="0" w:line="158" w:lineRule="exact"/>
        <w:rPr>
          <w:sz w:val="20"/>
          <w:szCs w:val="20"/>
          <w:color w:val="auto"/>
        </w:rPr>
      </w:pPr>
    </w:p>
    <w:p>
      <w:pPr>
        <w:ind w:right="20" w:firstLine="688"/>
        <w:spacing w:after="0" w:line="302" w:lineRule="auto"/>
        <w:rPr>
          <w:sz w:val="20"/>
          <w:szCs w:val="20"/>
          <w:color w:val="auto"/>
        </w:rPr>
      </w:pPr>
      <w:r>
        <w:rPr>
          <w:rFonts w:ascii="Arial" w:cs="Arial" w:eastAsia="Arial" w:hAnsi="Arial"/>
          <w:sz w:val="16"/>
          <w:szCs w:val="16"/>
          <w:i w:val="1"/>
          <w:iCs w:val="1"/>
          <w:color w:val="auto"/>
        </w:rPr>
        <w:t>Section 4.4. Fees</w:t>
      </w:r>
      <w:r>
        <w:rPr>
          <w:rFonts w:ascii="Arial" w:cs="Arial" w:eastAsia="Arial" w:hAnsi="Arial"/>
          <w:sz w:val="16"/>
          <w:szCs w:val="16"/>
          <w:color w:val="auto"/>
        </w:rPr>
        <w:t>. Lessee agrees to pay the following fees (collectively, the “</w:t>
      </w:r>
      <w:r>
        <w:rPr>
          <w:rFonts w:ascii="Arial" w:cs="Arial" w:eastAsia="Arial" w:hAnsi="Arial"/>
          <w:sz w:val="16"/>
          <w:szCs w:val="16"/>
          <w:i w:val="1"/>
          <w:iCs w:val="1"/>
          <w:color w:val="auto"/>
        </w:rPr>
        <w:t>Fees</w:t>
      </w:r>
      <w:r>
        <w:rPr>
          <w:rFonts w:ascii="Arial" w:cs="Arial" w:eastAsia="Arial" w:hAnsi="Arial"/>
          <w:sz w:val="16"/>
          <w:szCs w:val="16"/>
          <w:color w:val="auto"/>
        </w:rPr>
        <w:t>”): (x) to the Administrative Agent, for the account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the Upfront Fees payable to the Participants on the Document Closing Date, (y) to Arranger, for its own account, the Arranger Fee payable to the Arranger on the Document Closing Date pursuant to, and in the amount set forth in, the Arranger Fee Letter, and (z) to the Administrative Agent, the period agency fees payable to the Administrative Agent pursuant to, and in the amounts and at the times set forth in, the Administrative Agent Fee Letter.</w:t>
      </w:r>
    </w:p>
    <w:p>
      <w:pPr>
        <w:spacing w:after="0" w:line="154" w:lineRule="exact"/>
        <w:rPr>
          <w:sz w:val="20"/>
          <w:szCs w:val="20"/>
          <w:color w:val="auto"/>
        </w:rPr>
      </w:pPr>
    </w:p>
    <w:p>
      <w:pPr>
        <w:ind w:right="180" w:firstLine="688"/>
        <w:spacing w:after="0" w:line="342" w:lineRule="auto"/>
        <w:rPr>
          <w:sz w:val="20"/>
          <w:szCs w:val="20"/>
          <w:color w:val="auto"/>
        </w:rPr>
      </w:pPr>
      <w:r>
        <w:rPr>
          <w:rFonts w:ascii="Arial" w:cs="Arial" w:eastAsia="Arial" w:hAnsi="Arial"/>
          <w:sz w:val="16"/>
          <w:szCs w:val="16"/>
          <w:i w:val="1"/>
          <w:iCs w:val="1"/>
          <w:color w:val="auto"/>
        </w:rPr>
        <w:t>Section 4.5. Obligations Several</w:t>
      </w:r>
      <w:r>
        <w:rPr>
          <w:rFonts w:ascii="Arial" w:cs="Arial" w:eastAsia="Arial" w:hAnsi="Arial"/>
          <w:sz w:val="16"/>
          <w:szCs w:val="16"/>
          <w:color w:val="auto"/>
        </w:rPr>
        <w:t>. The obligations of the Participants hereunder or elsewhere in the Operative Documents shall be several and</w:t>
      </w:r>
      <w:r>
        <w:rPr>
          <w:rFonts w:ascii="Arial" w:cs="Arial" w:eastAsia="Arial" w:hAnsi="Arial"/>
          <w:sz w:val="16"/>
          <w:szCs w:val="16"/>
          <w:i w:val="1"/>
          <w:iCs w:val="1"/>
          <w:color w:val="auto"/>
        </w:rPr>
        <w:t xml:space="preserve"> </w:t>
      </w:r>
      <w:r>
        <w:rPr>
          <w:rFonts w:ascii="Arial" w:cs="Arial" w:eastAsia="Arial" w:hAnsi="Arial"/>
          <w:sz w:val="16"/>
          <w:szCs w:val="16"/>
          <w:color w:val="auto"/>
        </w:rPr>
        <w:t>not joint; and no Participant shall be liable or responsible for the acts or defaults of any other party hereunder or under any other Operative Document.</w:t>
      </w:r>
    </w:p>
    <w:p>
      <w:pPr>
        <w:spacing w:after="0" w:line="124" w:lineRule="exact"/>
        <w:rPr>
          <w:sz w:val="20"/>
          <w:szCs w:val="20"/>
          <w:color w:val="auto"/>
        </w:rPr>
      </w:pPr>
    </w:p>
    <w:p>
      <w:pPr>
        <w:jc w:val="both"/>
        <w:ind w:right="40" w:firstLine="688"/>
        <w:spacing w:after="0" w:line="312" w:lineRule="auto"/>
        <w:rPr>
          <w:sz w:val="20"/>
          <w:szCs w:val="20"/>
          <w:color w:val="auto"/>
        </w:rPr>
      </w:pPr>
      <w:r>
        <w:rPr>
          <w:rFonts w:ascii="Arial" w:cs="Arial" w:eastAsia="Arial" w:hAnsi="Arial"/>
          <w:sz w:val="16"/>
          <w:szCs w:val="16"/>
          <w:i w:val="1"/>
          <w:iCs w:val="1"/>
          <w:color w:val="auto"/>
        </w:rPr>
        <w:t>Section 4.6. Highest Lawful Rate</w:t>
      </w:r>
      <w:r>
        <w:rPr>
          <w:rFonts w:ascii="Arial" w:cs="Arial" w:eastAsia="Arial" w:hAnsi="Arial"/>
          <w:sz w:val="16"/>
          <w:szCs w:val="16"/>
          <w:color w:val="auto"/>
        </w:rPr>
        <w:t>. It is the intention of the parties hereto to conform strictly to applicable usury laws, and, anything herein or in</w:t>
      </w:r>
      <w:r>
        <w:rPr>
          <w:rFonts w:ascii="Arial" w:cs="Arial" w:eastAsia="Arial" w:hAnsi="Arial"/>
          <w:sz w:val="16"/>
          <w:szCs w:val="16"/>
          <w:i w:val="1"/>
          <w:iCs w:val="1"/>
          <w:color w:val="auto"/>
        </w:rPr>
        <w:t xml:space="preserve"> </w:t>
      </w:r>
      <w:r>
        <w:rPr>
          <w:rFonts w:ascii="Arial" w:cs="Arial" w:eastAsia="Arial" w:hAnsi="Arial"/>
          <w:sz w:val="16"/>
          <w:szCs w:val="16"/>
          <w:color w:val="auto"/>
        </w:rPr>
        <w:t>any other Operative Document to the contrary notwithstanding, the obligations of (x) Lessee to Lessor under this Participation Agreement, the Lease and the other Operative Documents, (y) Lessor to the Lenders under the Loan Agreement and the Notes and (z) either Lessee or Lessor or any other party under any</w:t>
      </w:r>
    </w:p>
    <w:p>
      <w:pPr>
        <w:sectPr>
          <w:pgSz w:w="11900" w:h="16952" w:orient="portrait"/>
          <w:cols w:equalWidth="0" w:num="1">
            <w:col w:w="11420"/>
          </w:cols>
          <w:pgMar w:left="240" w:top="125" w:right="239" w:bottom="0" w:gutter="0" w:footer="0" w:header="0"/>
        </w:sectPr>
      </w:pPr>
    </w:p>
    <w:bookmarkStart w:id="8" w:name="page9"/>
    <w:bookmarkEnd w:id="8"/>
    <w:p>
      <w:pPr>
        <w:spacing w:after="0" w:line="3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other Operative Document shall, in each case, be subject to the limitation that payments of Interest or of other amounts constituting interest under Applicable Laws shall not be required to the extent that receipt thereof would be in excess of the Highest Lawful Rate or otherwise contrary to provisions of Applicable Laws applicable to the recipient limiting rates of interest which may be charged or collected by the recipient. Accordingly, if the transactions or the amount paid or otherwise agreed to be paid for the use, forbearance or detention of money under this Participation Agreement, the Lease, the Loan Agreement, the Notes, the Lessor Amount or any other Operative Document would exceed the Highest Lawful Rate or otherwise be usurious under Applicable Laws (including without limitation the federal and state laws of the United States of America or of any other jurisdiction whose laws may be mandatorily applicable) with respect to the recipient of any such amount, then, in that event, notwithstanding anything to the contrary in this Participation Agreement, the Lease, the Loan Agreement, the Notes or any other Operative Document, it is agreed as follows as to the recipient of any such amount: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firstLine="769"/>
        <w:spacing w:after="0" w:line="342" w:lineRule="auto"/>
        <w:tabs>
          <w:tab w:leader="none" w:pos="195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provisions of this Section 4.6 shall govern and control over any other provision in this Participation Agreement, the Lease, the Loan Agreement, the Notes, the Lessor Amount and any other Operative Document, and each provision set forth therein is hereby so limited;</w:t>
      </w:r>
    </w:p>
    <w:p>
      <w:pPr>
        <w:spacing w:after="0" w:line="123" w:lineRule="exact"/>
        <w:rPr>
          <w:rFonts w:ascii="Arial" w:cs="Arial" w:eastAsia="Arial" w:hAnsi="Arial"/>
          <w:sz w:val="16"/>
          <w:szCs w:val="16"/>
          <w:color w:val="auto"/>
        </w:rPr>
      </w:pPr>
    </w:p>
    <w:p>
      <w:pPr>
        <w:ind w:left="660" w:right="120" w:firstLine="757"/>
        <w:spacing w:after="0" w:line="290" w:lineRule="auto"/>
        <w:tabs>
          <w:tab w:leader="none" w:pos="1968"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aggregate of all consideration which constitutes interest under Applicable Laws that is contracted for, charged or received under this Participation Agreement, the Lease, the Loan Agreement, the Notes or any other Operative Document shall under no circumstances exceed the maximum amount of interest allowed by Applicable Laws (such maximum lawful interest rate, if any, with respect to such recipient herein shall be called the “</w:t>
      </w:r>
      <w:r>
        <w:rPr>
          <w:rFonts w:ascii="Arial" w:cs="Arial" w:eastAsia="Arial" w:hAnsi="Arial"/>
          <w:sz w:val="16"/>
          <w:szCs w:val="16"/>
          <w:i w:val="1"/>
          <w:iCs w:val="1"/>
          <w:color w:val="auto"/>
        </w:rPr>
        <w:t>Highest Lawful Rate</w:t>
      </w:r>
      <w:r>
        <w:rPr>
          <w:rFonts w:ascii="Arial" w:cs="Arial" w:eastAsia="Arial" w:hAnsi="Arial"/>
          <w:sz w:val="16"/>
          <w:szCs w:val="16"/>
          <w:color w:val="auto"/>
        </w:rPr>
        <w:t>”), and all amounts owed under this Participation Agreement, the Lease, the Loan Agreement, the Notes and any other Operative Document shall be held subject to reduction and: (i) the amount of interest which would otherwise be payable to the recipient under this Participation Agreement, the Lease, the Loan Agreement, the Notes or any other Operative Document shall be automatically reduced to the amount allowed under Applicable Laws, and (ii) any unearned interest paid in excess of the Highest Lawful Rate shall be credited to the payor by the recipient (or, if such consideration shall have been paid in full, refunded to the payor);</w:t>
      </w:r>
    </w:p>
    <w:p>
      <w:pPr>
        <w:spacing w:after="0" w:line="166" w:lineRule="exact"/>
        <w:rPr>
          <w:rFonts w:ascii="Arial" w:cs="Arial" w:eastAsia="Arial" w:hAnsi="Arial"/>
          <w:sz w:val="16"/>
          <w:szCs w:val="16"/>
          <w:color w:val="auto"/>
        </w:rPr>
      </w:pPr>
    </w:p>
    <w:p>
      <w:pPr>
        <w:ind w:left="660" w:right="180" w:firstLine="769"/>
        <w:spacing w:after="0" w:line="259" w:lineRule="auto"/>
        <w:tabs>
          <w:tab w:leader="none" w:pos="197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sums paid or agreed to be paid for the use, forbearance and detention of the money under this Participation Agreement, the Lease, the Loan Agreement, the Notes or any other Operative Document shall, to the extent permitted by Applicable Laws, be amortized, prorated, allocated and spread throughout the full term of such indebtedness until payment in full so that the actual rate of interest is uniform throughout the full term thereof; and</w:t>
      </w:r>
    </w:p>
    <w:p>
      <w:pPr>
        <w:spacing w:after="0" w:line="186" w:lineRule="exact"/>
        <w:rPr>
          <w:rFonts w:ascii="Arial" w:cs="Arial" w:eastAsia="Arial" w:hAnsi="Arial"/>
          <w:sz w:val="18"/>
          <w:szCs w:val="18"/>
          <w:color w:val="auto"/>
        </w:rPr>
      </w:pPr>
    </w:p>
    <w:p>
      <w:pPr>
        <w:ind w:left="660" w:firstLine="757"/>
        <w:spacing w:after="0" w:line="270" w:lineRule="auto"/>
        <w:tabs>
          <w:tab w:leader="none" w:pos="1968"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at any time the interest, together with any other fees, late charges and other sums payable pursuant to or in connection with this Participation Agreement, the Lease, the Loan Agreement, the Notes and any other Operative Document executed in connection herewith or therewith and deemed interest under Applicable Laws, exceeds that amount which would have accrued at the Highest Lawful Rate, the amount of interest and any such fees, charges and sums to accrue to the recipient of such interest, fees, charges and sums pursuant to the Operative Documents shall be limited, notwithstanding anything to the contrary in the Operative Documents, to that amount which would have accrued at the Highest Lawful Rate for the recipient, but any subsequent reductions, as applicable, shall not reduce the interest to accrue pursuant to the Operative Documents below the recipient’s Highest Lawful Rate until the total amount of interest payable to the recipient (including all consideration which constitutes interest) equals the amount of interest which would have been payable to the recipient (including all consideration which constitutes interest), plus the amount of fees which would have been received but for the effect of this Section 4.6.</w:t>
      </w:r>
    </w:p>
    <w:p>
      <w:pPr>
        <w:spacing w:after="0" w:line="182" w:lineRule="exact"/>
        <w:rPr>
          <w:sz w:val="20"/>
          <w:szCs w:val="20"/>
          <w:color w:val="auto"/>
        </w:rPr>
      </w:pPr>
    </w:p>
    <w:p>
      <w:pPr>
        <w:ind w:right="340" w:firstLine="688"/>
        <w:spacing w:after="0" w:line="308" w:lineRule="auto"/>
        <w:rPr>
          <w:sz w:val="20"/>
          <w:szCs w:val="20"/>
          <w:color w:val="auto"/>
        </w:rPr>
      </w:pPr>
      <w:r>
        <w:rPr>
          <w:rFonts w:ascii="Arial" w:cs="Arial" w:eastAsia="Arial" w:hAnsi="Arial"/>
          <w:sz w:val="17"/>
          <w:szCs w:val="17"/>
          <w:i w:val="1"/>
          <w:iCs w:val="1"/>
          <w:color w:val="auto"/>
        </w:rPr>
        <w:t>Section 4.7. Renewal of Lease</w:t>
      </w:r>
      <w:r>
        <w:rPr>
          <w:rFonts w:ascii="Arial" w:cs="Arial" w:eastAsia="Arial" w:hAnsi="Arial"/>
          <w:sz w:val="17"/>
          <w:szCs w:val="17"/>
          <w:color w:val="auto"/>
        </w:rPr>
        <w:t>. (a) Lessee may request in writing (the</w:t>
      </w:r>
      <w:r>
        <w:rPr>
          <w:rFonts w:ascii="Arial" w:cs="Arial" w:eastAsia="Arial" w:hAnsi="Arial"/>
          <w:sz w:val="17"/>
          <w:szCs w:val="17"/>
          <w:i w:val="1"/>
          <w:iCs w:val="1"/>
          <w:color w:val="auto"/>
        </w:rPr>
        <w:t xml:space="preserve"> “Renewal Option Request”</w:t>
      </w:r>
      <w:r>
        <w:rPr>
          <w:rFonts w:ascii="Arial" w:cs="Arial" w:eastAsia="Arial" w:hAnsi="Arial"/>
          <w:sz w:val="17"/>
          <w:szCs w:val="17"/>
          <w:color w:val="auto"/>
        </w:rPr>
        <w:t>) to the Administrative Agent, Lessor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each Participant pursuant to the Lease to renew the Term (the </w:t>
      </w:r>
      <w:r>
        <w:rPr>
          <w:rFonts w:ascii="Arial" w:cs="Arial" w:eastAsia="Arial" w:hAnsi="Arial"/>
          <w:sz w:val="17"/>
          <w:szCs w:val="17"/>
          <w:i w:val="1"/>
          <w:iCs w:val="1"/>
          <w:color w:val="auto"/>
        </w:rPr>
        <w:t>“Lease Renewal”</w:t>
      </w:r>
      <w:r>
        <w:rPr>
          <w:rFonts w:ascii="Arial" w:cs="Arial" w:eastAsia="Arial" w:hAnsi="Arial"/>
          <w:sz w:val="17"/>
          <w:szCs w:val="17"/>
          <w:color w:val="auto"/>
        </w:rPr>
        <w:t>) for one additional five-year period commencing on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 xml:space="preserve">last day of the Base Term (a </w:t>
      </w:r>
      <w:r>
        <w:rPr>
          <w:rFonts w:ascii="Arial" w:cs="Arial" w:eastAsia="Arial" w:hAnsi="Arial"/>
          <w:sz w:val="16"/>
          <w:szCs w:val="16"/>
          <w:i w:val="1"/>
          <w:iCs w:val="1"/>
          <w:color w:val="auto"/>
        </w:rPr>
        <w:t>“Lease Renewal Term”</w:t>
      </w:r>
      <w:r>
        <w:rPr>
          <w:rFonts w:ascii="Arial" w:cs="Arial" w:eastAsia="Arial" w:hAnsi="Arial"/>
          <w:sz w:val="16"/>
          <w:szCs w:val="16"/>
          <w:color w:val="auto"/>
        </w:rPr>
        <w:t>), and that the Maturity Date for the Loans and the Lessor Amount be correspondingly extended to the extended Expiration Date. Such Renewal Option Request must be delivered in writing to Administrative Agent not later than one hundred eighty (180) days nor more than three hundred sixty-five (365) days prior to the expiration of the Base Term. The Administrative Agent shall distribute a copy of the Renewal Option Request to each Participant, promptly after receipt thereof from the Lessee. Each Participant will notify Administrative Agent (who shall promptly notify the Lessee) in writing of whether or not it has consented to such Renewal Option Request not later than forty-five (45) days after the date on which the Administrative Agent receives the Renewal Option Request (the “</w:t>
      </w:r>
      <w:r>
        <w:rPr>
          <w:rFonts w:ascii="Arial" w:cs="Arial" w:eastAsia="Arial" w:hAnsi="Arial"/>
          <w:sz w:val="16"/>
          <w:szCs w:val="16"/>
          <w:i w:val="1"/>
          <w:iCs w:val="1"/>
          <w:color w:val="auto"/>
        </w:rPr>
        <w:t>Renewal Option Response Date</w:t>
      </w:r>
      <w:r>
        <w:rPr>
          <w:rFonts w:ascii="Arial" w:cs="Arial" w:eastAsia="Arial" w:hAnsi="Arial"/>
          <w:sz w:val="16"/>
          <w:szCs w:val="16"/>
          <w:color w:val="auto"/>
        </w:rPr>
        <w:t>”). Any failure by any Participant to so notify Administrative Agent by the Renewal Option Response Date will be deemed to be a non-consent by such Participant. Each Participant’s determination with respect to the Renewal Option Request shall be a new credit determination and within such Participant’s sole and absolute discretion and may be conditioned upon such terms and conditions as shall be deemed appropriate by such Participant, which may include receipt of such financial information, documentation or other information or conditions as may be requested in writing by such Participant and the receipt of a satisfactory appraisal of the Leased Property. It is a condition that all Participants consent to the renewal set forth in the Renewal Option Request for any renewal of the Lease to be effective. Lessee shall have thirty (30) days after the Renewal Option Response Date (such time period being referred to as the “</w:t>
      </w:r>
      <w:r>
        <w:rPr>
          <w:rFonts w:ascii="Arial" w:cs="Arial" w:eastAsia="Arial" w:hAnsi="Arial"/>
          <w:sz w:val="16"/>
          <w:szCs w:val="16"/>
          <w:i w:val="1"/>
          <w:iCs w:val="1"/>
          <w:color w:val="auto"/>
        </w:rPr>
        <w:t>Renewal Rescission Period</w:t>
      </w:r>
      <w:r>
        <w:rPr>
          <w:rFonts w:ascii="Arial" w:cs="Arial" w:eastAsia="Arial" w:hAnsi="Arial"/>
          <w:sz w:val="16"/>
          <w:szCs w:val="16"/>
          <w:color w:val="auto"/>
        </w:rPr>
        <w:t>”) to irrevocably rescind the Renewal Option Request and elect not to extend the Term (a “</w:t>
      </w:r>
      <w:r>
        <w:rPr>
          <w:rFonts w:ascii="Arial" w:cs="Arial" w:eastAsia="Arial" w:hAnsi="Arial"/>
          <w:sz w:val="16"/>
          <w:szCs w:val="16"/>
          <w:i w:val="1"/>
          <w:iCs w:val="1"/>
          <w:color w:val="auto"/>
        </w:rPr>
        <w:t>Renewal Rescission</w:t>
      </w:r>
      <w:r>
        <w:rPr>
          <w:rFonts w:ascii="Arial" w:cs="Arial" w:eastAsia="Arial" w:hAnsi="Arial"/>
          <w:sz w:val="16"/>
          <w:szCs w:val="16"/>
          <w:color w:val="auto"/>
        </w:rPr>
        <w:t>”). If Lessee exercises a Renewal Rescission, the Lease shall terminate on the last day of the Term and Lessee shall be deemed to have exercised the Purchase Option. Any failure by Lessee to exercise a Renewal Rescission during the Renewal Rescission Period shall be deemed a waiver of the right of Lessee to effectuate a Renewal Rescission and, subject to Section 4.7(c), Lessee shall have been deemed to have accepted the Participants’ respective terms and conditions to their respective consents to the Renewal Option Request.</w:t>
      </w:r>
    </w:p>
    <w:p>
      <w:pPr>
        <w:spacing w:after="0" w:line="178"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 xml:space="preserve">If consented to by all Participants pursuant to the preceding paragraph, Lessee, the Administrative Agent and the Participants shall proceed promptly to execute and deliver all such amendments and modifications to the Operative Documents as are necessary to set forth any terms and conditions relating to the Renewal Option not reflected in the Operative Documents and the renewal shall become effective as of the first date (the </w:t>
      </w:r>
      <w:r>
        <w:rPr>
          <w:rFonts w:ascii="Arial" w:cs="Arial" w:eastAsia="Arial" w:hAnsi="Arial"/>
          <w:sz w:val="16"/>
          <w:szCs w:val="16"/>
          <w:i w:val="1"/>
          <w:iCs w:val="1"/>
          <w:color w:val="auto"/>
        </w:rPr>
        <w:t>“Renewal Effective Date”</w:t>
      </w:r>
      <w:r>
        <w:rPr>
          <w:rFonts w:ascii="Arial" w:cs="Arial" w:eastAsia="Arial" w:hAnsi="Arial"/>
          <w:sz w:val="16"/>
          <w:szCs w:val="16"/>
          <w:color w:val="auto"/>
        </w:rPr>
        <w:t xml:space="preserve">) on or after the Renewal Option Response Date on which all of the Participants shall have consented to such Lease Renewal;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on both the date of the Renewal Option Request and the Renewal Effective Date in addition thereto: (w) each of the representations and warranties made by Lessee and each Guarantor in or pursuant to the Operative Documents shall be true and correct in all material respects as if made on and as of each such date (except to the extent any such representation or warranty specifically relates to an earlier date), (x) Lessee shall not have exercised the Purchase Option or Sale Option,</w:t>
      </w:r>
    </w:p>
    <w:p>
      <w:pPr>
        <w:spacing w:after="0" w:line="3" w:lineRule="exact"/>
        <w:rPr>
          <w:sz w:val="20"/>
          <w:szCs w:val="20"/>
          <w:color w:val="auto"/>
        </w:rPr>
      </w:pPr>
    </w:p>
    <w:p>
      <w:pPr>
        <w:ind w:right="120" w:firstLine="8"/>
        <w:spacing w:after="0" w:line="255"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and (z) on each of such dates, Lessor shall have received a certificate of a Responsible Officer of Lessee as to the matters set forth in clauses (w), (x) and (y) above and (3) without duplication, the conditions set forth in Section 19.3 of the Lease shall have been satisfied as of the dates required therein.</w:t>
      </w:r>
    </w:p>
    <w:p>
      <w:pPr>
        <w:spacing w:after="0" w:line="190" w:lineRule="exact"/>
        <w:rPr>
          <w:rFonts w:ascii="Arial" w:cs="Arial" w:eastAsia="Arial" w:hAnsi="Arial"/>
          <w:sz w:val="18"/>
          <w:szCs w:val="18"/>
          <w:color w:val="auto"/>
        </w:rPr>
      </w:pPr>
    </w:p>
    <w:p>
      <w:pPr>
        <w:ind w:left="1300" w:hanging="661"/>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Following the Renewal Effective Date, Lessee’s election of the Lease Renewal</w:t>
      </w:r>
    </w:p>
    <w:p>
      <w:pPr>
        <w:sectPr>
          <w:pgSz w:w="11900" w:h="16874" w:orient="portrait"/>
          <w:cols w:equalWidth="0" w:num="1">
            <w:col w:w="11420"/>
          </w:cols>
          <w:pgMar w:left="240" w:top="125" w:right="239"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Term shall be undertaken pursuant to, and shall be subject to the terms and conditions set forth in, Section 19.1(a) of the Lease.</w:t>
      </w:r>
    </w:p>
    <w:p>
      <w:pPr>
        <w:spacing w:after="0" w:line="225" w:lineRule="exact"/>
        <w:rPr>
          <w:sz w:val="20"/>
          <w:szCs w:val="20"/>
          <w:color w:val="auto"/>
        </w:rPr>
      </w:pPr>
    </w:p>
    <w:p>
      <w:pPr>
        <w:ind w:firstLine="651"/>
        <w:spacing w:after="0" w:line="272" w:lineRule="auto"/>
        <w:tabs>
          <w:tab w:leader="none" w:pos="1302"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Lessee shall have the right, but shall not be obligated, to replace any Participant that fails to consent to a Renewal Option Request pursuant to Section 4.7(a) or, as a condition to such consent, requires renewal terms that the Lessee has not accepted (any such Participant, a “</w:t>
      </w:r>
      <w:r>
        <w:rPr>
          <w:rFonts w:ascii="Arial" w:cs="Arial" w:eastAsia="Arial" w:hAnsi="Arial"/>
          <w:sz w:val="17"/>
          <w:szCs w:val="17"/>
          <w:i w:val="1"/>
          <w:iCs w:val="1"/>
          <w:color w:val="auto"/>
        </w:rPr>
        <w:t>Non-Renewing</w:t>
      </w:r>
      <w:r>
        <w:rPr>
          <w:rFonts w:ascii="Arial" w:cs="Arial" w:eastAsia="Arial" w:hAnsi="Arial"/>
          <w:sz w:val="17"/>
          <w:szCs w:val="17"/>
          <w:color w:val="auto"/>
        </w:rPr>
        <w:t xml:space="preserve"> </w:t>
      </w:r>
      <w:r>
        <w:rPr>
          <w:rFonts w:ascii="Arial" w:cs="Arial" w:eastAsia="Arial" w:hAnsi="Arial"/>
          <w:sz w:val="17"/>
          <w:szCs w:val="17"/>
          <w:i w:val="1"/>
          <w:iCs w:val="1"/>
          <w:color w:val="auto"/>
        </w:rPr>
        <w:t>Participant</w:t>
      </w:r>
      <w:r>
        <w:rPr>
          <w:rFonts w:ascii="Arial" w:cs="Arial" w:eastAsia="Arial" w:hAnsi="Arial"/>
          <w:sz w:val="17"/>
          <w:szCs w:val="17"/>
          <w:color w:val="auto"/>
        </w:rPr>
        <w:t>”), in any such case, in accordance with the procedures provided in Section 14.9. Any such replacement Participant shall have entered into an</w:t>
      </w:r>
      <w:r>
        <w:rPr>
          <w:rFonts w:ascii="Arial" w:cs="Arial" w:eastAsia="Arial" w:hAnsi="Arial"/>
          <w:sz w:val="17"/>
          <w:szCs w:val="17"/>
          <w:i w:val="1"/>
          <w:iCs w:val="1"/>
          <w:color w:val="auto"/>
        </w:rPr>
        <w:t xml:space="preserve"> </w:t>
      </w:r>
      <w:r>
        <w:rPr>
          <w:rFonts w:ascii="Arial" w:cs="Arial" w:eastAsia="Arial" w:hAnsi="Arial"/>
          <w:sz w:val="17"/>
          <w:szCs w:val="17"/>
          <w:color w:val="auto"/>
        </w:rPr>
        <w:t>Assignment Agreement with such Non-Renewing Participant in accordance with the procedures provided in Section 14.9, effective on or before the Renewal Effective Date. Prior to any Non-Renewing Participant being so replaced pursuant hereto, such Non-Renewing Participant may elect, in its sole discretion, by giving irrevocable notice thereof to the Administrative Agent and the Lessee, to become a consenting Participant pursuant to this Section 4.7 and/or to withdraw any of its renewal terms that the Lessee has not accepted.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INTENTIONS OF THE PARTIES</w:t>
      </w:r>
    </w:p>
    <w:p>
      <w:pPr>
        <w:spacing w:after="0" w:line="211" w:lineRule="exact"/>
        <w:rPr>
          <w:sz w:val="20"/>
          <w:szCs w:val="20"/>
          <w:color w:val="auto"/>
        </w:rPr>
      </w:pPr>
    </w:p>
    <w:p>
      <w:pPr>
        <w:ind w:left="700"/>
        <w:spacing w:after="0"/>
        <w:tabs>
          <w:tab w:leader="none" w:pos="1920" w:val="left"/>
        </w:tabs>
        <w:rPr>
          <w:sz w:val="20"/>
          <w:szCs w:val="20"/>
          <w:color w:val="auto"/>
        </w:rPr>
      </w:pPr>
      <w:r>
        <w:rPr>
          <w:rFonts w:ascii="Arial" w:cs="Arial" w:eastAsia="Arial" w:hAnsi="Arial"/>
          <w:sz w:val="18"/>
          <w:szCs w:val="18"/>
          <w:i w:val="1"/>
          <w:iCs w:val="1"/>
          <w:color w:val="auto"/>
        </w:rPr>
        <w:t>Section 5.1.</w:t>
      </w:r>
      <w:r>
        <w:rPr>
          <w:sz w:val="20"/>
          <w:szCs w:val="20"/>
          <w:color w:val="auto"/>
        </w:rPr>
        <w:tab/>
      </w:r>
      <w:r>
        <w:rPr>
          <w:rFonts w:ascii="Arial" w:cs="Arial" w:eastAsia="Arial" w:hAnsi="Arial"/>
          <w:sz w:val="16"/>
          <w:szCs w:val="16"/>
          <w:i w:val="1"/>
          <w:iCs w:val="1"/>
          <w:color w:val="auto"/>
        </w:rPr>
        <w:t>Nature of Transaction</w:t>
      </w:r>
      <w:r>
        <w:rPr>
          <w:rFonts w:ascii="Arial" w:cs="Arial" w:eastAsia="Arial" w:hAnsi="Arial"/>
          <w:sz w:val="16"/>
          <w:szCs w:val="16"/>
          <w:color w:val="auto"/>
        </w:rPr>
        <w:t>. It is the intention of the parties that:</w:t>
      </w:r>
    </w:p>
    <w:p>
      <w:pPr>
        <w:spacing w:after="0" w:line="225" w:lineRule="exact"/>
        <w:rPr>
          <w:sz w:val="20"/>
          <w:szCs w:val="20"/>
          <w:color w:val="auto"/>
        </w:rPr>
      </w:pPr>
    </w:p>
    <w:p>
      <w:pPr>
        <w:ind w:left="660" w:right="700" w:firstLine="769"/>
        <w:spacing w:after="0" w:line="264" w:lineRule="auto"/>
        <w:tabs>
          <w:tab w:leader="none" w:pos="19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all purposes, including GAAP, federal and all state and local income and transfer taxes, bankruptcy, insolvency, conservatorships and receiverships (including the substantive law upon which bankruptcy, conservatorship and insolvency and receivership proceedings are based), real estate and commercial law and UCC purposes:</w:t>
      </w:r>
    </w:p>
    <w:p>
      <w:pPr>
        <w:spacing w:after="0" w:line="181" w:lineRule="exact"/>
        <w:rPr>
          <w:rFonts w:ascii="Arial" w:cs="Arial" w:eastAsia="Arial" w:hAnsi="Arial"/>
          <w:sz w:val="18"/>
          <w:szCs w:val="18"/>
          <w:color w:val="auto"/>
        </w:rPr>
      </w:pPr>
    </w:p>
    <w:p>
      <w:pPr>
        <w:ind w:left="1300" w:right="40" w:firstLine="805"/>
        <w:spacing w:after="0" w:line="271" w:lineRule="auto"/>
        <w:tabs>
          <w:tab w:leader="none" w:pos="2621"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Overall Transaction constitutes a secured lending transaction by the Participants to Lessee and preserves beneficial ownership in the Leased Property in Lessee, the Lessor holds only legal title to the Leased Property within the meaning of 11 U.S.C. Section 541(d), Lessee (and not the Lessor, the Administrative Agent or the other Participants) will be entitled to all tax benefits with respect to the Leased Property and other Collateral available to the owner of the Leased Property for tax purposes, the obligations of Lessee to pay Basic Rent shall be treated as payments of interest to the Participants, the payment by Lessee of any amounts (other than Basic Rent) in respect of the Lease Balance shall be treated as payments of principal to the Participants and, in the event Lessee purchases the Leased Property pursuant to the terms of the Lease and pays in full the Lease Balance and all other amounts outstanding under the Operative Documents, legal title to the Leased Property shall automatically vest in the Lessee; and</w:t>
      </w:r>
    </w:p>
    <w:p>
      <w:pPr>
        <w:spacing w:after="0" w:line="178" w:lineRule="exact"/>
        <w:rPr>
          <w:rFonts w:ascii="Arial" w:cs="Arial" w:eastAsia="Arial" w:hAnsi="Arial"/>
          <w:sz w:val="17"/>
          <w:szCs w:val="17"/>
          <w:color w:val="auto"/>
        </w:rPr>
      </w:pPr>
    </w:p>
    <w:p>
      <w:pPr>
        <w:ind w:left="1300" w:right="20" w:firstLine="760"/>
        <w:spacing w:after="0" w:line="259" w:lineRule="auto"/>
        <w:tabs>
          <w:tab w:leader="none" w:pos="2626"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order to secure the obligations of Lessee now existing or hereafter arising under the Lease or any of the other Operative Documents, the Lease, together with the other Security Instruments, creates a security interest or a lien, as the case may be, in the Leased Property and the other Collateral in favor of the Administrative Agent, and for the benefit of the Participants, to secure Lessee’s payment and performance of the Obligations;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300" w:firstLine="703"/>
        <w:spacing w:after="0" w:line="259" w:lineRule="auto"/>
        <w:tabs>
          <w:tab w:leader="none" w:pos="263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Security Instruments create Liens on and security interests in the Leased Property and the other Collateral, granted by Lessor or Lessee, as applicable, in favor of the Administrative Agent for the benefit of all of the Participants to secure Lessor’s and Lessee’s payment and performance of their respective obligations under the Lease, the Loan Agreement, the Notes and other applicable Operative Documents.</w:t>
      </w:r>
    </w:p>
    <w:p>
      <w:pPr>
        <w:spacing w:after="0" w:line="18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Each of the parties hereto agrees that it will not, nor will it permit any Affiliate to at any time, take any action or fail to take any action with respect to the preparation, filing or audit of any income tax return, including an amended income tax return, to the extent that such action or such failure to take action would be inconsistent with the intention of the parties expressed in this Section 5.1.</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Nevertheless, without limiting the foregoing agreement, each of the parties hereto acknowledges and agrees that none of the Lessee, the Participants, the Administrative Agent or Arranger has made any representations or warranties concerning the tax, accounting or legal characteristics of the Operative Documents or any aspect of the Overall Transaction and that such party has obtained and relied upon such tax, accounting and legal advice concerning the Operative Documents and the Overall Transaction as such party deems appropriate.</w:t>
      </w:r>
    </w:p>
    <w:p>
      <w:pPr>
        <w:spacing w:after="0" w:line="187" w:lineRule="exact"/>
        <w:rPr>
          <w:sz w:val="20"/>
          <w:szCs w:val="20"/>
          <w:color w:val="auto"/>
        </w:rPr>
      </w:pPr>
    </w:p>
    <w:p>
      <w:pPr>
        <w:ind w:left="660" w:right="140" w:firstLine="757"/>
        <w:spacing w:after="0" w:line="291" w:lineRule="auto"/>
        <w:tabs>
          <w:tab w:leader="none" w:pos="1968" w:val="left"/>
        </w:tabs>
        <w:numPr>
          <w:ilvl w:val="0"/>
          <w:numId w:val="12"/>
        </w:numPr>
        <w:rPr>
          <w:rFonts w:ascii="Arial" w:cs="Arial" w:eastAsia="Arial" w:hAnsi="Arial"/>
          <w:sz w:val="16"/>
          <w:szCs w:val="16"/>
          <w:color w:val="auto"/>
        </w:rPr>
      </w:pPr>
      <w:r>
        <w:rPr>
          <w:rFonts w:ascii="Arial" w:cs="Arial" w:eastAsia="Arial" w:hAnsi="Arial"/>
          <w:sz w:val="16"/>
          <w:szCs w:val="16"/>
          <w:color w:val="auto"/>
        </w:rPr>
        <w:t>Specifically, without limiting the generality of clause (a), the parties hereto intend and agree that in the event of any insolvency, conservatorship or receivership proceedings or matters or a petition under the United States bankruptcy laws, or any other applicable insolvency, conservatorship or receivership laws or statute of the United States of America or any State or Commonwealth thereof affecting Lessee, the Guarantors or any Participant or any collection actions, the transactions evidenced by the Operative Documents (including, without limitation, the Lease) constitute a financing made directly to Lessee by the Participants, as unrelated third party lenders, and that Lessor holds a fee interest in and title to the Leased Property to secure Lessee’s obligations to repay such financing to the Participants and all other amounts due under any of the Operative Documents and that Lessee retains the beneficial ownership of the Leased Property.</w:t>
      </w:r>
    </w:p>
    <w:p>
      <w:pPr>
        <w:spacing w:after="0" w:line="167" w:lineRule="exact"/>
        <w:rPr>
          <w:sz w:val="20"/>
          <w:szCs w:val="20"/>
          <w:color w:val="auto"/>
        </w:rPr>
      </w:pPr>
    </w:p>
    <w:p>
      <w:pPr>
        <w:ind w:right="20" w:firstLine="688"/>
        <w:spacing w:after="0" w:line="290" w:lineRule="auto"/>
        <w:rPr>
          <w:sz w:val="20"/>
          <w:szCs w:val="20"/>
          <w:color w:val="auto"/>
        </w:rPr>
      </w:pPr>
      <w:r>
        <w:rPr>
          <w:rFonts w:ascii="Arial" w:cs="Arial" w:eastAsia="Arial" w:hAnsi="Arial"/>
          <w:sz w:val="16"/>
          <w:szCs w:val="16"/>
          <w:i w:val="1"/>
          <w:iCs w:val="1"/>
          <w:color w:val="auto"/>
        </w:rPr>
        <w:t>Section 5.2. Amounts Due Under Lease</w:t>
      </w:r>
      <w:r>
        <w:rPr>
          <w:rFonts w:ascii="Arial" w:cs="Arial" w:eastAsia="Arial" w:hAnsi="Arial"/>
          <w:sz w:val="16"/>
          <w:szCs w:val="16"/>
          <w:color w:val="auto"/>
        </w:rPr>
        <w:t>. Anything else herein or elsewhere to the contrary notwithstanding, it is the intention of the Lessee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Participants that: (i) the amount and timing of installments of Basic Rent due and payable from time to time under the Lease shall be equal to the aggregate payments due and payable as Interest on the Loans and Yield on the Lessor Amount due on each Payment Date; (ii) if the Lessee elects the Early Termination Option, the Purchase Option or becomes obligated or otherwise elects to purchase the Leased Property under the Lease, the Loans, the Lessor Amount, all accrued and unpaid Interest and Yield thereon, any Fees and all other obligations of the Lessee owing to the Participants pursuant to the Operative Documents shall be paid in full by the Lessee; (iii) if the Lessee properly elects the Sale Option with respect to the Leased Property and subject to Articles XX and XXI of the Lease, the Lessee shall only be required to pay to the Administrative Agent the proceeds of the sale of the Leased Property, the Sale Option Recourse Amount with respect to the Leased Property and any amounts due pursuant to Section 20.2 of the Lease, together with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32"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all other amounts due and payable as Supplemental Rent, but subject to the right of the parties with respect to the Gross Proceeds as set forth at</w:t>
      </w:r>
    </w:p>
    <w:p>
      <w:pPr>
        <w:spacing w:after="0" w:line="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Section 5.3(d); and (iv) upon an Event of Default resulting in an acceleration of the Lessee’s obligations to purchase the Leased Property under the Lease, the amounts then due and payable by the Lessee under the Lease on a recourse basis shall include all amounts necessary to pay in full the Lease Balance and all other amounts owing by Lessee to the Administrative Agent, if any, and/or the Participants under the Operative Documents (including, but without duplication, accrued and unpaid Rent).</w:t>
      </w:r>
    </w:p>
    <w:p>
      <w:pPr>
        <w:spacing w:after="0" w:line="190" w:lineRule="exact"/>
        <w:rPr>
          <w:sz w:val="20"/>
          <w:szCs w:val="20"/>
          <w:color w:val="auto"/>
        </w:rPr>
      </w:pPr>
    </w:p>
    <w:p>
      <w:pPr>
        <w:ind w:right="100" w:firstLine="688"/>
        <w:spacing w:after="0" w:line="293" w:lineRule="auto"/>
        <w:rPr>
          <w:sz w:val="20"/>
          <w:szCs w:val="20"/>
          <w:color w:val="auto"/>
        </w:rPr>
      </w:pPr>
      <w:r>
        <w:rPr>
          <w:rFonts w:ascii="Arial" w:cs="Arial" w:eastAsia="Arial" w:hAnsi="Arial"/>
          <w:sz w:val="16"/>
          <w:szCs w:val="16"/>
          <w:i w:val="1"/>
          <w:iCs w:val="1"/>
          <w:color w:val="auto"/>
        </w:rPr>
        <w:t>Section 5.3. Distribution</w:t>
      </w:r>
      <w:r>
        <w:rPr>
          <w:rFonts w:ascii="Arial" w:cs="Arial" w:eastAsia="Arial" w:hAnsi="Arial"/>
          <w:sz w:val="16"/>
          <w:szCs w:val="16"/>
          <w:color w:val="auto"/>
        </w:rPr>
        <w:t>. (a) Each payment of Basic Rent to the extent attributable to Interest and Yield (and any payment of interest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overdue installments of Basic Rent) received by the Administrative Agent shall be distributed by the Administrative Agent to the Participants, in accordance with, and for application to, the amount of Interest and Yield then due on the Loans and the Lessor Amount, as well as any overdue Interest or Yield due to each Lender or Lessor (to the extent permitted by Applicable Laws);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until the Lessor Shortfall Amount has been reduced to zero, the Administrative Agent shall distribute Basic Rent attributable to Interest (and any payment of interest on overdue installments of Basic Rent) that is received by the Administrative Agent on a on a pro rata basis, based on their respective shares of the Loan Balance, to the Lenders.</w:t>
      </w:r>
    </w:p>
    <w:p>
      <w:pPr>
        <w:spacing w:after="0" w:line="165" w:lineRule="exact"/>
        <w:rPr>
          <w:sz w:val="20"/>
          <w:szCs w:val="20"/>
          <w:color w:val="auto"/>
        </w:rPr>
      </w:pPr>
    </w:p>
    <w:p>
      <w:pPr>
        <w:ind w:left="1300" w:hanging="661"/>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payment received by the Administrative Agent as a result of:</w:t>
      </w:r>
    </w:p>
    <w:p>
      <w:pPr>
        <w:spacing w:after="0" w:line="225" w:lineRule="exact"/>
        <w:rPr>
          <w:rFonts w:ascii="Arial" w:cs="Arial" w:eastAsia="Arial" w:hAnsi="Arial"/>
          <w:sz w:val="18"/>
          <w:szCs w:val="18"/>
          <w:color w:val="auto"/>
        </w:rPr>
      </w:pPr>
    </w:p>
    <w:p>
      <w:pPr>
        <w:ind w:left="1960" w:hanging="498"/>
        <w:spacing w:after="0"/>
        <w:tabs>
          <w:tab w:leader="none" w:pos="19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purchase of the Leased Property pursuant to the provisions of the Lease (including, but not limited to, Section 18.1 and 19.1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 Lease), or</w:t>
      </w:r>
    </w:p>
    <w:p>
      <w:pPr>
        <w:spacing w:after="0" w:line="210" w:lineRule="exact"/>
        <w:rPr>
          <w:rFonts w:ascii="Arial" w:cs="Arial" w:eastAsia="Arial" w:hAnsi="Arial"/>
          <w:sz w:val="16"/>
          <w:szCs w:val="16"/>
          <w:color w:val="auto"/>
        </w:rPr>
      </w:pPr>
    </w:p>
    <w:p>
      <w:pPr>
        <w:ind w:left="1980" w:hanging="574"/>
        <w:spacing w:after="0"/>
        <w:tabs>
          <w:tab w:leader="none" w:pos="1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payment of the Lease Balance or Purchase Amount pursuant to the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shall be distributed by the Administrative Agent in the following amounts and order of priority: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on a pro rata basis based on their respective shares of the Loan Balance, to the Lenders in an amount not to exceed the sum of</w:t>
      </w:r>
    </w:p>
    <w:p>
      <w:pPr>
        <w:spacing w:after="0" w:line="23" w:lineRule="exact"/>
        <w:rPr>
          <w:sz w:val="20"/>
          <w:szCs w:val="20"/>
          <w:color w:val="auto"/>
        </w:rPr>
      </w:pPr>
    </w:p>
    <w:p>
      <w:pPr>
        <w:ind w:left="1300" w:right="200" w:firstLine="5"/>
        <w:spacing w:after="0" w:line="261" w:lineRule="auto"/>
        <w:tabs>
          <w:tab w:leader="none" w:pos="15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 the Lessor Shortfall Amount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(B) the Commitment Percentage with respect to the Lessor, </w:t>
      </w:r>
      <w:r>
        <w:rPr>
          <w:rFonts w:ascii="Arial" w:cs="Arial" w:eastAsia="Arial" w:hAnsi="Arial"/>
          <w:sz w:val="18"/>
          <w:szCs w:val="18"/>
          <w:i w:val="1"/>
          <w:iCs w:val="1"/>
          <w:color w:val="auto"/>
        </w:rPr>
        <w:t>minus</w:t>
      </w:r>
      <w:r>
        <w:rPr>
          <w:rFonts w:ascii="Arial" w:cs="Arial" w:eastAsia="Arial" w:hAnsi="Arial"/>
          <w:sz w:val="18"/>
          <w:szCs w:val="18"/>
          <w:color w:val="auto"/>
        </w:rPr>
        <w:t xml:space="preserve"> (ii) the Lessor Shortfall Amount, for application to pay the Loan Balance owing to them;</w:t>
      </w:r>
    </w:p>
    <w:p>
      <w:pPr>
        <w:spacing w:after="0" w:line="184" w:lineRule="exact"/>
        <w:rPr>
          <w:sz w:val="20"/>
          <w:szCs w:val="20"/>
          <w:color w:val="auto"/>
        </w:rPr>
      </w:pPr>
    </w:p>
    <w:p>
      <w:pPr>
        <w:ind w:left="1300" w:right="420" w:firstLine="648"/>
        <w:spacing w:after="0" w:line="312" w:lineRule="auto"/>
        <w:rPr>
          <w:sz w:val="20"/>
          <w:szCs w:val="20"/>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on a pro rata basis, as applicable, based on their respective shares of the Participant Balance, to the Participants for</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 to pay in full the Lease Balance owing to them and all other amounts owing by Lessee to the Administrative Agent, if any, and/or the Participants under the Operative Documents (including, but without duplication, accrued and unpaid Rent); and</w:t>
      </w:r>
    </w:p>
    <w:p>
      <w:pPr>
        <w:spacing w:after="0" w:line="147" w:lineRule="exact"/>
        <w:rPr>
          <w:sz w:val="20"/>
          <w:szCs w:val="20"/>
          <w:color w:val="auto"/>
        </w:rPr>
      </w:pPr>
    </w:p>
    <w:p>
      <w:pPr>
        <w:ind w:left="1300" w:right="500" w:firstLine="653"/>
        <w:spacing w:after="0" w:line="277"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the balance, if any, of such payment or amounts remaining after the satisfaction of all the Lessee’s liabilities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Operative Documents shall be promptly distributed to, or as directed by, the Lessee.</w:t>
      </w:r>
    </w:p>
    <w:p>
      <w:pPr>
        <w:spacing w:after="0" w:line="170" w:lineRule="exact"/>
        <w:rPr>
          <w:sz w:val="20"/>
          <w:szCs w:val="20"/>
          <w:color w:val="auto"/>
        </w:rPr>
      </w:pPr>
    </w:p>
    <w:p>
      <w:pPr>
        <w:ind w:left="5620" w:right="4940" w:hanging="4969"/>
        <w:spacing w:after="0" w:line="573" w:lineRule="auto"/>
        <w:tabs>
          <w:tab w:leader="none" w:pos="130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payment by the Lessee of the Sale Option Recourse Amount to the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Administrative Agent in accordance with Section 20.1(j) of the Lease upon the Lessee’s exercise of the Sale Option shall be distributed by the Administrative Agent in the following amounts and order of priority:</w:t>
      </w:r>
    </w:p>
    <w:p>
      <w:pPr>
        <w:spacing w:after="0" w:line="170" w:lineRule="exact"/>
        <w:rPr>
          <w:sz w:val="20"/>
          <w:szCs w:val="20"/>
          <w:color w:val="auto"/>
        </w:rPr>
      </w:pPr>
    </w:p>
    <w:p>
      <w:pPr>
        <w:ind w:left="660" w:right="60" w:firstLine="648"/>
        <w:spacing w:after="0" w:line="264"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on a pro rata basis based on their respective shares of the Loan Balance, to the Lenders for application to pay in full the Loan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owing to them and all other amounts owing by Lessee to the Lenders under the Operative Documents (including, but without duplication, accrued and unpaid Rent); and</w:t>
      </w:r>
    </w:p>
    <w:p>
      <w:pPr>
        <w:spacing w:after="0" w:line="181" w:lineRule="exact"/>
        <w:rPr>
          <w:sz w:val="20"/>
          <w:szCs w:val="20"/>
          <w:color w:val="auto"/>
        </w:rPr>
      </w:pPr>
    </w:p>
    <w:p>
      <w:pPr>
        <w:ind w:left="660" w:right="380" w:firstLine="648"/>
        <w:spacing w:after="0" w:line="277"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Lessor (and its designees) for application to pay in full the Lessor Balance and all other amounts owing by Lessee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Lessor under the Operative Documents (including, but without duplication, accrued and unpaid Rent); and</w:t>
      </w:r>
    </w:p>
    <w:p>
      <w:pPr>
        <w:spacing w:after="0" w:line="170" w:lineRule="exact"/>
        <w:rPr>
          <w:sz w:val="20"/>
          <w:szCs w:val="20"/>
          <w:color w:val="auto"/>
        </w:rPr>
      </w:pPr>
    </w:p>
    <w:p>
      <w:pPr>
        <w:ind w:left="660" w:right="380" w:firstLine="648"/>
        <w:spacing w:after="0" w:line="277"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the balance, if any, of such payment or amounts remaining after the satisfaction of all the Lessee’s liabilities under the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Operative Documents shall be promptly distributed to, or as directed by, the Lessee.</w:t>
      </w:r>
    </w:p>
    <w:p>
      <w:pPr>
        <w:spacing w:after="0" w:line="170" w:lineRule="exact"/>
        <w:rPr>
          <w:sz w:val="20"/>
          <w:szCs w:val="20"/>
          <w:color w:val="auto"/>
        </w:rPr>
      </w:pPr>
    </w:p>
    <w:p>
      <w:pPr>
        <w:jc w:val="both"/>
        <w:ind w:right="440" w:firstLine="639"/>
        <w:spacing w:after="0" w:line="342"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payments received by the Administrative Agent as Gross Proceeds from the sale of the Leased Property pursuant to the Lessee’s exercise of the Sale Option pursuant to Article XX of the Lease or pursuant to Section 13.2 herein shall be distributed in the following order of priority:</w:t>
      </w:r>
    </w:p>
    <w:p>
      <w:pPr>
        <w:spacing w:after="0" w:line="124" w:lineRule="exact"/>
        <w:rPr>
          <w:sz w:val="20"/>
          <w:szCs w:val="20"/>
          <w:color w:val="auto"/>
        </w:rPr>
      </w:pPr>
    </w:p>
    <w:p>
      <w:pPr>
        <w:ind w:left="660" w:right="100" w:firstLine="648"/>
        <w:spacing w:after="0" w:line="342" w:lineRule="auto"/>
        <w:rPr>
          <w:sz w:val="20"/>
          <w:szCs w:val="20"/>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to the extent not previously deducted therefrom, in an amount equal to the reasonable sales costs, expenses and related taxes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by Lessee, Lessor or Administrative Agent in connection with any sale of the Leased Property to the party that incurred such amount;</w:t>
      </w:r>
    </w:p>
    <w:p>
      <w:pPr>
        <w:spacing w:after="0" w:line="124" w:lineRule="exact"/>
        <w:rPr>
          <w:sz w:val="20"/>
          <w:szCs w:val="20"/>
          <w:color w:val="auto"/>
        </w:rPr>
      </w:pPr>
    </w:p>
    <w:p>
      <w:pPr>
        <w:ind w:left="660" w:right="480" w:firstLine="648"/>
        <w:spacing w:after="0" w:line="277"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on a pro rata basis based on their respective shares of the Loan Balance, to the Lenders for application to pay in full the Loan</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owing to them;</w:t>
      </w:r>
    </w:p>
    <w:p>
      <w:pPr>
        <w:spacing w:after="0" w:line="170" w:lineRule="exact"/>
        <w:rPr>
          <w:sz w:val="20"/>
          <w:szCs w:val="20"/>
          <w:color w:val="auto"/>
        </w:rPr>
      </w:pPr>
    </w:p>
    <w:p>
      <w:pPr>
        <w:ind w:left="660" w:right="240" w:firstLine="648"/>
        <w:spacing w:after="0" w:line="277"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the Lessor (and its designees) for application to pay in full the Lessor Balance plus all other amounts owing under the Operative</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the balance, if any, of such payment or amounts shall be promptly distributed to, or as directed by, the Lessee.</w:t>
      </w:r>
    </w:p>
    <w:p>
      <w:pPr>
        <w:spacing w:after="0" w:line="225" w:lineRule="exact"/>
        <w:rPr>
          <w:sz w:val="20"/>
          <w:szCs w:val="20"/>
          <w:color w:val="auto"/>
        </w:rPr>
      </w:pPr>
    </w:p>
    <w:p>
      <w:pPr>
        <w:ind w:right="200" w:firstLine="651"/>
        <w:spacing w:after="0" w:line="264" w:lineRule="auto"/>
        <w:tabs>
          <w:tab w:leader="none" w:pos="1302"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payments of Supplemental Rent received by the Administrative Agent (excluding any amounts payable pursuant to the preceding provisions of this Section 5.3) shall be distributed promptly by the Administrative Agent upon receipt thereof to the Persons entitled thereto pursuant to the Operative Documents.</w:t>
      </w:r>
    </w:p>
    <w:p>
      <w:pPr>
        <w:spacing w:after="0" w:line="181" w:lineRule="exact"/>
        <w:rPr>
          <w:rFonts w:ascii="Arial" w:cs="Arial" w:eastAsia="Arial" w:hAnsi="Arial"/>
          <w:sz w:val="18"/>
          <w:szCs w:val="18"/>
          <w:color w:val="auto"/>
        </w:rPr>
      </w:pPr>
    </w:p>
    <w:p>
      <w:pPr>
        <w:ind w:right="120" w:firstLine="673"/>
        <w:spacing w:after="0" w:line="264" w:lineRule="auto"/>
        <w:tabs>
          <w:tab w:leader="none" w:pos="13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on any date, after an Event of Default has occurred and is continuing, a payment is made of the proceeds from the sale of the Collateral or any part thereof or payments received and amounts realized by the Administrative Agent under the Operative Documents, then distributions of such amounts shall be made by the Administrative Agent in the following order of priority:</w:t>
      </w:r>
    </w:p>
    <w:p>
      <w:pPr>
        <w:sectPr>
          <w:pgSz w:w="11900" w:h="16838" w:orient="portrait"/>
          <w:cols w:equalWidth="0" w:num="1">
            <w:col w:w="11380"/>
          </w:cols>
          <w:pgMar w:left="240" w:top="584" w:right="279" w:bottom="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firstLine="648"/>
        <w:spacing w:after="0" w:line="277" w:lineRule="auto"/>
        <w:rPr>
          <w:sz w:val="20"/>
          <w:szCs w:val="20"/>
          <w:color w:val="auto"/>
        </w:rPr>
      </w:pPr>
      <w:r>
        <w:rPr>
          <w:rFonts w:ascii="Arial" w:cs="Arial" w:eastAsia="Arial" w:hAnsi="Arial"/>
          <w:sz w:val="18"/>
          <w:szCs w:val="18"/>
          <w:i w:val="1"/>
          <w:iCs w:val="1"/>
          <w:color w:val="auto"/>
        </w:rPr>
        <w:t xml:space="preserve">first, </w:t>
      </w:r>
      <w:r>
        <w:rPr>
          <w:rFonts w:ascii="Arial" w:cs="Arial" w:eastAsia="Arial" w:hAnsi="Arial"/>
          <w:sz w:val="18"/>
          <w:szCs w:val="18"/>
          <w:color w:val="auto"/>
        </w:rPr>
        <w:t>to the extent not previously deducted therefrom, in an amount not to exceed the reasonable sales costs, expenses and taxes incurred by</w:t>
      </w:r>
      <w:r>
        <w:rPr>
          <w:rFonts w:ascii="Arial" w:cs="Arial" w:eastAsia="Arial" w:hAnsi="Arial"/>
          <w:sz w:val="18"/>
          <w:szCs w:val="18"/>
          <w:i w:val="1"/>
          <w:iCs w:val="1"/>
          <w:color w:val="auto"/>
        </w:rPr>
        <w:t xml:space="preserve"> </w:t>
      </w:r>
      <w:r>
        <w:rPr>
          <w:rFonts w:ascii="Arial" w:cs="Arial" w:eastAsia="Arial" w:hAnsi="Arial"/>
          <w:sz w:val="18"/>
          <w:szCs w:val="18"/>
          <w:color w:val="auto"/>
        </w:rPr>
        <w:t>Lessor, Lessee or Administrative Agent in connection with any sale of the Leased Property,</w:t>
      </w:r>
    </w:p>
    <w:p>
      <w:pPr>
        <w:spacing w:after="0" w:line="170" w:lineRule="exact"/>
        <w:rPr>
          <w:sz w:val="20"/>
          <w:szCs w:val="20"/>
          <w:color w:val="auto"/>
        </w:rPr>
      </w:pPr>
    </w:p>
    <w:p>
      <w:pPr>
        <w:ind w:left="660" w:right="260" w:firstLine="648"/>
        <w:spacing w:after="0" w:line="277"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on a pro rata basis based on their respective shares of the Participant Balance, to the Participants for application to pay in full the</w:t>
      </w:r>
      <w:r>
        <w:rPr>
          <w:rFonts w:ascii="Arial" w:cs="Arial" w:eastAsia="Arial" w:hAnsi="Arial"/>
          <w:sz w:val="18"/>
          <w:szCs w:val="18"/>
          <w:i w:val="1"/>
          <w:iCs w:val="1"/>
          <w:color w:val="auto"/>
        </w:rPr>
        <w:t xml:space="preserve"> </w:t>
      </w:r>
      <w:r>
        <w:rPr>
          <w:rFonts w:ascii="Arial" w:cs="Arial" w:eastAsia="Arial" w:hAnsi="Arial"/>
          <w:sz w:val="18"/>
          <w:szCs w:val="18"/>
          <w:color w:val="auto"/>
        </w:rPr>
        <w:t>Lease Balance owing to them;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the balance, if any, of such payment or amounts shall be promptly distributed to, or as directed by, the Lessee.</w:t>
      </w:r>
    </w:p>
    <w:p>
      <w:pPr>
        <w:spacing w:after="0" w:line="225" w:lineRule="exact"/>
        <w:rPr>
          <w:sz w:val="20"/>
          <w:szCs w:val="20"/>
          <w:color w:val="auto"/>
        </w:rPr>
      </w:pPr>
    </w:p>
    <w:p>
      <w:pPr>
        <w:ind w:right="620" w:firstLine="639"/>
        <w:spacing w:after="0" w:line="277" w:lineRule="auto"/>
        <w:tabs>
          <w:tab w:leader="none" w:pos="1313"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Any payment received by the Administrative Agent for which no provision as to the application thereof is made in the Operative Documents or elsewhere in this Section 5.3 shall be distributed in accordance with Section 5.3(f).</w:t>
      </w:r>
    </w:p>
    <w:p>
      <w:pPr>
        <w:spacing w:after="0" w:line="170" w:lineRule="exact"/>
        <w:rPr>
          <w:rFonts w:ascii="Arial" w:cs="Arial" w:eastAsia="Arial" w:hAnsi="Arial"/>
          <w:sz w:val="18"/>
          <w:szCs w:val="18"/>
          <w:color w:val="auto"/>
        </w:rPr>
      </w:pPr>
    </w:p>
    <w:p>
      <w:pPr>
        <w:ind w:left="660" w:firstLine="746"/>
        <w:spacing w:after="0" w:line="257" w:lineRule="auto"/>
        <w:tabs>
          <w:tab w:leader="none" w:pos="1981" w:val="left"/>
        </w:tabs>
        <w:numPr>
          <w:ilvl w:val="1"/>
          <w:numId w:val="18"/>
        </w:numPr>
        <w:rPr>
          <w:rFonts w:ascii="Arial" w:cs="Arial" w:eastAsia="Arial" w:hAnsi="Arial"/>
          <w:sz w:val="18"/>
          <w:szCs w:val="18"/>
          <w:color w:val="auto"/>
        </w:rPr>
      </w:pPr>
      <w:r>
        <w:rPr>
          <w:rFonts w:ascii="Arial" w:cs="Arial" w:eastAsia="Arial" w:hAnsi="Arial"/>
          <w:sz w:val="18"/>
          <w:szCs w:val="18"/>
          <w:color w:val="auto"/>
        </w:rPr>
        <w:t>Except as otherwise provided in Section 5.3(a), all payments received and amounts realized by the Administrative Agent under the Operative Documents or otherwise with respect to the Leased Property, or any proceeds thereof, to the extent received or realized at any time after an indefeasible payment in full of the Participant Balances of all Participants and all other amounts due and owing to the Participants, shall be distributed forthwith by the Administrative Agent in the order of priority set forth in Section 5.3(f), except that such payment shall be distributed omitting clause “first” of such Section 5.3(f).</w:t>
      </w:r>
    </w:p>
    <w:p>
      <w:pPr>
        <w:spacing w:after="0" w:line="188" w:lineRule="exact"/>
        <w:rPr>
          <w:rFonts w:ascii="Arial" w:cs="Arial" w:eastAsia="Arial" w:hAnsi="Arial"/>
          <w:sz w:val="18"/>
          <w:szCs w:val="18"/>
          <w:color w:val="auto"/>
        </w:rPr>
      </w:pPr>
    </w:p>
    <w:p>
      <w:pPr>
        <w:ind w:left="660" w:right="360" w:firstLine="701"/>
        <w:spacing w:after="0" w:line="264" w:lineRule="auto"/>
        <w:tabs>
          <w:tab w:leader="none" w:pos="199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payment received by the Administrative Agent for which provision as to the application thereof is made in an Operative Document, but not elsewhere in this Section 5.3, shall be distributed forthwith by the Administrative Agent to the Person and for the purpose for which such payment was made in accordance with the terms of such Operative Document.</w:t>
      </w:r>
    </w:p>
    <w:p>
      <w:pPr>
        <w:spacing w:after="0" w:line="181" w:lineRule="exact"/>
        <w:rPr>
          <w:rFonts w:ascii="Arial" w:cs="Arial" w:eastAsia="Arial" w:hAnsi="Arial"/>
          <w:sz w:val="18"/>
          <w:szCs w:val="18"/>
          <w:color w:val="auto"/>
        </w:rPr>
      </w:pPr>
    </w:p>
    <w:p>
      <w:pPr>
        <w:ind w:right="20" w:firstLine="639"/>
        <w:spacing w:after="0" w:line="286"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Except to the extent clause (g) is applicable thereto, any amounts payable to the Administrative Agent as a result of a Casualty or Condemnation pursuant to the Lease shall be distributed as follows: (x) if a Termination Notice shall have been given, all amounts that are to be applied to the purchase price of the Leased Property in accordance with Section 15.1(b) of the Lease shall be distributed by the Administrative Agent in accordance with Section 5.3(b); and (y) all amounts payable to the Lessee for the repair of damage caused by such Casualty or Condemnation in accordance with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14.1(a) of the Lease shall, except as otherwise provided in the Lease, be distributed to, or as directed by, the Lessee.</w:t>
      </w:r>
    </w:p>
    <w:p>
      <w:pPr>
        <w:spacing w:after="0" w:line="210" w:lineRule="exact"/>
        <w:rPr>
          <w:rFonts w:ascii="Arial" w:cs="Arial" w:eastAsia="Arial" w:hAnsi="Arial"/>
          <w:sz w:val="16"/>
          <w:szCs w:val="16"/>
          <w:color w:val="auto"/>
        </w:rPr>
      </w:pPr>
    </w:p>
    <w:p>
      <w:pPr>
        <w:ind w:right="60" w:firstLine="684"/>
        <w:spacing w:after="0" w:line="286" w:lineRule="auto"/>
        <w:tabs>
          <w:tab w:leader="none" w:pos="1319" w:val="left"/>
        </w:tabs>
        <w:numPr>
          <w:ilvl w:val="0"/>
          <w:numId w:val="18"/>
        </w:numPr>
        <w:rPr>
          <w:rFonts w:ascii="Arial" w:cs="Arial" w:eastAsia="Arial" w:hAnsi="Arial"/>
          <w:sz w:val="17"/>
          <w:szCs w:val="17"/>
          <w:color w:val="auto"/>
        </w:rPr>
      </w:pPr>
      <w:r>
        <w:rPr>
          <w:rFonts w:ascii="Arial" w:cs="Arial" w:eastAsia="Arial" w:hAnsi="Arial"/>
          <w:sz w:val="17"/>
          <w:szCs w:val="17"/>
          <w:color w:val="auto"/>
        </w:rPr>
        <w:t>To the extent any payment made to any Participant, personally, is insufficient to pay in full the Participant Balance of such Participant, then each such payment which is payable to a Lender shall first be applied to accrued Interest and then to principal outstanding on the Loans and each such payment which is payable to Lessor shall first be applied to accrued Yield and then to the Lessor Amount, as applicable.</w:t>
      </w:r>
    </w:p>
    <w:p>
      <w:pPr>
        <w:spacing w:after="0" w:line="16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i w:val="1"/>
          <w:iCs w:val="1"/>
          <w:color w:val="auto"/>
        </w:rPr>
        <w:t>Section 5.4.</w:t>
      </w:r>
      <w:r>
        <w:rPr>
          <w:sz w:val="20"/>
          <w:szCs w:val="20"/>
          <w:color w:val="auto"/>
        </w:rPr>
        <w:tab/>
      </w:r>
      <w:r>
        <w:rPr>
          <w:rFonts w:ascii="Arial" w:cs="Arial" w:eastAsia="Arial" w:hAnsi="Arial"/>
          <w:sz w:val="16"/>
          <w:szCs w:val="16"/>
          <w:i w:val="1"/>
          <w:iCs w:val="1"/>
          <w:color w:val="auto"/>
        </w:rPr>
        <w:t>Adjustments</w:t>
      </w:r>
      <w:r>
        <w:rPr>
          <w:rFonts w:ascii="Arial" w:cs="Arial" w:eastAsia="Arial" w:hAnsi="Arial"/>
          <w:sz w:val="16"/>
          <w:szCs w:val="16"/>
          <w:color w:val="auto"/>
        </w:rPr>
        <w:t>. If any Participant (a “</w:t>
      </w:r>
      <w:r>
        <w:rPr>
          <w:rFonts w:ascii="Arial" w:cs="Arial" w:eastAsia="Arial" w:hAnsi="Arial"/>
          <w:sz w:val="16"/>
          <w:szCs w:val="16"/>
          <w:i w:val="1"/>
          <w:iCs w:val="1"/>
          <w:color w:val="auto"/>
        </w:rPr>
        <w:t>Benefited Participant</w:t>
      </w:r>
      <w:r>
        <w:rPr>
          <w:rFonts w:ascii="Arial" w:cs="Arial" w:eastAsia="Arial" w:hAnsi="Arial"/>
          <w:sz w:val="16"/>
          <w:szCs w:val="16"/>
          <w:color w:val="auto"/>
        </w:rPr>
        <w:t>”) shall at any time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receive any payment of all or part of its Loans or Lessor Amount, as applicable, or Interest or Yield thereon, as applicable, or receive any of the Collateral in respect thereof (whether voluntarily or involuntarily, by setoff, or otherwise), in an amount greater than the amount to which such Participant was entitled pursuant to Section 5.3, such Participant shall return such amount or Collateral to the Administrative Agent for distribution to the Person(s) entitled thereto in accordance with Section 5.3;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all or any portion of such excess payment or benefits is thereafter recovered from such Benefited Participant so that the excess payment or benefits returned by such Benefited Participant exceed the remaining excess payment or benefits held by such Benefited Participant, the excess payment or benefits, as applicable, returned by such Benefited Participant shall be restored to the Benefited Participant, to the extent of such recovery.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PRECEDENT TO THE ADVANCE</w:t>
      </w:r>
    </w:p>
    <w:p>
      <w:pPr>
        <w:spacing w:after="0" w:line="211" w:lineRule="exact"/>
        <w:rPr>
          <w:sz w:val="20"/>
          <w:szCs w:val="20"/>
          <w:color w:val="auto"/>
        </w:rPr>
      </w:pPr>
    </w:p>
    <w:p>
      <w:pPr>
        <w:ind w:right="40" w:firstLine="688"/>
        <w:spacing w:after="0" w:line="312" w:lineRule="auto"/>
        <w:rPr>
          <w:sz w:val="20"/>
          <w:szCs w:val="20"/>
          <w:color w:val="auto"/>
        </w:rPr>
      </w:pPr>
      <w:r>
        <w:rPr>
          <w:rFonts w:ascii="Arial" w:cs="Arial" w:eastAsia="Arial" w:hAnsi="Arial"/>
          <w:sz w:val="16"/>
          <w:szCs w:val="16"/>
          <w:i w:val="1"/>
          <w:iCs w:val="1"/>
          <w:color w:val="auto"/>
        </w:rPr>
        <w:t>Section 6.1. Conditions Precedent to the Advance</w:t>
      </w:r>
      <w:r>
        <w:rPr>
          <w:rFonts w:ascii="Arial" w:cs="Arial" w:eastAsia="Arial" w:hAnsi="Arial"/>
          <w:sz w:val="16"/>
          <w:szCs w:val="16"/>
          <w:color w:val="auto"/>
        </w:rPr>
        <w:t>. The obligations of the Lessor (through the Administrative Agent) to make the Advance on</w:t>
      </w:r>
      <w:r>
        <w:rPr>
          <w:rFonts w:ascii="Arial" w:cs="Arial" w:eastAsia="Arial" w:hAnsi="Arial"/>
          <w:sz w:val="16"/>
          <w:szCs w:val="16"/>
          <w:i w:val="1"/>
          <w:iCs w:val="1"/>
          <w:color w:val="auto"/>
        </w:rPr>
        <w:t xml:space="preserve"> </w:t>
      </w:r>
      <w:r>
        <w:rPr>
          <w:rFonts w:ascii="Arial" w:cs="Arial" w:eastAsia="Arial" w:hAnsi="Arial"/>
          <w:sz w:val="16"/>
          <w:szCs w:val="16"/>
          <w:color w:val="auto"/>
        </w:rPr>
        <w:t>the Document Closing Date and the obligation of the Lenders to make the related Funding of their Loans on the Document Closing Date and the effectiveness of the Operative Documents are subject to the satisfaction or waiver on or prior to the Document Closing Date of each of the following conditions precedent:</w:t>
      </w:r>
    </w:p>
    <w:p>
      <w:pPr>
        <w:spacing w:after="0" w:line="147" w:lineRule="exact"/>
        <w:rPr>
          <w:sz w:val="20"/>
          <w:szCs w:val="20"/>
          <w:color w:val="auto"/>
        </w:rPr>
      </w:pPr>
    </w:p>
    <w:p>
      <w:pPr>
        <w:ind w:left="660" w:right="60" w:firstLine="802"/>
        <w:spacing w:after="0" w:line="283" w:lineRule="auto"/>
        <w:tabs>
          <w:tab w:leader="none" w:pos="1973"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Corporate Certificates. </w:t>
      </w:r>
      <w:r>
        <w:rPr>
          <w:rFonts w:ascii="Arial" w:cs="Arial" w:eastAsia="Arial" w:hAnsi="Arial"/>
          <w:sz w:val="16"/>
          <w:szCs w:val="16"/>
          <w:color w:val="auto"/>
        </w:rPr>
        <w:t>(A) The Lessee shall have delivered to the Lessor and the Administrative Agent (1) a status certificate</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the Lessee’s existence in the State of New York from the Secretary of State of the State of New York, issued by such office no earlier than thirty (30) days prior to the Document Closing Date and (2) a Responsible Officer’s Certificate of Lessee substantially in the form of Exhibit F-1, attaching and certifying as to (x) the limited liability company authority for the execution, delivery and performance by Lessee of each Operative Document to which it is or will be a party, (y) its organizational documents, and (z) the incumbency and signature of persons authorized to execute and deliver on its behalf the Operative Documents to which it is a party, (B) the Parent Guarantor shall have delivered to the Lessor and the Administrative Agent (1) a status certificate with respect to the Parent Guarantor’s existence in the State of New York from the Secretary of State of the State of New York, issued by such office no earlier than thirty (30) days prior to the Document Closing Date and (2) a Responsible Officer’s Certificate of Parent Guarantor substantially in the form of Exhibit F-2, attaching and certifying as to (x) the corporate authority for the execution, delivery and performance by Parent Guarantor of each Operative Document to which it is or will be a party, (y) its organizational documents, and</w:t>
      </w:r>
    </w:p>
    <w:p>
      <w:pPr>
        <w:spacing w:after="0" w:line="5" w:lineRule="exact"/>
        <w:rPr>
          <w:rFonts w:ascii="Arial" w:cs="Arial" w:eastAsia="Arial" w:hAnsi="Arial"/>
          <w:sz w:val="16"/>
          <w:szCs w:val="16"/>
          <w:color w:val="auto"/>
        </w:rPr>
      </w:pPr>
    </w:p>
    <w:p>
      <w:pPr>
        <w:ind w:left="900" w:hanging="244"/>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incumbency and signature of persons authorized to execute and deliver on its behalf the Operative Documents to which it is a party and</w:t>
      </w:r>
    </w:p>
    <w:p>
      <w:pPr>
        <w:spacing w:after="0" w:line="21" w:lineRule="exact"/>
        <w:rPr>
          <w:sz w:val="20"/>
          <w:szCs w:val="20"/>
          <w:color w:val="auto"/>
        </w:rPr>
      </w:pPr>
    </w:p>
    <w:p>
      <w:pPr>
        <w:jc w:val="both"/>
        <w:ind w:left="660" w:right="120" w:hanging="4"/>
        <w:spacing w:after="0" w:line="273" w:lineRule="auto"/>
        <w:tabs>
          <w:tab w:leader="none" w:pos="945" w:val="left"/>
        </w:tabs>
        <w:numPr>
          <w:ilvl w:val="0"/>
          <w:numId w:val="21"/>
        </w:numPr>
        <w:rPr>
          <w:rFonts w:ascii="Arial" w:cs="Arial" w:eastAsia="Arial" w:hAnsi="Arial"/>
          <w:sz w:val="17"/>
          <w:szCs w:val="17"/>
          <w:color w:val="auto"/>
        </w:rPr>
      </w:pPr>
      <w:r>
        <w:rPr>
          <w:rFonts w:ascii="Arial" w:cs="Arial" w:eastAsia="Arial" w:hAnsi="Arial"/>
          <w:sz w:val="17"/>
          <w:szCs w:val="17"/>
          <w:color w:val="auto"/>
        </w:rPr>
        <w:t>each Subsidiary Guarantor shall have delivered to the Lessor and the Administrative Agent (1) a good standing/status certificate with respect to such Subsidiary Guarantor from the Secretary of State (or similar public official) of such Subsidiary Guarantor’s jurisdiction of organization, issued by such office no earlier than thirty (30) days prior to the Document Closing Date and (2) a Responsible Officer’s Certificate of such Subsidiary Guarantor substantially in the form of Exhibit F-3, attaching and certifying as to (x) the corporate or</w:t>
      </w:r>
    </w:p>
    <w:p>
      <w:pPr>
        <w:sectPr>
          <w:pgSz w:w="11900" w:h="16838" w:orient="portrait"/>
          <w:cols w:equalWidth="0" w:num="1">
            <w:col w:w="11420"/>
          </w:cols>
          <w:pgMar w:left="240" w:top="125" w:right="239" w:bottom="271"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71" w:gutter="0" w:footer="0" w:header="0"/>
          <w:type w:val="continuous"/>
        </w:sectPr>
      </w:pPr>
    </w:p>
    <w:bookmarkStart w:id="12" w:name="page13"/>
    <w:bookmarkEnd w:id="12"/>
    <w:p>
      <w:pPr>
        <w:jc w:val="both"/>
        <w:ind w:left="4" w:right="120"/>
        <w:spacing w:after="0" w:line="264" w:lineRule="auto"/>
        <w:rPr>
          <w:sz w:val="20"/>
          <w:szCs w:val="20"/>
          <w:color w:val="auto"/>
        </w:rPr>
      </w:pPr>
      <w:r>
        <w:rPr>
          <w:rFonts w:ascii="Arial" w:cs="Arial" w:eastAsia="Arial" w:hAnsi="Arial"/>
          <w:sz w:val="18"/>
          <w:szCs w:val="18"/>
          <w:color w:val="auto"/>
        </w:rPr>
        <w:t>other organizational authority for the execution, delivery and performance by such Subsidiary Guarantor of each Operative Document to which it is or will be a party, (y) its organizational documents and (z) the incumbency and signature of persons authorized to execute and deliver on its behalf the Operative Documents to which it is a party.</w:t>
      </w:r>
    </w:p>
    <w:p>
      <w:pPr>
        <w:spacing w:after="0" w:line="181" w:lineRule="exact"/>
        <w:rPr>
          <w:sz w:val="20"/>
          <w:szCs w:val="20"/>
          <w:color w:val="auto"/>
        </w:rPr>
      </w:pPr>
    </w:p>
    <w:p>
      <w:pPr>
        <w:ind w:left="4" w:right="120" w:firstLine="746"/>
        <w:spacing w:after="0" w:line="279" w:lineRule="auto"/>
        <w:tabs>
          <w:tab w:leader="none" w:pos="1325"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Opinions of Special Counsel to Parent Guarantor</w:t>
      </w:r>
      <w:r>
        <w:rPr>
          <w:rFonts w:ascii="Arial" w:cs="Arial" w:eastAsia="Arial" w:hAnsi="Arial"/>
          <w:sz w:val="17"/>
          <w:szCs w:val="17"/>
          <w:color w:val="auto"/>
        </w:rPr>
        <w:t>. The Lessee shall have delivered to the Lessor and the Administrative Agent a</w:t>
      </w:r>
      <w:r>
        <w:rPr>
          <w:rFonts w:ascii="Arial" w:cs="Arial" w:eastAsia="Arial" w:hAnsi="Arial"/>
          <w:sz w:val="17"/>
          <w:szCs w:val="17"/>
          <w:i w:val="1"/>
          <w:iCs w:val="1"/>
          <w:color w:val="auto"/>
        </w:rPr>
        <w:t xml:space="preserve"> </w:t>
      </w:r>
      <w:r>
        <w:rPr>
          <w:rFonts w:ascii="Arial" w:cs="Arial" w:eastAsia="Arial" w:hAnsi="Arial"/>
          <w:sz w:val="17"/>
          <w:szCs w:val="17"/>
          <w:color w:val="auto"/>
        </w:rPr>
        <w:t>legal opinion of Skadden, Arps, Slate, Meagher &amp; Flom LLP, special counsel to Parent Guarantor, which shall address such matters as may be reasonably required by the Lessor and the Administrative Agent with respect to the Lessee and the Guarantors, including without limitation, such local real estate matters as may be reasonably required by the Lessor and the Administrative Agent.</w:t>
      </w:r>
    </w:p>
    <w:p>
      <w:pPr>
        <w:spacing w:after="0" w:line="171" w:lineRule="exact"/>
        <w:rPr>
          <w:rFonts w:ascii="Arial" w:cs="Arial" w:eastAsia="Arial" w:hAnsi="Arial"/>
          <w:sz w:val="17"/>
          <w:szCs w:val="17"/>
          <w:color w:val="auto"/>
        </w:rPr>
      </w:pPr>
    </w:p>
    <w:p>
      <w:pPr>
        <w:ind w:left="4" w:firstLine="701"/>
        <w:spacing w:after="0" w:line="264" w:lineRule="auto"/>
        <w:tabs>
          <w:tab w:leader="none" w:pos="1343"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Document Closing Date Certificates. </w:t>
      </w:r>
      <w:r>
        <w:rPr>
          <w:rFonts w:ascii="Arial" w:cs="Arial" w:eastAsia="Arial" w:hAnsi="Arial"/>
          <w:sz w:val="18"/>
          <w:szCs w:val="18"/>
          <w:color w:val="auto"/>
        </w:rPr>
        <w:t>Lessee shall have delivered to the Administrative Agent and the Lessor a certificate dated as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Document Closing Date in the form of Exhibit B hereto. Parent Guarantor shall have delivered to the Administrative Agent and the Lessor a certificate dated as of the Document Closing Date in the form of Exhibit C hereto.</w:t>
      </w:r>
    </w:p>
    <w:p>
      <w:pPr>
        <w:spacing w:after="0" w:line="181" w:lineRule="exact"/>
        <w:rPr>
          <w:rFonts w:ascii="Arial" w:cs="Arial" w:eastAsia="Arial" w:hAnsi="Arial"/>
          <w:sz w:val="18"/>
          <w:szCs w:val="18"/>
          <w:color w:val="auto"/>
        </w:rPr>
      </w:pPr>
    </w:p>
    <w:p>
      <w:pPr>
        <w:ind w:left="4" w:right="40" w:firstLine="712"/>
        <w:spacing w:after="0" w:line="297" w:lineRule="auto"/>
        <w:tabs>
          <w:tab w:leader="none" w:pos="1317"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All taxes (including any mortgage taxes), fees and other charges in connection with the execution, delivery, recording,</w:t>
      </w:r>
      <w:r>
        <w:rPr>
          <w:rFonts w:ascii="Arial" w:cs="Arial" w:eastAsia="Arial" w:hAnsi="Arial"/>
          <w:sz w:val="16"/>
          <w:szCs w:val="16"/>
          <w:i w:val="1"/>
          <w:iCs w:val="1"/>
          <w:color w:val="auto"/>
        </w:rPr>
        <w:t xml:space="preserve"> </w:t>
      </w:r>
      <w:r>
        <w:rPr>
          <w:rFonts w:ascii="Arial" w:cs="Arial" w:eastAsia="Arial" w:hAnsi="Arial"/>
          <w:sz w:val="16"/>
          <w:szCs w:val="16"/>
          <w:color w:val="auto"/>
        </w:rPr>
        <w:t>filing and registration of the Operative Documents, if any, that are required to be paid by the Lessee or any Guarantor as of the Document Closing Date pursuant to any of the Operative Documents (including Transaction Expenses described in clause (f) or (g) of the definition thereof that are due and payable as of the Document Closing Date) shall have been paid by the Lessee or the Parent Guarantor or from the Advance, or provisions for such payment shall have been made by the Lessee or Parent Guarantor to the reasonable satisfaction of the Lessor and the Administrative Agent.</w:t>
      </w:r>
    </w:p>
    <w:p>
      <w:pPr>
        <w:spacing w:after="0" w:line="158" w:lineRule="exact"/>
        <w:rPr>
          <w:rFonts w:ascii="Arial" w:cs="Arial" w:eastAsia="Arial" w:hAnsi="Arial"/>
          <w:sz w:val="16"/>
          <w:szCs w:val="16"/>
          <w:color w:val="auto"/>
        </w:rPr>
      </w:pPr>
    </w:p>
    <w:p>
      <w:pPr>
        <w:ind w:left="1304" w:hanging="543"/>
        <w:spacing w:after="0"/>
        <w:tabs>
          <w:tab w:leader="none" w:pos="1304"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Leased Property and Appraisal Matters</w:t>
      </w:r>
      <w:r>
        <w:rPr>
          <w:rFonts w:ascii="Arial" w:cs="Arial" w:eastAsia="Arial" w:hAnsi="Arial"/>
          <w:sz w:val="17"/>
          <w:szCs w:val="17"/>
          <w:color w:val="auto"/>
        </w:rPr>
        <w:t>. The Lessor and the Administrative Agent shall have received an appraisal (the</w:t>
      </w:r>
    </w:p>
    <w:p>
      <w:pPr>
        <w:spacing w:after="0" w:line="35" w:lineRule="exact"/>
        <w:rPr>
          <w:sz w:val="20"/>
          <w:szCs w:val="20"/>
          <w:color w:val="auto"/>
        </w:rPr>
      </w:pPr>
    </w:p>
    <w:p>
      <w:pPr>
        <w:ind w:left="4" w:right="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Appraisal</w:t>
      </w:r>
      <w:r>
        <w:rPr>
          <w:rFonts w:ascii="Arial" w:cs="Arial" w:eastAsia="Arial" w:hAnsi="Arial"/>
          <w:sz w:val="18"/>
          <w:szCs w:val="18"/>
          <w:color w:val="auto"/>
        </w:rPr>
        <w:t>”) performed by the Appraiser, which Appraisal shall be in form and substance reasonably satisfactory to the Participants. The Appraisal shall meet the requirements of FIRREA.</w:t>
      </w:r>
    </w:p>
    <w:p>
      <w:pPr>
        <w:spacing w:after="0" w:line="184" w:lineRule="exact"/>
        <w:rPr>
          <w:sz w:val="20"/>
          <w:szCs w:val="20"/>
          <w:color w:val="auto"/>
        </w:rPr>
      </w:pPr>
    </w:p>
    <w:p>
      <w:pPr>
        <w:ind w:left="4" w:right="80" w:firstLine="712"/>
        <w:spacing w:after="0" w:line="259" w:lineRule="auto"/>
        <w:tabs>
          <w:tab w:leader="none" w:pos="1317"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Environmental Report</w:t>
      </w:r>
      <w:r>
        <w:rPr>
          <w:rFonts w:ascii="Arial" w:cs="Arial" w:eastAsia="Arial" w:hAnsi="Arial"/>
          <w:sz w:val="18"/>
          <w:szCs w:val="18"/>
          <w:color w:val="auto"/>
        </w:rPr>
        <w:t>. At least five (5) Business Days prior to the Document Closing Date, an Environmental Audit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Site shall have been received by and be reasonably satisfactory in all material respects to the Lessor, and the Participants and the Administrative Agent shall have received a letter from the consultant performing the Environmental Audit which allows the Lessor to rely on such report.</w:t>
      </w:r>
    </w:p>
    <w:p>
      <w:pPr>
        <w:spacing w:after="0" w:line="186" w:lineRule="exact"/>
        <w:rPr>
          <w:rFonts w:ascii="Arial" w:cs="Arial" w:eastAsia="Arial" w:hAnsi="Arial"/>
          <w:sz w:val="18"/>
          <w:szCs w:val="18"/>
          <w:color w:val="auto"/>
        </w:rPr>
      </w:pPr>
    </w:p>
    <w:p>
      <w:pPr>
        <w:ind w:left="1324" w:hanging="664"/>
        <w:spacing w:after="0"/>
        <w:tabs>
          <w:tab w:leader="none" w:pos="1324"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Matters relating to the Site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4" w:hanging="594"/>
        <w:spacing w:after="0"/>
        <w:tabs>
          <w:tab w:leader="none" w:pos="1964"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Deed shall be reasonably satisfactory to Lessor and have been transferred by the Sellers to the Lessor;</w:t>
      </w:r>
    </w:p>
    <w:p>
      <w:pPr>
        <w:spacing w:after="0" w:line="225" w:lineRule="exact"/>
        <w:rPr>
          <w:rFonts w:ascii="Arial" w:cs="Arial" w:eastAsia="Arial" w:hAnsi="Arial"/>
          <w:sz w:val="18"/>
          <w:szCs w:val="18"/>
          <w:color w:val="auto"/>
        </w:rPr>
      </w:pPr>
    </w:p>
    <w:p>
      <w:pPr>
        <w:ind w:left="1964" w:hanging="583"/>
        <w:spacing w:after="0"/>
        <w:tabs>
          <w:tab w:leader="none" w:pos="1964" w:val="left"/>
        </w:tabs>
        <w:numPr>
          <w:ilvl w:val="1"/>
          <w:numId w:val="23"/>
        </w:numPr>
        <w:rPr>
          <w:rFonts w:ascii="Arial" w:cs="Arial" w:eastAsia="Arial" w:hAnsi="Arial"/>
          <w:sz w:val="18"/>
          <w:szCs w:val="18"/>
          <w:color w:val="auto"/>
        </w:rPr>
      </w:pPr>
      <w:r>
        <w:rPr>
          <w:rFonts w:ascii="Arial" w:cs="Arial" w:eastAsia="Arial" w:hAnsi="Arial"/>
          <w:sz w:val="18"/>
          <w:szCs w:val="18"/>
          <w:color w:val="auto"/>
        </w:rPr>
        <w:t>Lessor and Administrative Agent shall have received evidence</w:t>
      </w:r>
    </w:p>
    <w:p>
      <w:pPr>
        <w:spacing w:after="0" w:line="22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right="200"/>
        <w:spacing w:after="0" w:line="286" w:lineRule="auto"/>
        <w:rPr>
          <w:sz w:val="20"/>
          <w:szCs w:val="20"/>
          <w:color w:val="auto"/>
        </w:rPr>
      </w:pPr>
      <w:r>
        <w:rPr>
          <w:rFonts w:ascii="Arial" w:cs="Arial" w:eastAsia="Arial" w:hAnsi="Arial"/>
          <w:sz w:val="17"/>
          <w:szCs w:val="17"/>
          <w:color w:val="auto"/>
        </w:rPr>
        <w:t>reasonably satisfactory to it that the Memorandum of Lease shall have been recorded with the appropriate Governmental Authorities, and the UCC Financing Statements shall have been or are being filed with the appropriate Governmental Authorities (or arrangements reasonably satisfactory to Lessor and Administrative Agent shall have been made for such recordations);</w:t>
      </w:r>
    </w:p>
    <w:p>
      <w:pPr>
        <w:spacing w:after="0" w:line="166" w:lineRule="exact"/>
        <w:rPr>
          <w:sz w:val="20"/>
          <w:szCs w:val="20"/>
          <w:color w:val="auto"/>
        </w:rPr>
      </w:pPr>
    </w:p>
    <w:p>
      <w:pPr>
        <w:ind w:left="644" w:right="40" w:firstLine="737"/>
        <w:spacing w:after="0" w:line="274" w:lineRule="auto"/>
        <w:tabs>
          <w:tab w:leader="none" w:pos="1954" w:val="left"/>
        </w:tabs>
        <w:numPr>
          <w:ilvl w:val="2"/>
          <w:numId w:val="24"/>
        </w:numPr>
        <w:rPr>
          <w:rFonts w:ascii="Arial" w:cs="Arial" w:eastAsia="Arial" w:hAnsi="Arial"/>
          <w:sz w:val="17"/>
          <w:szCs w:val="17"/>
          <w:color w:val="auto"/>
        </w:rPr>
      </w:pPr>
      <w:r>
        <w:rPr>
          <w:rFonts w:ascii="Arial" w:cs="Arial" w:eastAsia="Arial" w:hAnsi="Arial"/>
          <w:sz w:val="17"/>
          <w:szCs w:val="17"/>
          <w:color w:val="auto"/>
        </w:rPr>
        <w:t>Lessor and Administrative Agent shall have received evidence reasonably satisfactory to it that the Assignment of Leases shall have been recorded with the appropriate Governmental Authorities (and the issuance of the title insurance policies in</w:t>
      </w:r>
    </w:p>
    <w:p>
      <w:pPr>
        <w:ind w:left="644" w:right="340"/>
        <w:spacing w:after="0" w:line="253" w:lineRule="auto"/>
        <w:rPr>
          <w:rFonts w:ascii="Arial" w:cs="Arial" w:eastAsia="Arial" w:hAnsi="Arial"/>
          <w:sz w:val="17"/>
          <w:szCs w:val="17"/>
          <w:color w:val="auto"/>
        </w:rPr>
      </w:pPr>
      <w:r>
        <w:rPr>
          <w:rFonts w:ascii="Arial" w:cs="Arial" w:eastAsia="Arial" w:hAnsi="Arial"/>
          <w:sz w:val="18"/>
          <w:szCs w:val="18"/>
          <w:color w:val="auto"/>
        </w:rPr>
        <w:t xml:space="preserve">Section 6.1(x) below shall be satisfactory evidence of the foregoing), and the UCC Financing Statements with respect to such Site shall have been filed with the appropriate Governmental Authorities (or arrangements reasonably satisfactory to Lessor and Administrative Agent shall have been made for such recordations);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related conditions in this clause (C) shall be deemed to have been satisfied to the extent that such items are addressed (to the reasonable satisfaction of the Lessor and Administrative Agent) in the Title Policies delivered pursuant to Section 6.1(x) below; and</w:t>
      </w:r>
    </w:p>
    <w:p>
      <w:pPr>
        <w:spacing w:after="0" w:line="191" w:lineRule="exact"/>
        <w:rPr>
          <w:rFonts w:ascii="Arial" w:cs="Arial" w:eastAsia="Arial" w:hAnsi="Arial"/>
          <w:sz w:val="17"/>
          <w:szCs w:val="17"/>
          <w:color w:val="auto"/>
        </w:rPr>
      </w:pPr>
    </w:p>
    <w:p>
      <w:pPr>
        <w:ind w:left="644" w:right="80" w:firstLine="726"/>
        <w:spacing w:after="0" w:line="264" w:lineRule="auto"/>
        <w:tabs>
          <w:tab w:leader="none" w:pos="1966" w:val="left"/>
        </w:tabs>
        <w:numPr>
          <w:ilvl w:val="2"/>
          <w:numId w:val="24"/>
        </w:numPr>
        <w:rPr>
          <w:rFonts w:ascii="Arial" w:cs="Arial" w:eastAsia="Arial" w:hAnsi="Arial"/>
          <w:sz w:val="18"/>
          <w:szCs w:val="18"/>
          <w:color w:val="auto"/>
        </w:rPr>
      </w:pPr>
      <w:r>
        <w:rPr>
          <w:rFonts w:ascii="Arial" w:cs="Arial" w:eastAsia="Arial" w:hAnsi="Arial"/>
          <w:sz w:val="18"/>
          <w:szCs w:val="18"/>
          <w:color w:val="auto"/>
        </w:rPr>
        <w:t>Lessor shall have received evidence reasonably satisfactory to it that the Site is a separate and distinct tax parcel or parcels (other than with respect to the Home Depot Ground Lease). All real estate Taxes imposed on, or with respect to the Site, have been paid to date, to the extent then due and payable.</w:t>
      </w:r>
    </w:p>
    <w:p>
      <w:pPr>
        <w:spacing w:after="0" w:line="181" w:lineRule="exact"/>
        <w:rPr>
          <w:rFonts w:ascii="Arial" w:cs="Arial" w:eastAsia="Arial" w:hAnsi="Arial"/>
          <w:sz w:val="18"/>
          <w:szCs w:val="18"/>
          <w:color w:val="auto"/>
        </w:rPr>
      </w:pPr>
    </w:p>
    <w:p>
      <w:pPr>
        <w:ind w:left="4" w:right="100" w:firstLine="610"/>
        <w:spacing w:after="0" w:line="273" w:lineRule="auto"/>
        <w:tabs>
          <w:tab w:leader="none" w:pos="1342" w:val="left"/>
        </w:tabs>
        <w:numPr>
          <w:ilvl w:val="1"/>
          <w:numId w:val="25"/>
        </w:numPr>
        <w:rPr>
          <w:rFonts w:ascii="Arial" w:cs="Arial" w:eastAsia="Arial" w:hAnsi="Arial"/>
          <w:sz w:val="17"/>
          <w:szCs w:val="17"/>
          <w:color w:val="auto"/>
        </w:rPr>
      </w:pPr>
      <w:r>
        <w:rPr>
          <w:rFonts w:ascii="Arial" w:cs="Arial" w:eastAsia="Arial" w:hAnsi="Arial"/>
          <w:sz w:val="17"/>
          <w:szCs w:val="17"/>
          <w:i w:val="1"/>
          <w:iCs w:val="1"/>
          <w:color w:val="auto"/>
        </w:rPr>
        <w:t>Searches</w:t>
      </w:r>
      <w:r>
        <w:rPr>
          <w:rFonts w:ascii="Arial" w:cs="Arial" w:eastAsia="Arial" w:hAnsi="Arial"/>
          <w:sz w:val="17"/>
          <w:szCs w:val="17"/>
          <w:color w:val="auto"/>
        </w:rPr>
        <w:t>. Lessor and Administrative Agent shall have received (A) as to Lessee, results of a search of the applicable UCC files</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maintained by the office of the secretary of state of the state in which Lessee is organized, dated not earlier than thirty (30) Business Days prior to the Document Closing Date, which results shall disclose no Liens on the assets of the Lessee other than Liens permitted by Section 9(b) of the Guaranty, and (B) as to the Site, results of a search of the applicable UCC files and any indices of Liens maintained by the appropriate county filing or recording office of the county in which such Site is located, dated not earlier than thirty (30) Business Days prior to the Document Closing Date, which results shall disclose no Liens on the Site other than Permitted Liens.</w:t>
      </w:r>
    </w:p>
    <w:p>
      <w:pPr>
        <w:spacing w:after="0" w:line="178" w:lineRule="exact"/>
        <w:rPr>
          <w:rFonts w:ascii="Arial" w:cs="Arial" w:eastAsia="Arial" w:hAnsi="Arial"/>
          <w:sz w:val="17"/>
          <w:szCs w:val="17"/>
          <w:color w:val="auto"/>
        </w:rPr>
      </w:pPr>
    </w:p>
    <w:p>
      <w:pPr>
        <w:ind w:left="4" w:right="40" w:firstLine="712"/>
        <w:spacing w:after="0" w:line="284" w:lineRule="auto"/>
        <w:tabs>
          <w:tab w:leader="none" w:pos="1317"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Survey</w:t>
      </w:r>
      <w:r>
        <w:rPr>
          <w:rFonts w:ascii="Arial" w:cs="Arial" w:eastAsia="Arial" w:hAnsi="Arial"/>
          <w:sz w:val="16"/>
          <w:szCs w:val="16"/>
          <w:color w:val="auto"/>
        </w:rPr>
        <w:t>. Lessee shall have, or shall have caused to be, delivered and certified to Lessor, the Title Insurance Company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Agent an ALTA survey of the Site (A) dated a date reasonably satisfactory to the Lessor, (B) in a form reasonably satisfactory to Lessor and the Title Insurance Company, (C) including any applicable flood zone designation with property annotations based on Federal Flood Insurance Rate Maps, (D) enabling the Title Insurance Company to delete any standard printing survey exception contained in the applicable Title Policy and to issue the Title Policies, (E) in accordance with the Minimum Standard Detail Requirements for Land Title Surveys jointly established and adopted by ALTA and the National Society of Professional Surveyors effective February 23, 2016, (F) showing the location of all improvements thereon (without limiting the generality of the foregoing, there shall be surveyed and shown or stated on such survey, as applicable, the following:</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w:t>
      </w:r>
    </w:p>
    <w:p>
      <w:pPr>
        <w:spacing w:after="0" w:line="21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4"/>
          </w:cols>
          <w:pgMar w:left="896" w:top="341" w:right="259" w:bottom="532" w:gutter="0" w:footer="0" w:header="0"/>
        </w:sectPr>
      </w:pPr>
    </w:p>
    <w:bookmarkStart w:id="13" w:name="page14"/>
    <w:bookmarkEnd w:id="13"/>
    <w:p>
      <w:pPr>
        <w:spacing w:after="0" w:line="114" w:lineRule="exact"/>
        <w:rPr>
          <w:sz w:val="20"/>
          <w:szCs w:val="20"/>
          <w:color w:val="auto"/>
        </w:rPr>
      </w:pPr>
    </w:p>
    <w:p>
      <w:pPr>
        <w:ind w:left="4" w:right="80"/>
        <w:spacing w:after="0" w:line="257" w:lineRule="auto"/>
        <w:rPr>
          <w:sz w:val="20"/>
          <w:szCs w:val="20"/>
          <w:color w:val="auto"/>
        </w:rPr>
      </w:pPr>
      <w:r>
        <w:rPr>
          <w:rFonts w:ascii="Arial" w:cs="Arial" w:eastAsia="Arial" w:hAnsi="Arial"/>
          <w:sz w:val="18"/>
          <w:szCs w:val="18"/>
          <w:color w:val="auto"/>
        </w:rPr>
        <w:t>locations of any established building setback lines; (w) the lines of streets abutting the Site and the width thereof; (x) all access and other easements appurtenant to the Site necessary to use the Site; (y) all roadways, paths, driveways, easements, encroachments, overhanging projections and similar encumbrances affecting the Site, whether recorded, apparent from a physical inspection of the Site or otherwise known to the surveyor; (z) any encroachments on any adjoining property); (G) if the Site is described as being on a filed map, a legend relating the survey to said map and (H) a vicinity sketch showing the closest thoroughfare intersection.</w:t>
      </w:r>
    </w:p>
    <w:p>
      <w:pPr>
        <w:spacing w:after="0" w:line="188" w:lineRule="exact"/>
        <w:rPr>
          <w:sz w:val="20"/>
          <w:szCs w:val="20"/>
          <w:color w:val="auto"/>
        </w:rPr>
      </w:pPr>
    </w:p>
    <w:p>
      <w:pPr>
        <w:ind w:left="4" w:firstLine="757"/>
        <w:spacing w:after="0" w:line="283" w:lineRule="auto"/>
        <w:tabs>
          <w:tab w:leader="none" w:pos="1312"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Title and Title Insurance</w:t>
      </w:r>
      <w:r>
        <w:rPr>
          <w:rFonts w:ascii="Arial" w:cs="Arial" w:eastAsia="Arial" w:hAnsi="Arial"/>
          <w:sz w:val="16"/>
          <w:szCs w:val="16"/>
          <w:color w:val="auto"/>
        </w:rPr>
        <w:t>. Lessor and the Administrative Agent shall have received from the Title Insurance Company (i) an ALTA</w:t>
      </w:r>
      <w:r>
        <w:rPr>
          <w:rFonts w:ascii="Arial" w:cs="Arial" w:eastAsia="Arial" w:hAnsi="Arial"/>
          <w:sz w:val="16"/>
          <w:szCs w:val="16"/>
          <w:i w:val="1"/>
          <w:iCs w:val="1"/>
          <w:color w:val="auto"/>
        </w:rPr>
        <w:t xml:space="preserve"> </w:t>
      </w:r>
      <w:r>
        <w:rPr>
          <w:rFonts w:ascii="Arial" w:cs="Arial" w:eastAsia="Arial" w:hAnsi="Arial"/>
          <w:sz w:val="16"/>
          <w:szCs w:val="16"/>
          <w:color w:val="auto"/>
        </w:rPr>
        <w:t>2006 owner’s policy of title insurance (or an irrevocable commitment for the issuance thereof) with respect to the Leased Property (the “</w:t>
      </w:r>
      <w:r>
        <w:rPr>
          <w:rFonts w:ascii="Arial" w:cs="Arial" w:eastAsia="Arial" w:hAnsi="Arial"/>
          <w:sz w:val="16"/>
          <w:szCs w:val="16"/>
          <w:i w:val="1"/>
          <w:iCs w:val="1"/>
          <w:color w:val="auto"/>
        </w:rPr>
        <w:t>Owner’s</w:t>
      </w:r>
      <w:r>
        <w:rPr>
          <w:rFonts w:ascii="Arial" w:cs="Arial" w:eastAsia="Arial" w:hAnsi="Arial"/>
          <w:sz w:val="16"/>
          <w:szCs w:val="16"/>
          <w:color w:val="auto"/>
        </w:rPr>
        <w:t xml:space="preserve"> </w:t>
      </w:r>
      <w:r>
        <w:rPr>
          <w:rFonts w:ascii="Arial" w:cs="Arial" w:eastAsia="Arial" w:hAnsi="Arial"/>
          <w:sz w:val="16"/>
          <w:szCs w:val="16"/>
          <w:i w:val="1"/>
          <w:iCs w:val="1"/>
          <w:color w:val="auto"/>
        </w:rPr>
        <w:t>Policy</w:t>
      </w:r>
      <w:r>
        <w:rPr>
          <w:rFonts w:ascii="Arial" w:cs="Arial" w:eastAsia="Arial" w:hAnsi="Arial"/>
          <w:sz w:val="16"/>
          <w:szCs w:val="16"/>
          <w:color w:val="auto"/>
        </w:rPr>
        <w:t>”), reasonably acceptable in form and substance to Lessor, insuring that Lessor has a good and marketable fee ownership interest in the Leased</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subject in each case to such exceptions to title as are permitted under any of the Operative Documents, in an amount equal to the Aggregate Commitment Amount together with complete, legible copies of all recorded documents referenced as exceptions therein and (ii) an ALTA 2006 lender’s policy of title insurance (or an irrevocable commitment for the issuance thereof) with respect to the Site and the Facility (the “</w:t>
      </w:r>
      <w:r>
        <w:rPr>
          <w:rFonts w:ascii="Arial" w:cs="Arial" w:eastAsia="Arial" w:hAnsi="Arial"/>
          <w:sz w:val="16"/>
          <w:szCs w:val="16"/>
          <w:i w:val="1"/>
          <w:iCs w:val="1"/>
          <w:color w:val="auto"/>
        </w:rPr>
        <w:t>Administrative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Agent’s Policy”; </w:t>
      </w:r>
      <w:r>
        <w:rPr>
          <w:rFonts w:ascii="Arial" w:cs="Arial" w:eastAsia="Arial" w:hAnsi="Arial"/>
          <w:sz w:val="16"/>
          <w:szCs w:val="16"/>
          <w:color w:val="auto"/>
        </w:rPr>
        <w:t>together with the Owner’s Policy, the “</w:t>
      </w:r>
      <w:r>
        <w:rPr>
          <w:rFonts w:ascii="Arial" w:cs="Arial" w:eastAsia="Arial" w:hAnsi="Arial"/>
          <w:sz w:val="16"/>
          <w:szCs w:val="16"/>
          <w:i w:val="1"/>
          <w:iCs w:val="1"/>
          <w:color w:val="auto"/>
        </w:rPr>
        <w:t>Title Policies</w:t>
      </w:r>
      <w:r>
        <w:rPr>
          <w:rFonts w:ascii="Arial" w:cs="Arial" w:eastAsia="Arial" w:hAnsi="Arial"/>
          <w:sz w:val="16"/>
          <w:szCs w:val="16"/>
          <w:color w:val="auto"/>
        </w:rPr>
        <w:t>”), reasonably acceptable in form and substance to Participants, insuring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Lien created by the Assignment of Leases as a valid first priority Lien against the Leased Property, subject in each case to such exceptions to title as are permitted under any of the Operative Documents, in an amount equal to the Aggregate Commitment Amount together with complete, legible copies of all recorded documents referenced as exceptions therein. The Title Policies shall be dated as of the Document Closing Date and, to the extent permitted under Applicable Laws, shall, as applicable: </w:t>
      </w:r>
      <w:r>
        <w:rPr>
          <w:rFonts w:ascii="Arial" w:cs="Arial" w:eastAsia="Arial" w:hAnsi="Arial"/>
          <w:sz w:val="16"/>
          <w:szCs w:val="16"/>
          <w:b w:val="1"/>
          <w:bCs w:val="1"/>
          <w:color w:val="auto"/>
        </w:rPr>
        <w:t>(</w:t>
      </w:r>
      <w:r>
        <w:rPr>
          <w:rFonts w:ascii="Arial" w:cs="Arial" w:eastAsia="Arial" w:hAnsi="Arial"/>
          <w:sz w:val="16"/>
          <w:szCs w:val="16"/>
          <w:color w:val="auto"/>
        </w:rPr>
        <w:t>v) contain affirmative endorsements as to mechanics’ liens, zoning, comprehensive coverage, encroachments, the nonviolation of covenants and restrictions, rights of access and survey matters, (x) delete survey exclusions,</w:t>
      </w:r>
    </w:p>
    <w:p>
      <w:pPr>
        <w:spacing w:after="0" w:line="3" w:lineRule="exact"/>
        <w:rPr>
          <w:rFonts w:ascii="Arial" w:cs="Arial" w:eastAsia="Arial" w:hAnsi="Arial"/>
          <w:sz w:val="16"/>
          <w:szCs w:val="16"/>
          <w:color w:val="auto"/>
        </w:rPr>
      </w:pPr>
    </w:p>
    <w:p>
      <w:pPr>
        <w:ind w:left="4" w:right="920" w:hanging="4"/>
        <w:spacing w:after="0" w:line="261" w:lineRule="auto"/>
        <w:tabs>
          <w:tab w:leader="none" w:pos="259"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contain endorsements regarding the effect of recharacterization, and (z) contain such other endorsements reasonably requested by the Participants.</w:t>
      </w:r>
    </w:p>
    <w:p>
      <w:pPr>
        <w:spacing w:after="0" w:line="184" w:lineRule="exact"/>
        <w:rPr>
          <w:sz w:val="20"/>
          <w:szCs w:val="20"/>
          <w:color w:val="auto"/>
        </w:rPr>
      </w:pPr>
    </w:p>
    <w:p>
      <w:pPr>
        <w:ind w:left="4" w:right="80" w:firstLine="712"/>
        <w:spacing w:after="0" w:line="257" w:lineRule="auto"/>
        <w:tabs>
          <w:tab w:leader="none" w:pos="1317"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Filings and Recordings</w:t>
      </w:r>
      <w:r>
        <w:rPr>
          <w:rFonts w:ascii="Arial" w:cs="Arial" w:eastAsia="Arial" w:hAnsi="Arial"/>
          <w:sz w:val="18"/>
          <w:szCs w:val="18"/>
          <w:color w:val="auto"/>
        </w:rPr>
        <w:t>. All filings or recordings enumerated and described in Schedule 6.1(xi) shall have been made (or</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arrangements so to file shall have been made) in the appropriate places or offices. All recording and filing fees and taxes with respect to any recordings or filings made pursuant to this Section 6.1(xi) shall have been paid in full by Lessee or from the Advance on or prior to such date, and satisfactory evidence thereof shall have been delivered to the Lessor and Administrative Agent, or arrangements for such payment shall have been made by Lessee to the reasonable satisfaction of Lessor.</w:t>
      </w:r>
    </w:p>
    <w:p>
      <w:pPr>
        <w:spacing w:after="0" w:line="188" w:lineRule="exact"/>
        <w:rPr>
          <w:rFonts w:ascii="Arial" w:cs="Arial" w:eastAsia="Arial" w:hAnsi="Arial"/>
          <w:sz w:val="18"/>
          <w:szCs w:val="18"/>
          <w:color w:val="auto"/>
        </w:rPr>
      </w:pPr>
    </w:p>
    <w:p>
      <w:pPr>
        <w:ind w:left="4" w:right="200" w:firstLine="656"/>
        <w:spacing w:after="0" w:line="264" w:lineRule="auto"/>
        <w:tabs>
          <w:tab w:leader="none" w:pos="132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 Lessor shall have received (i) a report from the Insurance Consultant (or another insurance consultant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acceptable to Lessor), in form and substance reasonably satisfactory to Lessor, stating that the Facility and the Site will be properly and adequately insured pursuant to the requirements of the Lease and</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100" w:hanging="4"/>
        <w:spacing w:after="0" w:line="302" w:lineRule="auto"/>
        <w:tabs>
          <w:tab w:leader="none" w:pos="269"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insurance (including, without limitation, any flood insurance required to be obtained by the Lessee under the Operative Documents) complying with, and to the extent required to be in place on the Document Closing Date pursuant to, the provisions of the Lease shall be in full force and effect in all material respects as evidenced by customary certificates of insurance, broker’s reports or insurance binders provided by the Lessee’s or the Parent Guarantor’s brokers to Lessor, all in form and substance reasonably satisfactory to Lessor and the Administrative Agent.</w:t>
      </w:r>
    </w:p>
    <w:p>
      <w:pPr>
        <w:spacing w:after="0" w:line="154" w:lineRule="exact"/>
        <w:rPr>
          <w:rFonts w:ascii="Arial" w:cs="Arial" w:eastAsia="Arial" w:hAnsi="Arial"/>
          <w:sz w:val="16"/>
          <w:szCs w:val="16"/>
          <w:color w:val="auto"/>
        </w:rPr>
      </w:pPr>
    </w:p>
    <w:p>
      <w:pPr>
        <w:ind w:left="4" w:right="300" w:firstLine="610"/>
        <w:spacing w:after="0" w:line="277" w:lineRule="auto"/>
        <w:tabs>
          <w:tab w:leader="none" w:pos="1342"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No Material Adverse Change</w:t>
      </w:r>
      <w:r>
        <w:rPr>
          <w:rFonts w:ascii="Arial" w:cs="Arial" w:eastAsia="Arial" w:hAnsi="Arial"/>
          <w:sz w:val="18"/>
          <w:szCs w:val="18"/>
          <w:color w:val="auto"/>
        </w:rPr>
        <w:t>. Since September 30, 2016 and excluding any Disclosed Matters, there shall be no Closing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Adverse Effect.</w:t>
      </w:r>
    </w:p>
    <w:p>
      <w:pPr>
        <w:spacing w:after="0" w:line="170" w:lineRule="exact"/>
        <w:rPr>
          <w:rFonts w:ascii="Arial" w:cs="Arial" w:eastAsia="Arial" w:hAnsi="Arial"/>
          <w:sz w:val="18"/>
          <w:szCs w:val="18"/>
          <w:color w:val="auto"/>
        </w:rPr>
      </w:pPr>
    </w:p>
    <w:p>
      <w:pPr>
        <w:ind w:left="4" w:right="120" w:firstLine="622"/>
        <w:spacing w:after="0" w:line="264" w:lineRule="auto"/>
        <w:tabs>
          <w:tab w:leader="none" w:pos="1317"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Requirements of Law</w:t>
      </w:r>
      <w:r>
        <w:rPr>
          <w:rFonts w:ascii="Arial" w:cs="Arial" w:eastAsia="Arial" w:hAnsi="Arial"/>
          <w:sz w:val="18"/>
          <w:szCs w:val="18"/>
          <w:color w:val="auto"/>
        </w:rPr>
        <w:t>. The Overall Transaction does not violate in any material respect any Applicable Laws and does not, in and</w:t>
      </w:r>
      <w:r>
        <w:rPr>
          <w:rFonts w:ascii="Arial" w:cs="Arial" w:eastAsia="Arial" w:hAnsi="Arial"/>
          <w:sz w:val="18"/>
          <w:szCs w:val="18"/>
          <w:i w:val="1"/>
          <w:iCs w:val="1"/>
          <w:color w:val="auto"/>
        </w:rPr>
        <w:t xml:space="preserve"> </w:t>
      </w:r>
      <w:r>
        <w:rPr>
          <w:rFonts w:ascii="Arial" w:cs="Arial" w:eastAsia="Arial" w:hAnsi="Arial"/>
          <w:sz w:val="18"/>
          <w:szCs w:val="18"/>
          <w:color w:val="auto"/>
        </w:rPr>
        <w:t>of itself, subject any Participant to any material adverse regulatory prohibitions or constraints or cause any such Person to violate any Applicable Laws.</w:t>
      </w:r>
    </w:p>
    <w:p>
      <w:pPr>
        <w:spacing w:after="0" w:line="181" w:lineRule="exact"/>
        <w:rPr>
          <w:rFonts w:ascii="Arial" w:cs="Arial" w:eastAsia="Arial" w:hAnsi="Arial"/>
          <w:sz w:val="18"/>
          <w:szCs w:val="18"/>
          <w:color w:val="auto"/>
        </w:rPr>
      </w:pPr>
    </w:p>
    <w:p>
      <w:pPr>
        <w:ind w:left="1304" w:hanging="633"/>
        <w:spacing w:after="0"/>
        <w:tabs>
          <w:tab w:leader="none" w:pos="1304"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225" w:lineRule="exact"/>
        <w:rPr>
          <w:rFonts w:ascii="Arial" w:cs="Arial" w:eastAsia="Arial" w:hAnsi="Arial"/>
          <w:sz w:val="18"/>
          <w:szCs w:val="18"/>
          <w:color w:val="auto"/>
        </w:rPr>
      </w:pPr>
    </w:p>
    <w:p>
      <w:pPr>
        <w:ind w:left="4" w:right="180" w:firstLine="622"/>
        <w:spacing w:after="0" w:line="259" w:lineRule="auto"/>
        <w:tabs>
          <w:tab w:leader="none" w:pos="1317"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No Default</w:t>
      </w:r>
      <w:r>
        <w:rPr>
          <w:rFonts w:ascii="Arial" w:cs="Arial" w:eastAsia="Arial" w:hAnsi="Arial"/>
          <w:sz w:val="18"/>
          <w:szCs w:val="18"/>
          <w:color w:val="auto"/>
        </w:rPr>
        <w:t>. There shall not have occurred and be continuing any Default, Event of Default, Event of Loss, Specified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Event or Specified Material Environmental Violation, and no Default, Event of Default, Event of Loss Specified Significant Environmental Event or Specified Material Environmental Violation will have occurred and be continuing immediately after giving effect to the Advance Request.</w:t>
      </w:r>
    </w:p>
    <w:p>
      <w:pPr>
        <w:spacing w:after="0" w:line="186" w:lineRule="exact"/>
        <w:rPr>
          <w:rFonts w:ascii="Arial" w:cs="Arial" w:eastAsia="Arial" w:hAnsi="Arial"/>
          <w:sz w:val="18"/>
          <w:szCs w:val="18"/>
          <w:color w:val="auto"/>
        </w:rPr>
      </w:pPr>
    </w:p>
    <w:p>
      <w:pPr>
        <w:ind w:left="4" w:right="120" w:firstLine="565"/>
        <w:spacing w:after="0" w:line="277" w:lineRule="auto"/>
        <w:tabs>
          <w:tab w:leader="none" w:pos="1324"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Subordination of Existing Lease</w:t>
      </w:r>
      <w:r>
        <w:rPr>
          <w:rFonts w:ascii="Arial" w:cs="Arial" w:eastAsia="Arial" w:hAnsi="Arial"/>
          <w:sz w:val="18"/>
          <w:szCs w:val="18"/>
          <w:color w:val="auto"/>
        </w:rPr>
        <w:t>. The Existing Lease shall have been subordinated to the Lease on terms reasonably acceptable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Lessor and the Participants.</w:t>
      </w:r>
    </w:p>
    <w:p>
      <w:pPr>
        <w:spacing w:after="0" w:line="170" w:lineRule="exact"/>
        <w:rPr>
          <w:rFonts w:ascii="Arial" w:cs="Arial" w:eastAsia="Arial" w:hAnsi="Arial"/>
          <w:sz w:val="18"/>
          <w:szCs w:val="18"/>
          <w:color w:val="auto"/>
        </w:rPr>
      </w:pPr>
    </w:p>
    <w:p>
      <w:pPr>
        <w:ind w:left="4" w:right="60" w:firstLine="520"/>
        <w:spacing w:after="0" w:line="290" w:lineRule="auto"/>
        <w:tabs>
          <w:tab w:leader="none" w:pos="1329"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Receipt by Lessor of (A) audited consolidated balance sheets and related consolidated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income and statements of cash flows of the Parent Guarantor and its consolidated subsidiaries for the most recently completed fiscal year ending more than ninety (90) days prior to the Document Closing Date, and (B) unaudited consolidated balance sheets and related consolidated statements of income and statements of cash flows for any quarterly interim period or periods (other than the fourth fiscal quarter of the Parent Guarantor’s fiscal year) of the Parent Guarantor and its consolidated subsidiaries ending more than forty-five (45) days prior to the Document Closing Date;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requirements set forth in this paragraph may be fulfilled by the filing of the Parent Guarantor’s Annual Report on Form 10-K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Securities and Exchange Commission for the applicable fiscal year (in the case of clause (A) above) and the Parent Guarantor’s Quarterly Report on Form 10-Q with the Securities and Exchange Commission for the applicable fiscal quarter (in the case of clause (B) above).</w:t>
      </w:r>
    </w:p>
    <w:p>
      <w:pPr>
        <w:spacing w:after="0" w:line="166" w:lineRule="exact"/>
        <w:rPr>
          <w:rFonts w:ascii="Arial" w:cs="Arial" w:eastAsia="Arial" w:hAnsi="Arial"/>
          <w:sz w:val="16"/>
          <w:szCs w:val="16"/>
          <w:color w:val="auto"/>
        </w:rPr>
      </w:pPr>
    </w:p>
    <w:p>
      <w:pPr>
        <w:ind w:left="1304" w:hanging="678"/>
        <w:spacing w:after="0"/>
        <w:tabs>
          <w:tab w:leader="none" w:pos="1304" w:val="left"/>
        </w:tabs>
        <w:numPr>
          <w:ilvl w:val="1"/>
          <w:numId w:val="30"/>
        </w:numPr>
        <w:rPr>
          <w:rFonts w:ascii="Arial" w:cs="Arial" w:eastAsia="Arial" w:hAnsi="Arial"/>
          <w:sz w:val="17"/>
          <w:szCs w:val="17"/>
          <w:color w:val="auto"/>
        </w:rPr>
      </w:pPr>
      <w:r>
        <w:rPr>
          <w:rFonts w:ascii="Arial" w:cs="Arial" w:eastAsia="Arial" w:hAnsi="Arial"/>
          <w:sz w:val="17"/>
          <w:szCs w:val="17"/>
          <w:i w:val="1"/>
          <w:iCs w:val="1"/>
          <w:color w:val="auto"/>
        </w:rPr>
        <w:t>Collateral Documents</w:t>
      </w:r>
      <w:r>
        <w:rPr>
          <w:rFonts w:ascii="Arial" w:cs="Arial" w:eastAsia="Arial" w:hAnsi="Arial"/>
          <w:sz w:val="17"/>
          <w:szCs w:val="17"/>
          <w:color w:val="auto"/>
        </w:rPr>
        <w:t>. Lessor and Administrative Agent shall have received an executed copy of the Assignment of Purchase</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40" w:firstLine="662"/>
        <w:spacing w:after="0" w:line="312" w:lineRule="auto"/>
        <w:tabs>
          <w:tab w:leader="none" w:pos="1307"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Governmental Approvals</w:t>
      </w:r>
      <w:r>
        <w:rPr>
          <w:rFonts w:ascii="Arial" w:cs="Arial" w:eastAsia="Arial" w:hAnsi="Arial"/>
          <w:sz w:val="16"/>
          <w:szCs w:val="16"/>
          <w:color w:val="auto"/>
        </w:rPr>
        <w:t>. Except as could not reasonably be expected to cause a Material Adverse Effect: (A) all Governmental</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and other approvals, consents, licenses and easements (but excluding any approvals of the subdivision of the parcel of real property of which the Site is a part) required to be taken, given or obtained, as the case may be, by or from any Governmental Authority or another Person, or by</w:t>
      </w:r>
    </w:p>
    <w:p>
      <w:pPr>
        <w:sectPr>
          <w:pgSz w:w="11900" w:h="16952" w:orient="portrait"/>
          <w:cols w:equalWidth="0" w:num="1">
            <w:col w:w="10764"/>
          </w:cols>
          <w:pgMar w:left="896" w:top="125" w:right="239" w:bottom="0" w:gutter="0" w:footer="0" w:header="0"/>
        </w:sectPr>
      </w:pPr>
    </w:p>
    <w:bookmarkStart w:id="14" w:name="page15"/>
    <w:bookmarkEnd w:id="14"/>
    <w:p>
      <w:pPr>
        <w:ind w:left="660" w:right="60"/>
        <w:spacing w:after="0" w:line="257" w:lineRule="auto"/>
        <w:rPr>
          <w:sz w:val="20"/>
          <w:szCs w:val="20"/>
          <w:color w:val="auto"/>
        </w:rPr>
      </w:pPr>
      <w:r>
        <w:rPr>
          <w:rFonts w:ascii="Arial" w:cs="Arial" w:eastAsia="Arial" w:hAnsi="Arial"/>
          <w:sz w:val="18"/>
          <w:szCs w:val="18"/>
          <w:color w:val="auto"/>
        </w:rPr>
        <w:t>or from any trustee or holder of any indebtedness or obligation of Lessee or any Guarantor, that are necessary in connection with the performance of their respective obligations under the Operative Documents, and that are necessary to have been obtained prior to the Document Closing Date shall have been taken, given or obtained, as the case may be, shall be in full force and effect, and (B) the time for appeal with respect thereto shall have expired (or, if an appeal shall have been taken, the same shall have been dismissed) and shall not be subject to any pending proceedings or appeals (administrative, judicial or otherwise).</w:t>
      </w:r>
    </w:p>
    <w:p>
      <w:pPr>
        <w:spacing w:after="0" w:line="188" w:lineRule="exact"/>
        <w:rPr>
          <w:sz w:val="20"/>
          <w:szCs w:val="20"/>
          <w:color w:val="auto"/>
        </w:rPr>
      </w:pPr>
    </w:p>
    <w:p>
      <w:pPr>
        <w:ind w:left="660" w:right="120" w:firstLine="611"/>
        <w:spacing w:after="0" w:line="277" w:lineRule="auto"/>
        <w:tabs>
          <w:tab w:leader="none" w:pos="1963"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Advance Request</w:t>
      </w:r>
      <w:r>
        <w:rPr>
          <w:rFonts w:ascii="Arial" w:cs="Arial" w:eastAsia="Arial" w:hAnsi="Arial"/>
          <w:sz w:val="18"/>
          <w:szCs w:val="18"/>
          <w:color w:val="auto"/>
        </w:rPr>
        <w:t>. Lessor and the Administrative Agent shall have received a fully executed counterpart of the Advance Request,</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by the Lessee, in accordance with Section 3.3(a).</w:t>
      </w:r>
    </w:p>
    <w:p>
      <w:pPr>
        <w:spacing w:after="0" w:line="170" w:lineRule="exact"/>
        <w:rPr>
          <w:rFonts w:ascii="Arial" w:cs="Arial" w:eastAsia="Arial" w:hAnsi="Arial"/>
          <w:sz w:val="18"/>
          <w:szCs w:val="18"/>
          <w:color w:val="auto"/>
        </w:rPr>
      </w:pPr>
    </w:p>
    <w:p>
      <w:pPr>
        <w:ind w:left="660" w:right="500" w:firstLine="560"/>
        <w:spacing w:after="0" w:line="342" w:lineRule="auto"/>
        <w:tabs>
          <w:tab w:leader="none" w:pos="1975"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Fees</w:t>
      </w:r>
      <w:r>
        <w:rPr>
          <w:rFonts w:ascii="Arial" w:cs="Arial" w:eastAsia="Arial" w:hAnsi="Arial"/>
          <w:sz w:val="16"/>
          <w:szCs w:val="16"/>
          <w:color w:val="auto"/>
        </w:rPr>
        <w:t>. The Administrative Agent, the Participants and the Arranger shall have received all Fees due and payable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4.4, or such payment will be made out of the requested Advance to the extent permitted pursuant to the terms hereof.</w:t>
      </w:r>
    </w:p>
    <w:p>
      <w:pPr>
        <w:spacing w:after="0" w:line="123" w:lineRule="exact"/>
        <w:rPr>
          <w:rFonts w:ascii="Arial" w:cs="Arial" w:eastAsia="Arial" w:hAnsi="Arial"/>
          <w:sz w:val="16"/>
          <w:szCs w:val="16"/>
          <w:color w:val="auto"/>
        </w:rPr>
      </w:pPr>
    </w:p>
    <w:p>
      <w:pPr>
        <w:ind w:left="660" w:right="140" w:firstLine="527"/>
        <w:spacing w:after="0" w:line="259" w:lineRule="auto"/>
        <w:tabs>
          <w:tab w:leader="none" w:pos="1991"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Representation and Warranties</w:t>
      </w:r>
      <w:r>
        <w:rPr>
          <w:rFonts w:ascii="Arial" w:cs="Arial" w:eastAsia="Arial" w:hAnsi="Arial"/>
          <w:sz w:val="18"/>
          <w:szCs w:val="18"/>
          <w:color w:val="auto"/>
        </w:rPr>
        <w:t>. On the Document Closing Date, the representations and warranties of the Lessee and each</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 herein and in each of the other Operative Documents shall be true and correct in all material respects as though made on and as of such date, except to the extent that such representations and warranties specifically refer to an earlier date, in which case they shall be true and correct in all material respects as of such earlier date.</w:t>
      </w:r>
    </w:p>
    <w:p>
      <w:pPr>
        <w:spacing w:after="0" w:line="186" w:lineRule="exact"/>
        <w:rPr>
          <w:rFonts w:ascii="Arial" w:cs="Arial" w:eastAsia="Arial" w:hAnsi="Arial"/>
          <w:sz w:val="18"/>
          <w:szCs w:val="18"/>
          <w:color w:val="auto"/>
        </w:rPr>
      </w:pPr>
    </w:p>
    <w:p>
      <w:pPr>
        <w:ind w:left="660" w:right="60" w:firstLine="527"/>
        <w:spacing w:after="0" w:line="271" w:lineRule="auto"/>
        <w:tabs>
          <w:tab w:leader="none" w:pos="1968" w:val="left"/>
        </w:tabs>
        <w:numPr>
          <w:ilvl w:val="1"/>
          <w:numId w:val="32"/>
        </w:numPr>
        <w:rPr>
          <w:rFonts w:ascii="Arial" w:cs="Arial" w:eastAsia="Arial" w:hAnsi="Arial"/>
          <w:sz w:val="17"/>
          <w:szCs w:val="17"/>
          <w:color w:val="auto"/>
        </w:rPr>
      </w:pPr>
      <w:r>
        <w:rPr>
          <w:rFonts w:ascii="Arial" w:cs="Arial" w:eastAsia="Arial" w:hAnsi="Arial"/>
          <w:sz w:val="17"/>
          <w:szCs w:val="17"/>
          <w:i w:val="1"/>
          <w:iCs w:val="1"/>
          <w:color w:val="auto"/>
        </w:rPr>
        <w:t>Litigation</w:t>
      </w:r>
      <w:r>
        <w:rPr>
          <w:rFonts w:ascii="Arial" w:cs="Arial" w:eastAsia="Arial" w:hAnsi="Arial"/>
          <w:sz w:val="17"/>
          <w:szCs w:val="17"/>
          <w:color w:val="auto"/>
        </w:rPr>
        <w:t>. Except for Disclosed Matters, no action or proceeding shall have been instituted, nor to Lessee’s or Parent Guarantor’s</w:t>
      </w:r>
      <w:r>
        <w:rPr>
          <w:rFonts w:ascii="Arial" w:cs="Arial" w:eastAsia="Arial" w:hAnsi="Arial"/>
          <w:sz w:val="17"/>
          <w:szCs w:val="17"/>
          <w:i w:val="1"/>
          <w:iCs w:val="1"/>
          <w:color w:val="auto"/>
        </w:rPr>
        <w:t xml:space="preserve"> </w:t>
      </w:r>
      <w:r>
        <w:rPr>
          <w:rFonts w:ascii="Arial" w:cs="Arial" w:eastAsia="Arial" w:hAnsi="Arial"/>
          <w:sz w:val="17"/>
          <w:szCs w:val="17"/>
          <w:color w:val="auto"/>
        </w:rPr>
        <w:t>knowledge, shall any action or proceeding be threatened, before any Governmental Authority, nor shall any order, judgment or decree have been issued or be reasonably expected to be proposed to be issued by any Governmental Authority (i) to set aside, restrain, enjoin or prevent the performance by Lessee or any Guarantor in any material respect of this Participation Agreement, any other Operative Document or any transaction contemplated as part of the Overall Transaction or (ii) that questions the validity of the Operative Documents or the rights or remedies of the Lessor or the Administrative Agent with respect to the Lessee, each Guarantor, the Leased Property or the other Collateral under the Operative Documents, and in each case as to clause (i) or clause (ii) above, for which there is a reasonable expectation of an adverse decision which would have or would reasonably be expected to have a Material Adverse Effect.</w:t>
      </w:r>
    </w:p>
    <w:p>
      <w:pPr>
        <w:spacing w:after="0" w:line="178" w:lineRule="exact"/>
        <w:rPr>
          <w:rFonts w:ascii="Arial" w:cs="Arial" w:eastAsia="Arial" w:hAnsi="Arial"/>
          <w:sz w:val="17"/>
          <w:szCs w:val="17"/>
          <w:color w:val="auto"/>
        </w:rPr>
      </w:pPr>
    </w:p>
    <w:p>
      <w:pPr>
        <w:ind w:left="1960" w:hanging="723"/>
        <w:spacing w:after="0"/>
        <w:tabs>
          <w:tab w:leader="none" w:pos="1960" w:val="left"/>
        </w:tabs>
        <w:numPr>
          <w:ilvl w:val="2"/>
          <w:numId w:val="32"/>
        </w:numPr>
        <w:rPr>
          <w:rFonts w:ascii="Arial" w:cs="Arial" w:eastAsia="Arial" w:hAnsi="Arial"/>
          <w:sz w:val="18"/>
          <w:szCs w:val="18"/>
          <w:color w:val="auto"/>
        </w:rPr>
      </w:pPr>
      <w:r>
        <w:rPr>
          <w:rFonts w:ascii="Arial" w:cs="Arial" w:eastAsia="Arial" w:hAnsi="Arial"/>
          <w:sz w:val="18"/>
          <w:szCs w:val="18"/>
          <w:i w:val="1"/>
          <w:iCs w:val="1"/>
          <w:color w:val="auto"/>
        </w:rPr>
        <w:t>[Reserved.]</w:t>
      </w:r>
    </w:p>
    <w:p>
      <w:pPr>
        <w:spacing w:after="0" w:line="225" w:lineRule="exact"/>
        <w:rPr>
          <w:rFonts w:ascii="Arial" w:cs="Arial" w:eastAsia="Arial" w:hAnsi="Arial"/>
          <w:sz w:val="18"/>
          <w:szCs w:val="18"/>
          <w:color w:val="auto"/>
        </w:rPr>
      </w:pPr>
    </w:p>
    <w:p>
      <w:pPr>
        <w:ind w:left="1960" w:hanging="773"/>
        <w:spacing w:after="0"/>
        <w:tabs>
          <w:tab w:leader="none" w:pos="1960" w:val="left"/>
        </w:tabs>
        <w:numPr>
          <w:ilvl w:val="2"/>
          <w:numId w:val="32"/>
        </w:numPr>
        <w:rPr>
          <w:rFonts w:ascii="Arial" w:cs="Arial" w:eastAsia="Arial" w:hAnsi="Arial"/>
          <w:sz w:val="18"/>
          <w:szCs w:val="18"/>
          <w:color w:val="auto"/>
        </w:rPr>
      </w:pPr>
      <w:r>
        <w:rPr>
          <w:rFonts w:ascii="Arial" w:cs="Arial" w:eastAsia="Arial" w:hAnsi="Arial"/>
          <w:sz w:val="18"/>
          <w:szCs w:val="18"/>
          <w:i w:val="1"/>
          <w:iCs w:val="1"/>
          <w:color w:val="auto"/>
        </w:rPr>
        <w:t>Commitment Amount</w:t>
      </w:r>
      <w:r>
        <w:rPr>
          <w:rFonts w:ascii="Arial" w:cs="Arial" w:eastAsia="Arial" w:hAnsi="Arial"/>
          <w:sz w:val="18"/>
          <w:szCs w:val="18"/>
          <w:color w:val="auto"/>
        </w:rPr>
        <w:t>. The aggregate amount to be Funded by the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Participants on the Document Closing Date does not exceed the Aggregate Commitment Amount.</w:t>
      </w:r>
    </w:p>
    <w:p>
      <w:pPr>
        <w:spacing w:after="0" w:line="225" w:lineRule="exact"/>
        <w:rPr>
          <w:sz w:val="20"/>
          <w:szCs w:val="20"/>
          <w:color w:val="auto"/>
        </w:rPr>
      </w:pPr>
    </w:p>
    <w:p>
      <w:pPr>
        <w:ind w:left="660" w:firstLine="476"/>
        <w:spacing w:after="0" w:line="286" w:lineRule="auto"/>
        <w:tabs>
          <w:tab w:leader="none" w:pos="1967"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Transaction Expenses</w:t>
      </w:r>
      <w:r>
        <w:rPr>
          <w:rFonts w:ascii="Arial" w:cs="Arial" w:eastAsia="Arial" w:hAnsi="Arial"/>
          <w:sz w:val="17"/>
          <w:szCs w:val="17"/>
          <w:color w:val="auto"/>
        </w:rPr>
        <w:t>. Lessee shall have paid or made arrangements to pay all applicable Transaction Expenses and other fees and</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required to be paid or reimbursed by the Lessee on the Document Closing Date pursuant to the Arranger Fee Letter (to the extent invoiced at least three (3) Business Days prior to the Document Closing Date (or such later date as the Lessee may reasonably agree)).</w:t>
      </w:r>
    </w:p>
    <w:p>
      <w:pPr>
        <w:spacing w:after="0" w:line="165" w:lineRule="exact"/>
        <w:rPr>
          <w:rFonts w:ascii="Arial" w:cs="Arial" w:eastAsia="Arial" w:hAnsi="Arial"/>
          <w:sz w:val="17"/>
          <w:szCs w:val="17"/>
          <w:color w:val="auto"/>
        </w:rPr>
      </w:pPr>
    </w:p>
    <w:p>
      <w:pPr>
        <w:ind w:left="660" w:right="60" w:firstLine="426"/>
        <w:spacing w:after="0" w:line="290" w:lineRule="auto"/>
        <w:tabs>
          <w:tab w:leader="none" w:pos="198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Authorization, Execution and Delivery of Documents</w:t>
      </w:r>
      <w:r>
        <w:rPr>
          <w:rFonts w:ascii="Arial" w:cs="Arial" w:eastAsia="Arial" w:hAnsi="Arial"/>
          <w:sz w:val="16"/>
          <w:szCs w:val="16"/>
          <w:color w:val="auto"/>
        </w:rPr>
        <w:t>. The Participation Agreement, the Guaranty, the Deed, the Assignment of</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Agreement, the Purchase Agreement, the Lease, the Memorandum of Lease, the Loan Agreement, the Notes, the Security Instruments and the Fee Letters shall have been duly authorized, executed and delivered by each of the other initial parties thereto, shall (to the extent the form and substance thereof shall not be prescribed hereby) be in form and substance satisfactory to each Participant and copies of an executed counterpart of each thereof (except for (i) the Notes, originals of which shall only be delivered to the applicable Lender and (ii) each Fee Letter, originals and copies of which shall only be delivered to the parties thereto) shall have been received by each of the Participants, the Administrative Agent and Lessor. Each Lender shall have received an original, duly executed Note registered in such Lender’s name. Each of the Operative Documents listed in this clause (xxviii) shall be in full force and effect as to all other initial parties thereto.</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All documents and instruments required to be delivered on the Document Closing Date shall be delivered at the offices of Chapman and Cutler LLP, 595 Market Street, Suite 2600, San Francisco, California 94105-2839, Attention: Vincent W. Pelleriti, Esq., or at such other location as may be determined by the Lessor and the Lessee.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[OMITTED]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w:t>
      </w:r>
    </w:p>
    <w:p>
      <w:pPr>
        <w:spacing w:after="0" w:line="211" w:lineRule="exact"/>
        <w:rPr>
          <w:sz w:val="20"/>
          <w:szCs w:val="20"/>
          <w:color w:val="auto"/>
        </w:rPr>
      </w:pPr>
    </w:p>
    <w:p>
      <w:pPr>
        <w:ind w:right="40" w:firstLine="690"/>
        <w:spacing w:after="0" w:line="264" w:lineRule="auto"/>
        <w:rPr>
          <w:sz w:val="20"/>
          <w:szCs w:val="20"/>
          <w:color w:val="auto"/>
        </w:rPr>
      </w:pPr>
      <w:r>
        <w:rPr>
          <w:rFonts w:ascii="Arial" w:cs="Arial" w:eastAsia="Arial" w:hAnsi="Arial"/>
          <w:sz w:val="18"/>
          <w:szCs w:val="18"/>
          <w:i w:val="1"/>
          <w:iCs w:val="1"/>
          <w:color w:val="auto"/>
        </w:rPr>
        <w:t>Section 8.1. Representations of the Participants</w:t>
      </w:r>
      <w:r>
        <w:rPr>
          <w:rFonts w:ascii="Arial" w:cs="Arial" w:eastAsia="Arial" w:hAnsi="Arial"/>
          <w:sz w:val="18"/>
          <w:szCs w:val="18"/>
          <w:color w:val="auto"/>
        </w:rPr>
        <w:t>. As of the Document Closing Date (or, if later, the date of its execution of an Assignment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 other joinder to this Participation Agreement), each Participant represents and warrants, severally and only as to itself, to the other Participants, the Administrative Agent, Lessee and the Guarantors that:</w:t>
      </w:r>
    </w:p>
    <w:p>
      <w:pPr>
        <w:spacing w:after="0" w:line="181" w:lineRule="exact"/>
        <w:rPr>
          <w:sz w:val="20"/>
          <w:szCs w:val="20"/>
          <w:color w:val="auto"/>
        </w:rPr>
      </w:pPr>
    </w:p>
    <w:p>
      <w:pPr>
        <w:ind w:left="660" w:right="300" w:firstLine="762"/>
        <w:spacing w:after="0" w:line="277" w:lineRule="auto"/>
        <w:tabs>
          <w:tab w:leader="none" w:pos="195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Power and Authority</w:t>
      </w:r>
      <w:r>
        <w:rPr>
          <w:rFonts w:ascii="Arial" w:cs="Arial" w:eastAsia="Arial" w:hAnsi="Arial"/>
          <w:sz w:val="18"/>
          <w:szCs w:val="18"/>
          <w:color w:val="auto"/>
        </w:rPr>
        <w:t>. Such Participant has the requisite power and authority to enter into and perform its obligations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Operative Documents to which it is a party.</w:t>
      </w:r>
    </w:p>
    <w:p>
      <w:pPr>
        <w:spacing w:after="0" w:line="170" w:lineRule="exact"/>
        <w:rPr>
          <w:rFonts w:ascii="Arial" w:cs="Arial" w:eastAsia="Arial" w:hAnsi="Arial"/>
          <w:sz w:val="18"/>
          <w:szCs w:val="18"/>
          <w:color w:val="auto"/>
        </w:rPr>
      </w:pPr>
    </w:p>
    <w:p>
      <w:pPr>
        <w:ind w:left="5620" w:right="60" w:hanging="4198"/>
        <w:spacing w:after="0" w:line="528" w:lineRule="auto"/>
        <w:tabs>
          <w:tab w:leader="none" w:pos="1952"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Lessor Liens</w:t>
      </w:r>
      <w:r>
        <w:rPr>
          <w:rFonts w:ascii="Arial" w:cs="Arial" w:eastAsia="Arial" w:hAnsi="Arial"/>
          <w:sz w:val="18"/>
          <w:szCs w:val="18"/>
          <w:color w:val="auto"/>
        </w:rPr>
        <w:t>. There are no Lessor Liens attributable to such Participant on the Lease, the Leased Property or any other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19</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660" w:right="180" w:firstLine="762"/>
        <w:spacing w:after="0" w:line="277" w:lineRule="auto"/>
        <w:tabs>
          <w:tab w:leader="none" w:pos="1963"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Organization, etc</w:t>
      </w:r>
      <w:r>
        <w:rPr>
          <w:rFonts w:ascii="Arial" w:cs="Arial" w:eastAsia="Arial" w:hAnsi="Arial"/>
          <w:sz w:val="18"/>
          <w:szCs w:val="18"/>
          <w:color w:val="auto"/>
        </w:rPr>
        <w:t>. Such Participant is a corporation, banking association, limited liability company or other organization validly</w:t>
      </w:r>
      <w:r>
        <w:rPr>
          <w:rFonts w:ascii="Arial" w:cs="Arial" w:eastAsia="Arial" w:hAnsi="Arial"/>
          <w:sz w:val="18"/>
          <w:szCs w:val="18"/>
          <w:i w:val="1"/>
          <w:iCs w:val="1"/>
          <w:color w:val="auto"/>
        </w:rPr>
        <w:t xml:space="preserve"> </w:t>
      </w:r>
      <w:r>
        <w:rPr>
          <w:rFonts w:ascii="Arial" w:cs="Arial" w:eastAsia="Arial" w:hAnsi="Arial"/>
          <w:sz w:val="18"/>
          <w:szCs w:val="18"/>
          <w:color w:val="auto"/>
        </w:rPr>
        <w:t>organized and existing and in good standing under the laws of the State or jurisdiction of its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15" w:name="page16"/>
    <w:bookmarkEnd w:id="15"/>
    <w:p>
      <w:pPr>
        <w:spacing w:after="0" w:line="103" w:lineRule="exact"/>
        <w:rPr>
          <w:sz w:val="20"/>
          <w:szCs w:val="20"/>
          <w:color w:val="auto"/>
        </w:rPr>
      </w:pPr>
    </w:p>
    <w:p>
      <w:pPr>
        <w:ind w:left="660" w:right="160" w:firstLine="762"/>
        <w:spacing w:after="0" w:line="264" w:lineRule="auto"/>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 xml:space="preserve">ERISA. </w:t>
      </w:r>
      <w:r>
        <w:rPr>
          <w:rFonts w:ascii="Arial" w:cs="Arial" w:eastAsia="Arial" w:hAnsi="Arial"/>
          <w:sz w:val="18"/>
          <w:szCs w:val="18"/>
          <w:color w:val="auto"/>
        </w:rPr>
        <w:t>Such Participant is not and will not be making its Advances hereunder, and is not performing its obligations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Operative Documents, with the assets of an “employee benefit plan” (as defined in Section 3(3) of ERISA), which is subject to Title I of ERISA or “plan” (as defined in Section 4975(e)(1) of the Code).</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making of the Loan or the advancing of Lessor Amount by a Participant on the Document Closing Date shall constitute an affirmation by such Participant of the preceding representations and warranties.</w:t>
      </w:r>
    </w:p>
    <w:p>
      <w:pPr>
        <w:spacing w:after="0" w:line="170" w:lineRule="exact"/>
        <w:rPr>
          <w:sz w:val="20"/>
          <w:szCs w:val="20"/>
          <w:color w:val="auto"/>
        </w:rPr>
      </w:pPr>
    </w:p>
    <w:p>
      <w:pPr>
        <w:ind w:right="420" w:firstLine="690"/>
        <w:spacing w:after="0" w:line="277" w:lineRule="auto"/>
        <w:rPr>
          <w:sz w:val="20"/>
          <w:szCs w:val="20"/>
          <w:color w:val="auto"/>
        </w:rPr>
      </w:pPr>
      <w:r>
        <w:rPr>
          <w:rFonts w:ascii="Arial" w:cs="Arial" w:eastAsia="Arial" w:hAnsi="Arial"/>
          <w:sz w:val="18"/>
          <w:szCs w:val="18"/>
          <w:i w:val="1"/>
          <w:iCs w:val="1"/>
          <w:color w:val="auto"/>
        </w:rPr>
        <w:t>Section 8.2. Representations of Lessee</w:t>
      </w:r>
      <w:r>
        <w:rPr>
          <w:rFonts w:ascii="Arial" w:cs="Arial" w:eastAsia="Arial" w:hAnsi="Arial"/>
          <w:sz w:val="18"/>
          <w:szCs w:val="18"/>
          <w:color w:val="auto"/>
        </w:rPr>
        <w:t>. Lessee, on behalf of itself and its Subsidiaries, represents and warrants to each of the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hereto as of the Document Closing Date, other than with respect Disclosed Matters, that:</w:t>
      </w:r>
    </w:p>
    <w:p>
      <w:pPr>
        <w:spacing w:after="0" w:line="170" w:lineRule="exact"/>
        <w:rPr>
          <w:sz w:val="20"/>
          <w:szCs w:val="20"/>
          <w:color w:val="auto"/>
        </w:rPr>
      </w:pPr>
    </w:p>
    <w:p>
      <w:pPr>
        <w:ind w:right="20" w:firstLine="664"/>
        <w:spacing w:after="0" w:line="276" w:lineRule="auto"/>
        <w:tabs>
          <w:tab w:leader="none" w:pos="901" w:val="left"/>
        </w:tabs>
        <w:numPr>
          <w:ilvl w:val="1"/>
          <w:numId w:val="36"/>
        </w:numPr>
        <w:rPr>
          <w:rFonts w:ascii="Arial" w:cs="Arial" w:eastAsia="Arial" w:hAnsi="Arial"/>
          <w:sz w:val="17"/>
          <w:szCs w:val="17"/>
          <w:color w:val="auto"/>
        </w:rPr>
      </w:pPr>
      <w:r>
        <w:rPr>
          <w:rFonts w:ascii="Arial" w:cs="Arial" w:eastAsia="Arial" w:hAnsi="Arial"/>
          <w:sz w:val="17"/>
          <w:szCs w:val="17"/>
          <w:i w:val="1"/>
          <w:iCs w:val="1"/>
          <w:color w:val="auto"/>
        </w:rPr>
        <w:t>Organization; Powers</w:t>
      </w:r>
      <w:r>
        <w:rPr>
          <w:rFonts w:ascii="Arial" w:cs="Arial" w:eastAsia="Arial" w:hAnsi="Arial"/>
          <w:sz w:val="17"/>
          <w:szCs w:val="17"/>
          <w:color w:val="auto"/>
        </w:rPr>
        <w:t>. Each of the Lessee and its Material Subsidiaries is duly organized or incorporated, as the case may be, validly existing</w:t>
      </w:r>
      <w:r>
        <w:rPr>
          <w:rFonts w:ascii="Arial" w:cs="Arial" w:eastAsia="Arial" w:hAnsi="Arial"/>
          <w:sz w:val="17"/>
          <w:szCs w:val="17"/>
          <w:i w:val="1"/>
          <w:iCs w:val="1"/>
          <w:color w:val="auto"/>
        </w:rPr>
        <w:t xml:space="preserve"> </w:t>
      </w:r>
      <w:r>
        <w:rPr>
          <w:rFonts w:ascii="Arial" w:cs="Arial" w:eastAsia="Arial" w:hAnsi="Arial"/>
          <w:sz w:val="17"/>
          <w:szCs w:val="17"/>
          <w:color w:val="auto"/>
        </w:rPr>
        <w:t>and in good standing (to the extent the concept is applicable in such jurisdiction) under the laws of the jurisdiction of its organization, has all requisite organizational power and authority to carry on its business as now conducted and, except where the failure to do so could not reasonably be expected to result in a Material Adverse Effect, is qualified to do business in, and (to the extent the concept is applicable in such jurisdiction) is in good standing in, every jurisdiction where its ownership, lease or operation of properties or the conduct of its business requires such qualification.</w:t>
      </w:r>
    </w:p>
    <w:p>
      <w:pPr>
        <w:spacing w:after="0" w:line="172" w:lineRule="exact"/>
        <w:rPr>
          <w:rFonts w:ascii="Arial" w:cs="Arial" w:eastAsia="Arial" w:hAnsi="Arial"/>
          <w:sz w:val="17"/>
          <w:szCs w:val="17"/>
          <w:color w:val="auto"/>
        </w:rPr>
      </w:pPr>
    </w:p>
    <w:p>
      <w:pPr>
        <w:jc w:val="both"/>
        <w:ind w:right="60" w:firstLine="1322"/>
        <w:spacing w:after="0" w:line="286" w:lineRule="auto"/>
        <w:tabs>
          <w:tab w:leader="none" w:pos="1956" w:val="left"/>
        </w:tabs>
        <w:numPr>
          <w:ilvl w:val="2"/>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Authorization; Enforceability. </w:t>
      </w:r>
      <w:r>
        <w:rPr>
          <w:rFonts w:ascii="Arial" w:cs="Arial" w:eastAsia="Arial" w:hAnsi="Arial"/>
          <w:sz w:val="16"/>
          <w:szCs w:val="16"/>
          <w:color w:val="auto"/>
        </w:rPr>
        <w:t>The Operative Documents to which the Lessee is a party are within Lessee’s organizational powers</w:t>
      </w:r>
      <w:r>
        <w:rPr>
          <w:rFonts w:ascii="Arial" w:cs="Arial" w:eastAsia="Arial" w:hAnsi="Arial"/>
          <w:sz w:val="16"/>
          <w:szCs w:val="16"/>
          <w:i w:val="1"/>
          <w:iCs w:val="1"/>
          <w:color w:val="auto"/>
        </w:rPr>
        <w:t xml:space="preserve"> </w:t>
      </w:r>
      <w:r>
        <w:rPr>
          <w:rFonts w:ascii="Arial" w:cs="Arial" w:eastAsia="Arial" w:hAnsi="Arial"/>
          <w:sz w:val="16"/>
          <w:szCs w:val="16"/>
          <w:color w:val="auto"/>
        </w:rPr>
        <w:t>and have been duly authorized by all necessary organizational actions and, if required, actions by equity holders. The Operative Documents to which Lessee is a party have been duly executed and delivered by Lessee and constitute a legal, valid and binding obligation of Lessee, enforceable in accordance with its terms, subject to (i) applicable bankruptcy, insolvency, examinership, reorganization, moratorium or other laws affecting creditors’ rights generally,</w:t>
      </w:r>
    </w:p>
    <w:p>
      <w:pPr>
        <w:spacing w:after="0" w:line="1" w:lineRule="exact"/>
        <w:rPr>
          <w:rFonts w:ascii="Arial" w:cs="Arial" w:eastAsia="Arial" w:hAnsi="Arial"/>
          <w:sz w:val="16"/>
          <w:szCs w:val="16"/>
          <w:color w:val="auto"/>
        </w:rPr>
      </w:pPr>
    </w:p>
    <w:p>
      <w:pPr>
        <w:ind w:right="140" w:firstLine="8"/>
        <w:spacing w:after="0" w:line="261" w:lineRule="auto"/>
        <w:tabs>
          <w:tab w:leader="none" w:pos="2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principles of equity, regardless of whether considered in a proceeding in equity or at law and (iii) requirements of reasonableness, good faith and fair dealing.</w:t>
      </w:r>
    </w:p>
    <w:p>
      <w:pPr>
        <w:spacing w:after="0" w:line="183" w:lineRule="exact"/>
        <w:rPr>
          <w:rFonts w:ascii="Arial" w:cs="Arial" w:eastAsia="Arial" w:hAnsi="Arial"/>
          <w:sz w:val="18"/>
          <w:szCs w:val="18"/>
          <w:color w:val="auto"/>
        </w:rPr>
      </w:pPr>
    </w:p>
    <w:p>
      <w:pPr>
        <w:ind w:right="80" w:firstLine="1338"/>
        <w:spacing w:after="0" w:line="252" w:lineRule="auto"/>
        <w:tabs>
          <w:tab w:leader="none" w:pos="1961" w:val="left"/>
        </w:tabs>
        <w:numPr>
          <w:ilvl w:val="2"/>
          <w:numId w:val="37"/>
        </w:numPr>
        <w:rPr>
          <w:rFonts w:ascii="Arial" w:cs="Arial" w:eastAsia="Arial" w:hAnsi="Arial"/>
          <w:sz w:val="18"/>
          <w:szCs w:val="18"/>
          <w:color w:val="auto"/>
        </w:rPr>
      </w:pPr>
      <w:r>
        <w:rPr>
          <w:rFonts w:ascii="Arial" w:cs="Arial" w:eastAsia="Arial" w:hAnsi="Arial"/>
          <w:sz w:val="18"/>
          <w:szCs w:val="18"/>
          <w:i w:val="1"/>
          <w:iCs w:val="1"/>
          <w:color w:val="auto"/>
        </w:rPr>
        <w:t>Governmental Approvals; No Conflicts</w:t>
      </w:r>
      <w:r>
        <w:rPr>
          <w:rFonts w:ascii="Arial" w:cs="Arial" w:eastAsia="Arial" w:hAnsi="Arial"/>
          <w:sz w:val="18"/>
          <w:szCs w:val="18"/>
          <w:color w:val="auto"/>
        </w:rPr>
        <w:t>. The execution, delivery and performance by the Lessee of the Operative Documents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Lessee is a party (i) do not require any consent or approval of, registration or filing with, or any other action by, any Governmental Authority, except such as have been, or will be by the time required, obtained or made and are, or will be by the time required, in full force and effect, (ii) will not violate in any material respect any applicable material law or regulation or the charter, by-laws or other organizational documents of Lessee or any material order of any Governmental Authority binding upon Lessee or its assets, (iii) will not violate in any material respect or result in a default under any indenture, material agreement or other material instrument binding upon the Lessee or its assets, or give rise to a right thereunder to require any payment to be made by the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Lessee, except, in the case of this clause (iii), for any such violations, defaults or rights that could not reasonably be expected to result in a Material Adverse Effect, and (iv) will not result in the creation or imposition of any Lien on any asset of the Lessee, other than Permitted Liens and requirements (if any) to provide cash collateral or deposits under any of the Operative Documents.</w:t>
      </w:r>
    </w:p>
    <w:p>
      <w:pPr>
        <w:spacing w:after="0" w:line="181" w:lineRule="exact"/>
        <w:rPr>
          <w:sz w:val="20"/>
          <w:szCs w:val="20"/>
          <w:color w:val="auto"/>
        </w:rPr>
      </w:pPr>
    </w:p>
    <w:p>
      <w:pPr>
        <w:jc w:val="both"/>
        <w:ind w:right="140" w:firstLine="1322"/>
        <w:spacing w:after="0" w:line="288" w:lineRule="auto"/>
        <w:tabs>
          <w:tab w:leader="none" w:pos="1956"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Location of Chief Executive Office and Principal Place of Business, etc</w:t>
      </w:r>
      <w:r>
        <w:rPr>
          <w:rFonts w:ascii="Arial" w:cs="Arial" w:eastAsia="Arial" w:hAnsi="Arial"/>
          <w:sz w:val="16"/>
          <w:szCs w:val="16"/>
          <w:color w:val="auto"/>
        </w:rPr>
        <w:t>. As of the Document Closing Date, (i) the “location” (as</w:t>
      </w:r>
      <w:r>
        <w:rPr>
          <w:rFonts w:ascii="Arial" w:cs="Arial" w:eastAsia="Arial" w:hAnsi="Arial"/>
          <w:sz w:val="16"/>
          <w:szCs w:val="16"/>
          <w:i w:val="1"/>
          <w:iCs w:val="1"/>
          <w:color w:val="auto"/>
        </w:rPr>
        <w:t xml:space="preserve"> </w:t>
      </w:r>
      <w:r>
        <w:rPr>
          <w:rFonts w:ascii="Arial" w:cs="Arial" w:eastAsia="Arial" w:hAnsi="Arial"/>
          <w:sz w:val="16"/>
          <w:szCs w:val="16"/>
          <w:color w:val="auto"/>
        </w:rPr>
        <w:t>such term is used in Section 9-307 of the Uniform Commercial Code) of the Lessee is the State of New York, (ii) the place where its records concerning the Leased Property and all documents relating to the Leased Property are kept is located in the towns of Mount Pleasant and Greenburgh, New York, and</w:t>
      </w:r>
    </w:p>
    <w:p>
      <w:pPr>
        <w:ind w:right="280" w:firstLine="8"/>
        <w:spacing w:after="0" w:line="261" w:lineRule="auto"/>
        <w:tabs>
          <w:tab w:leader="none" w:pos="3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Old Saw Mill Holdings LLC is its true legal name as registered in the jurisdiction of its organization, its federal employer identification number is 81-5162016.</w:t>
      </w:r>
    </w:p>
    <w:p>
      <w:pPr>
        <w:spacing w:after="0" w:line="184" w:lineRule="exact"/>
        <w:rPr>
          <w:sz w:val="20"/>
          <w:szCs w:val="20"/>
          <w:color w:val="auto"/>
        </w:rPr>
      </w:pPr>
    </w:p>
    <w:p>
      <w:pPr>
        <w:ind w:right="100" w:firstLine="690"/>
        <w:spacing w:after="0" w:line="264" w:lineRule="auto"/>
        <w:rPr>
          <w:sz w:val="20"/>
          <w:szCs w:val="20"/>
          <w:color w:val="auto"/>
        </w:rPr>
      </w:pPr>
      <w:r>
        <w:rPr>
          <w:rFonts w:ascii="Arial" w:cs="Arial" w:eastAsia="Arial" w:hAnsi="Arial"/>
          <w:sz w:val="18"/>
          <w:szCs w:val="18"/>
          <w:i w:val="1"/>
          <w:iCs w:val="1"/>
          <w:color w:val="auto"/>
        </w:rPr>
        <w:t>Section 8.3. Representations and Warranties of Administrative Agent</w:t>
      </w:r>
      <w:r>
        <w:rPr>
          <w:rFonts w:ascii="Arial" w:cs="Arial" w:eastAsia="Arial" w:hAnsi="Arial"/>
          <w:sz w:val="18"/>
          <w:szCs w:val="18"/>
          <w:color w:val="auto"/>
        </w:rPr>
        <w:t>. Bank of America, N.A., in its individual capacity and not in its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as Administrative Agent (with the exception of the last sentence of clause (b) below, which representation and warranty is made by Bank of America, N.A. solely in its capacity as Administrative Agent), hereby represents and warrants to each of the other parties hereto that:</w:t>
      </w:r>
    </w:p>
    <w:p>
      <w:pPr>
        <w:spacing w:after="0" w:line="181" w:lineRule="exact"/>
        <w:rPr>
          <w:sz w:val="20"/>
          <w:szCs w:val="20"/>
          <w:color w:val="auto"/>
        </w:rPr>
      </w:pPr>
    </w:p>
    <w:p>
      <w:pPr>
        <w:ind w:left="660" w:right="60" w:firstLine="762"/>
        <w:spacing w:after="0" w:line="277" w:lineRule="auto"/>
        <w:tabs>
          <w:tab w:leader="none" w:pos="195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Organization and Authority</w:t>
      </w:r>
      <w:r>
        <w:rPr>
          <w:rFonts w:ascii="Arial" w:cs="Arial" w:eastAsia="Arial" w:hAnsi="Arial"/>
          <w:sz w:val="18"/>
          <w:szCs w:val="18"/>
          <w:color w:val="auto"/>
        </w:rPr>
        <w:t>. It is duly organized as a national banking association under the laws of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and has the corporate power and authority to enter into and perform its obligations under the Operative Documents.</w:t>
      </w:r>
    </w:p>
    <w:p>
      <w:pPr>
        <w:spacing w:after="0" w:line="170" w:lineRule="exact"/>
        <w:rPr>
          <w:rFonts w:ascii="Arial" w:cs="Arial" w:eastAsia="Arial" w:hAnsi="Arial"/>
          <w:sz w:val="18"/>
          <w:szCs w:val="18"/>
          <w:color w:val="auto"/>
        </w:rPr>
      </w:pPr>
    </w:p>
    <w:p>
      <w:pPr>
        <w:ind w:left="660" w:right="20" w:firstLine="762"/>
        <w:spacing w:after="0" w:line="255" w:lineRule="auto"/>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Authorization; Binding Effect</w:t>
      </w:r>
      <w:r>
        <w:rPr>
          <w:rFonts w:ascii="Arial" w:cs="Arial" w:eastAsia="Arial" w:hAnsi="Arial"/>
          <w:sz w:val="18"/>
          <w:szCs w:val="18"/>
          <w:color w:val="auto"/>
        </w:rPr>
        <w:t>. The Operative Documents to which Administrative Agent is or will be a party have been or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on the date required to be delivered hereby, duly authorized, executed and delivered by the Administrative Agent. This Participation Agreement is, and each such other Operative Documents is, or, when so executed and delivered by the Administrative Agent will be, valid, legal and binding obligation of the Administrative Agent, enforceable against the Administrative Agent in accordance with their respective terms, except as enforcement may be limited by bankruptcy, insolvency, reorganization, moratorium or other similar laws affecting the enforcement of creditors’ rights generally and by general principles of equity.</w:t>
      </w:r>
    </w:p>
    <w:p>
      <w:pPr>
        <w:spacing w:after="0" w:line="193" w:lineRule="exact"/>
        <w:rPr>
          <w:rFonts w:ascii="Arial" w:cs="Arial" w:eastAsia="Arial" w:hAnsi="Arial"/>
          <w:sz w:val="18"/>
          <w:szCs w:val="18"/>
          <w:color w:val="auto"/>
        </w:rPr>
      </w:pPr>
    </w:p>
    <w:p>
      <w:pPr>
        <w:ind w:left="660" w:firstLine="762"/>
        <w:spacing w:after="0" w:line="254" w:lineRule="auto"/>
        <w:tabs>
          <w:tab w:leader="none" w:pos="1963"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Non-Contravention</w:t>
      </w:r>
      <w:r>
        <w:rPr>
          <w:rFonts w:ascii="Arial" w:cs="Arial" w:eastAsia="Arial" w:hAnsi="Arial"/>
          <w:sz w:val="18"/>
          <w:szCs w:val="18"/>
          <w:color w:val="auto"/>
        </w:rPr>
        <w:t>. Neither the execution and delivery by the Administrative Agent of the Operative Documents to which it is or</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a party, either in its individual capacity, or as Administrative Agent, or both, nor compliance with the terms and provisions thereof, conflicts with, results in a breach of, constitutes a default under (with or without the giving of notice or lapse of time or both), or violates any of the terms, conditions or provisions of: (i) its charter documents or bylaws; (ii) any bond, debenture, note, mortgage, indenture, agreement, lease or other instrument to which it is now a party or by which it or its property, either in its individual capacity, or as Administrative Agent, or both, is bound or affected, where such conflict, breach, default or violation would be reasonably likely to materially and adversely affect the ability of the Administrative Agent, either in its individual capacity, or as Administrative Agent, or both, to perform its obligations under any Operative Document to which it is or will be 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97" w:lineRule="auto"/>
        <w:rPr>
          <w:sz w:val="20"/>
          <w:szCs w:val="20"/>
          <w:color w:val="auto"/>
        </w:rPr>
      </w:pPr>
      <w:r>
        <w:rPr>
          <w:rFonts w:ascii="Arial" w:cs="Arial" w:eastAsia="Arial" w:hAnsi="Arial"/>
          <w:sz w:val="16"/>
          <w:szCs w:val="16"/>
          <w:color w:val="auto"/>
        </w:rPr>
        <w:t>party, either in its individual capacity, or as Administrative Agent, or both; or (iii) any of the terms, conditions or provisions of any law, rule, regulation, order, injunction or decree of any Governmental Authority or any of the terms, conditions or provisions of any law, rule, regulation, order, injunction or decree of any Governmental Authority applicable to it in its individual capacity or as Administrative Agent, or both, where such conflict, breach, default or violation would be reasonably likely to materially and adversely affect the ability of the Administrative Agent, either in its individual capacity, or as Administrative Agent, or both, to perform its obligations under any Operative Document to which it is or will be a party.</w:t>
      </w:r>
    </w:p>
    <w:p>
      <w:pPr>
        <w:sectPr>
          <w:pgSz w:w="11900" w:h="16941" w:orient="portrait"/>
          <w:cols w:equalWidth="0" w:num="1">
            <w:col w:w="11400"/>
          </w:cols>
          <w:pgMar w:left="240" w:top="125" w:right="259" w:bottom="0" w:gutter="0" w:footer="0" w:header="0"/>
        </w:sectPr>
      </w:pPr>
    </w:p>
    <w:bookmarkStart w:id="16" w:name="page17"/>
    <w:bookmarkEnd w:id="16"/>
    <w:p>
      <w:pPr>
        <w:ind w:left="660" w:right="120" w:firstLine="762"/>
        <w:spacing w:after="0" w:line="264" w:lineRule="auto"/>
        <w:tabs>
          <w:tab w:leader="none" w:pos="19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Absence of Litigation, etc</w:t>
      </w:r>
      <w:r>
        <w:rPr>
          <w:rFonts w:ascii="Arial" w:cs="Arial" w:eastAsia="Arial" w:hAnsi="Arial"/>
          <w:sz w:val="18"/>
          <w:szCs w:val="18"/>
          <w:color w:val="auto"/>
        </w:rPr>
        <w:t>. There is no litigation (including derivative actions), arbitration or governmental proceedings pending</w:t>
      </w:r>
      <w:r>
        <w:rPr>
          <w:rFonts w:ascii="Arial" w:cs="Arial" w:eastAsia="Arial" w:hAnsi="Arial"/>
          <w:sz w:val="18"/>
          <w:szCs w:val="18"/>
          <w:i w:val="1"/>
          <w:iCs w:val="1"/>
          <w:color w:val="auto"/>
        </w:rPr>
        <w:t xml:space="preserve"> </w:t>
      </w:r>
      <w:r>
        <w:rPr>
          <w:rFonts w:ascii="Arial" w:cs="Arial" w:eastAsia="Arial" w:hAnsi="Arial"/>
          <w:sz w:val="18"/>
          <w:szCs w:val="18"/>
          <w:color w:val="auto"/>
        </w:rPr>
        <w:t>or, to the best knowledge of the Administrative Agent, threatened against it which would be reasonably likely to adversely affect the Administrative Agent’s ability to perform its obligations under the Operative Documents to which it is or will be a party.</w:t>
      </w:r>
    </w:p>
    <w:p>
      <w:pPr>
        <w:spacing w:after="0" w:line="181" w:lineRule="exact"/>
        <w:rPr>
          <w:rFonts w:ascii="Arial" w:cs="Arial" w:eastAsia="Arial" w:hAnsi="Arial"/>
          <w:sz w:val="18"/>
          <w:szCs w:val="18"/>
          <w:color w:val="auto"/>
        </w:rPr>
      </w:pPr>
    </w:p>
    <w:p>
      <w:pPr>
        <w:ind w:left="660" w:right="20" w:firstLine="762"/>
        <w:spacing w:after="0" w:line="259" w:lineRule="auto"/>
        <w:tabs>
          <w:tab w:leader="none" w:pos="1963"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Governmental Actions</w:t>
      </w:r>
      <w:r>
        <w:rPr>
          <w:rFonts w:ascii="Arial" w:cs="Arial" w:eastAsia="Arial" w:hAnsi="Arial"/>
          <w:sz w:val="18"/>
          <w:szCs w:val="18"/>
          <w:color w:val="auto"/>
        </w:rPr>
        <w:t>. No action, consent or approval of, registration or filing with or any other action by any federal or</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Authority is or will be required by the Administrative Agent in connection with the Overall Transaction, except those which have been made or obtained or will be obtained on a timely basis in the ordinary course of the Administrative Agent’s business, and which are in full force and effect.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 OF LESSEE</w:t>
      </w:r>
    </w:p>
    <w:p>
      <w:pPr>
        <w:spacing w:after="0" w:line="211" w:lineRule="exact"/>
        <w:rPr>
          <w:sz w:val="20"/>
          <w:szCs w:val="20"/>
          <w:color w:val="auto"/>
        </w:rPr>
      </w:pPr>
    </w:p>
    <w:p>
      <w:pPr>
        <w:ind w:right="160" w:firstLine="690"/>
        <w:spacing w:after="0" w:line="272" w:lineRule="auto"/>
        <w:rPr>
          <w:sz w:val="20"/>
          <w:szCs w:val="20"/>
          <w:color w:val="auto"/>
        </w:rPr>
      </w:pPr>
      <w:r>
        <w:rPr>
          <w:rFonts w:ascii="Arial" w:cs="Arial" w:eastAsia="Arial" w:hAnsi="Arial"/>
          <w:sz w:val="17"/>
          <w:szCs w:val="17"/>
          <w:i w:val="1"/>
          <w:iCs w:val="1"/>
          <w:color w:val="auto"/>
        </w:rPr>
        <w:t>Section 9.1. Affirmative Covenants of Lessee regarding Existence and Conduct of Business</w:t>
      </w:r>
      <w:r>
        <w:rPr>
          <w:rFonts w:ascii="Arial" w:cs="Arial" w:eastAsia="Arial" w:hAnsi="Arial"/>
          <w:sz w:val="17"/>
          <w:szCs w:val="17"/>
          <w:color w:val="auto"/>
        </w:rPr>
        <w:t>. Until the Lease Balance has been paid in full,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Lessee shall (a) do or cause to be done all things necessary to preserve, renew and keep in full force and effect its legal existence and (b) take, or cause to be taken, all reasonable actions to preserve, renew and keep in full force and effect the rights, qualifications, licenses, permits, privileges, franchises, governmental authorizations and intellectual property rights material to the conduct of the business of the Lessee and its Subsidiaries taken as a whole and maintain all requisite authority to conduct its business in each jurisdiction in which its business is conducted, except, in the case of this clause (b), to the extent that failure to do so could not reasonably be expected to result in a Material Adverse Effect;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Section 9.1 shall not prohibit any merger, consolidation, disposition, liquidation, dissolution or other transaction permitted under Section 9.2.</w:t>
      </w:r>
    </w:p>
    <w:p>
      <w:pPr>
        <w:spacing w:after="0" w:line="178" w:lineRule="exact"/>
        <w:rPr>
          <w:sz w:val="20"/>
          <w:szCs w:val="20"/>
          <w:color w:val="auto"/>
        </w:rPr>
      </w:pPr>
    </w:p>
    <w:p>
      <w:pPr>
        <w:ind w:firstLine="690"/>
        <w:spacing w:after="0" w:line="257" w:lineRule="auto"/>
        <w:rPr>
          <w:sz w:val="20"/>
          <w:szCs w:val="20"/>
          <w:color w:val="auto"/>
        </w:rPr>
      </w:pPr>
      <w:r>
        <w:rPr>
          <w:rFonts w:ascii="Arial" w:cs="Arial" w:eastAsia="Arial" w:hAnsi="Arial"/>
          <w:sz w:val="18"/>
          <w:szCs w:val="18"/>
          <w:i w:val="1"/>
          <w:iCs w:val="1"/>
          <w:color w:val="auto"/>
        </w:rPr>
        <w:t xml:space="preserve">Section 9.2. Negative Covenants of Lessee regarding Fundamental Changes and Asset Sales. </w:t>
      </w:r>
      <w:r>
        <w:rPr>
          <w:rFonts w:ascii="Arial" w:cs="Arial" w:eastAsia="Arial" w:hAnsi="Arial"/>
          <w:sz w:val="18"/>
          <w:szCs w:val="18"/>
          <w:color w:val="auto"/>
        </w:rPr>
        <w:t>The Lessee covenants and agrees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that, until the Lease Balance has been paid in full, the Lessee will not merge into or consolidate with any other Person, or permit any other Person to merge into or consolidate with it, or sell, transfer, lease or otherwise dispose of (in one transaction or in a series of transactions, including pursuant to a Sale and Leaseback Transaction) all or substantially all of the assets of the Lessee (taken as a whole) (whether now owned or hereafter acquired), or liquidate or dissolve, except that: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338"/>
        <w:spacing w:after="0" w:line="259" w:lineRule="auto"/>
        <w:tabs>
          <w:tab w:leader="none" w:pos="19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if at the time thereof and immediately after giving effect thereto no Event of Default shall have occurred and be continuing, any Person (other than the Parent Guarantor or any of its Subsidiaries) may merge or consolidate with the Lessee;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merger or consolidation must result in the Lessee as the surviving entity (unless in connection therewith an Affiliate Transferee becomes the Lessee pursuant to Article VI of the Lease);</w:t>
      </w:r>
    </w:p>
    <w:p>
      <w:pPr>
        <w:spacing w:after="0" w:line="186" w:lineRule="exact"/>
        <w:rPr>
          <w:rFonts w:ascii="Arial" w:cs="Arial" w:eastAsia="Arial" w:hAnsi="Arial"/>
          <w:sz w:val="18"/>
          <w:szCs w:val="18"/>
          <w:color w:val="auto"/>
        </w:rPr>
      </w:pPr>
    </w:p>
    <w:p>
      <w:pPr>
        <w:ind w:right="580" w:firstLine="1322"/>
        <w:spacing w:after="0" w:line="264" w:lineRule="auto"/>
        <w:tabs>
          <w:tab w:leader="none" w:pos="1956"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Parent Guarantor or any of its Subsidiaries may merge or consolidate with the Lessee;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merger or consolidation must result in the Lessee as the surviving entity (unless in connection therewith an Affiliate Transferee becomes the Lessee pursuant to Article VI of the Lease);</w:t>
      </w:r>
    </w:p>
    <w:p>
      <w:pPr>
        <w:spacing w:after="0" w:line="181" w:lineRule="exact"/>
        <w:rPr>
          <w:rFonts w:ascii="Arial" w:cs="Arial" w:eastAsia="Arial" w:hAnsi="Arial"/>
          <w:sz w:val="18"/>
          <w:szCs w:val="18"/>
          <w:color w:val="auto"/>
        </w:rPr>
      </w:pPr>
    </w:p>
    <w:p>
      <w:pPr>
        <w:ind w:right="40" w:firstLine="1332"/>
        <w:spacing w:after="0" w:line="312" w:lineRule="auto"/>
        <w:tabs>
          <w:tab w:leader="none" w:pos="19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Lessee may enter into, terminate or modify leases, subleases, licenses and sublicenses of technology and other property (1) in the ordinary course of business (to the extent not prohibited by the Lease), (2) between or among the Parent Guarantor, the Lessee, any Subsidiary Guarantors and any of their Subsidiaries (or any combination thereof) (to the extent not prohibited by the Lease) or (3) as permitted by Article VI of the Lease;</w:t>
      </w:r>
    </w:p>
    <w:p>
      <w:pPr>
        <w:spacing w:after="0" w:line="146" w:lineRule="exact"/>
        <w:rPr>
          <w:rFonts w:ascii="Arial" w:cs="Arial" w:eastAsia="Arial" w:hAnsi="Arial"/>
          <w:sz w:val="16"/>
          <w:szCs w:val="16"/>
          <w:color w:val="auto"/>
        </w:rPr>
      </w:pPr>
    </w:p>
    <w:p>
      <w:pPr>
        <w:ind w:left="1960" w:hanging="628"/>
        <w:spacing w:after="0"/>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Lessee may incur Liens permitted under Section 9(b) of the Guaranty; and</w:t>
      </w:r>
    </w:p>
    <w:p>
      <w:pPr>
        <w:spacing w:after="0" w:line="225" w:lineRule="exact"/>
        <w:rPr>
          <w:rFonts w:ascii="Arial" w:cs="Arial" w:eastAsia="Arial" w:hAnsi="Arial"/>
          <w:sz w:val="18"/>
          <w:szCs w:val="18"/>
          <w:color w:val="auto"/>
        </w:rPr>
      </w:pPr>
    </w:p>
    <w:p>
      <w:pPr>
        <w:ind w:right="760" w:firstLine="1332"/>
        <w:spacing w:after="0" w:line="286" w:lineRule="auto"/>
        <w:tabs>
          <w:tab w:leader="none" w:pos="1955" w:val="left"/>
        </w:tabs>
        <w:numPr>
          <w:ilvl w:val="0"/>
          <w:numId w:val="42"/>
        </w:numPr>
        <w:rPr>
          <w:rFonts w:ascii="Arial" w:cs="Arial" w:eastAsia="Arial" w:hAnsi="Arial"/>
          <w:sz w:val="17"/>
          <w:szCs w:val="17"/>
          <w:color w:val="auto"/>
        </w:rPr>
      </w:pPr>
      <w:r>
        <w:rPr>
          <w:rFonts w:ascii="Arial" w:cs="Arial" w:eastAsia="Arial" w:hAnsi="Arial"/>
          <w:sz w:val="17"/>
          <w:szCs w:val="17"/>
          <w:color w:val="auto"/>
        </w:rPr>
        <w:t>with respect to any rights, title or interest of the Lessee in the Collateral and the Purchase Agreement, leases, subleases, assignments and other transfers pursuant to or permitted by the Operative Documents, including the assignment of certain rights under the Purchase Agreement (including the right to take title to the Facility) pursuant to the Assignment of Purchase Agreement.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COVENANTS AND AGREEMENTS</w:t>
      </w:r>
    </w:p>
    <w:p>
      <w:pPr>
        <w:spacing w:after="0" w:line="211" w:lineRule="exact"/>
        <w:rPr>
          <w:sz w:val="20"/>
          <w:szCs w:val="20"/>
          <w:color w:val="auto"/>
        </w:rPr>
      </w:pPr>
    </w:p>
    <w:p>
      <w:pPr>
        <w:ind w:right="240" w:firstLine="596"/>
        <w:spacing w:after="0" w:line="308" w:lineRule="auto"/>
        <w:rPr>
          <w:sz w:val="20"/>
          <w:szCs w:val="20"/>
          <w:color w:val="auto"/>
        </w:rPr>
      </w:pPr>
      <w:r>
        <w:rPr>
          <w:rFonts w:ascii="Arial" w:cs="Arial" w:eastAsia="Arial" w:hAnsi="Arial"/>
          <w:sz w:val="17"/>
          <w:szCs w:val="17"/>
          <w:i w:val="1"/>
          <w:iCs w:val="1"/>
          <w:color w:val="auto"/>
        </w:rPr>
        <w:t>Section 10.1. Covenants of the Administrative Agent and the Participants</w:t>
      </w:r>
      <w:r>
        <w:rPr>
          <w:rFonts w:ascii="Arial" w:cs="Arial" w:eastAsia="Arial" w:hAnsi="Arial"/>
          <w:sz w:val="17"/>
          <w:szCs w:val="17"/>
          <w:color w:val="auto"/>
        </w:rPr>
        <w:t>. (a)</w:t>
      </w:r>
      <w:r>
        <w:rPr>
          <w:rFonts w:ascii="Arial" w:cs="Arial" w:eastAsia="Arial" w:hAnsi="Arial"/>
          <w:sz w:val="17"/>
          <w:szCs w:val="17"/>
          <w:i w:val="1"/>
          <w:iCs w:val="1"/>
          <w:color w:val="auto"/>
        </w:rPr>
        <w:t xml:space="preserve"> Lessor Liens. </w:t>
      </w:r>
      <w:r>
        <w:rPr>
          <w:rFonts w:ascii="Arial" w:cs="Arial" w:eastAsia="Arial" w:hAnsi="Arial"/>
          <w:sz w:val="17"/>
          <w:szCs w:val="17"/>
          <w:color w:val="auto"/>
        </w:rPr>
        <w:t>Each of the Participants (severally and not jointly</w:t>
      </w:r>
      <w:r>
        <w:rPr>
          <w:rFonts w:ascii="Arial" w:cs="Arial" w:eastAsia="Arial" w:hAnsi="Arial"/>
          <w:sz w:val="17"/>
          <w:szCs w:val="17"/>
          <w:i w:val="1"/>
          <w:iCs w:val="1"/>
          <w:color w:val="auto"/>
        </w:rPr>
        <w:t xml:space="preserve"> </w:t>
      </w:r>
      <w:r>
        <w:rPr>
          <w:rFonts w:ascii="Arial" w:cs="Arial" w:eastAsia="Arial" w:hAnsi="Arial"/>
          <w:sz w:val="17"/>
          <w:szCs w:val="17"/>
          <w:color w:val="auto"/>
        </w:rPr>
        <w:t>with any other Participants), the Administrative Agent and Lessor hereby agrees that so long as this Participation Agreement is in effect it:</w:t>
      </w:r>
    </w:p>
    <w:p>
      <w:pPr>
        <w:spacing w:after="0" w:line="147" w:lineRule="exact"/>
        <w:rPr>
          <w:sz w:val="20"/>
          <w:szCs w:val="20"/>
          <w:color w:val="auto"/>
        </w:rPr>
      </w:pPr>
    </w:p>
    <w:p>
      <w:pPr>
        <w:ind w:left="660" w:right="320" w:firstLine="793"/>
        <w:spacing w:after="0" w:line="277" w:lineRule="auto"/>
        <w:tabs>
          <w:tab w:leader="none" w:pos="1978" w:val="left"/>
        </w:tabs>
        <w:numPr>
          <w:ilvl w:val="1"/>
          <w:numId w:val="43"/>
        </w:numPr>
        <w:rPr>
          <w:rFonts w:ascii="Arial" w:cs="Arial" w:eastAsia="Arial" w:hAnsi="Arial"/>
          <w:sz w:val="18"/>
          <w:szCs w:val="18"/>
          <w:color w:val="auto"/>
        </w:rPr>
      </w:pPr>
      <w:r>
        <w:rPr>
          <w:rFonts w:ascii="Arial" w:cs="Arial" w:eastAsia="Arial" w:hAnsi="Arial"/>
          <w:sz w:val="18"/>
          <w:szCs w:val="18"/>
          <w:color w:val="auto"/>
        </w:rPr>
        <w:t>will not create, incur, assume or suffer to exist a Lessor Lien attributable to it upon the Lease, the Leased Property or any other Collateral (other than as contemplated by any of the Operative Documents); and</w:t>
      </w:r>
    </w:p>
    <w:p>
      <w:pPr>
        <w:spacing w:after="0" w:line="170" w:lineRule="exact"/>
        <w:rPr>
          <w:rFonts w:ascii="Arial" w:cs="Arial" w:eastAsia="Arial" w:hAnsi="Arial"/>
          <w:sz w:val="18"/>
          <w:szCs w:val="18"/>
          <w:color w:val="auto"/>
        </w:rPr>
      </w:pPr>
    </w:p>
    <w:p>
      <w:pPr>
        <w:ind w:left="660" w:right="140" w:firstLine="753"/>
        <w:spacing w:after="0" w:line="259" w:lineRule="auto"/>
        <w:tabs>
          <w:tab w:leader="none" w:pos="1987"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will remove such Lessor Lien created or incurred by it and use its best efforts to remove Lessor Lien attributable to it assumed or suffered to exist by it upon the Lease, the Leased Property or any other Collateral (other than the Liens of the Security Instruments and such other Liens as are contemplated by any of the Operative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action taken pursuant to this clause (ii) shall not limit the Lessee’s rights or remedies under any of the Operative Documents.</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Loan Agreement</w:t>
      </w:r>
      <w:r>
        <w:rPr>
          <w:rFonts w:ascii="Arial" w:cs="Arial" w:eastAsia="Arial" w:hAnsi="Arial"/>
          <w:sz w:val="18"/>
          <w:szCs w:val="18"/>
          <w:color w:val="auto"/>
        </w:rPr>
        <w:t>. Lessor and each Participant hereby agree that, so long as the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45"/>
        <w:spacing w:after="0" w:line="297" w:lineRule="auto"/>
        <w:rPr>
          <w:sz w:val="20"/>
          <w:szCs w:val="20"/>
          <w:color w:val="auto"/>
        </w:rPr>
      </w:pPr>
      <w:r>
        <w:rPr>
          <w:rFonts w:ascii="Arial" w:cs="Arial" w:eastAsia="Arial" w:hAnsi="Arial"/>
          <w:sz w:val="16"/>
          <w:szCs w:val="16"/>
          <w:color w:val="auto"/>
        </w:rPr>
        <w:t>Lease is in effect, Lessor shall not consent to or permit any amendment, waiver or other modification of the terms and provisions of the Loan Agreement, any Security Instrument or any Note, whether or not any Event of Default shall have occurred and be continuing, if any such amendment, waiver, modification or action would have the effect of increasing the obligations of Lessee or any Guarantor or decreasing or otherwise adversely affecting the rights or remedies of Lessee or any Guarantor, in each case without the prior written consent of Lessee or such Guarantor, as applicable, except that without such consent, Lessor may waive performance by Administrative Agent of obligations to Lessor, the non-performance of which does not adversely affect Lessee or any Guarantor.</w:t>
      </w:r>
    </w:p>
    <w:p>
      <w:pPr>
        <w:sectPr>
          <w:pgSz w:w="11900" w:h="16838" w:orient="portrait"/>
          <w:cols w:equalWidth="0" w:num="1">
            <w:col w:w="11420"/>
          </w:cols>
          <w:pgMar w:left="240" w:top="341" w:right="239" w:bottom="0" w:gutter="0" w:footer="0" w:header="0"/>
        </w:sectPr>
      </w:pPr>
    </w:p>
    <w:bookmarkStart w:id="17" w:name="page18"/>
    <w:bookmarkEnd w:id="17"/>
    <w:p>
      <w:pPr>
        <w:ind w:right="760" w:firstLine="656"/>
        <w:spacing w:after="0" w:line="277" w:lineRule="auto"/>
        <w:tabs>
          <w:tab w:leader="none" w:pos="1307"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Acceptance of Provisions of Lease</w:t>
      </w:r>
      <w:r>
        <w:rPr>
          <w:rFonts w:ascii="Arial" w:cs="Arial" w:eastAsia="Arial" w:hAnsi="Arial"/>
          <w:sz w:val="18"/>
          <w:szCs w:val="18"/>
          <w:color w:val="auto"/>
        </w:rPr>
        <w:t>. The Participants and the Administrative Agent hereby acknowledge and accept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of the Lease, including Sections 15.2, 19.1, 19.2 and 20.1 of the Lease.</w:t>
      </w:r>
    </w:p>
    <w:p>
      <w:pPr>
        <w:spacing w:after="0" w:line="170" w:lineRule="exact"/>
        <w:rPr>
          <w:rFonts w:ascii="Arial" w:cs="Arial" w:eastAsia="Arial" w:hAnsi="Arial"/>
          <w:sz w:val="18"/>
          <w:szCs w:val="18"/>
          <w:color w:val="auto"/>
        </w:rPr>
      </w:pPr>
    </w:p>
    <w:p>
      <w:pPr>
        <w:ind w:right="80" w:firstLine="643"/>
        <w:spacing w:after="0" w:line="271" w:lineRule="auto"/>
        <w:tabs>
          <w:tab w:leader="none" w:pos="1304"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Depreciation</w:t>
      </w:r>
      <w:r>
        <w:rPr>
          <w:rFonts w:ascii="Arial" w:cs="Arial" w:eastAsia="Arial" w:hAnsi="Arial"/>
          <w:sz w:val="17"/>
          <w:szCs w:val="17"/>
          <w:color w:val="auto"/>
        </w:rPr>
        <w:t>. With respect to each taxable year or portion thereof that includes the Document Closing Date and ends on or prior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Expiration Date except following an Event of Default and foreclosure, Lessor and each other Participant agrees that it shall not claim any federal, state or local tax attributes or benefits (including depreciation) relating to the Leased Property or otherwise claim ownership of the Leased Property for federal, state or local tax purposes unless required to do so by an appropriate taxing authority or after a clearly applicable change in Applicable Laws or as a protective response to a proposed adjustment by a Governmental Authority;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Lessor or any Participant claims or intends to claim any such federal, state or local tax attributes or benefits or if it proposes to claim any such federal, state or local tax attributes or benefits as a protective response, such Person shall promptly notify Lessee thereof and shall permit Lessee to contest such requirement in a manner similar to the contest rights provided in, and subject to any applicable limitation to a contest contained in, Section 13.4(b).</w:t>
      </w:r>
    </w:p>
    <w:p>
      <w:pPr>
        <w:spacing w:after="0" w:line="178" w:lineRule="exact"/>
        <w:rPr>
          <w:rFonts w:ascii="Arial" w:cs="Arial" w:eastAsia="Arial" w:hAnsi="Arial"/>
          <w:sz w:val="17"/>
          <w:szCs w:val="17"/>
          <w:color w:val="auto"/>
        </w:rPr>
      </w:pPr>
    </w:p>
    <w:p>
      <w:pPr>
        <w:ind w:right="20" w:firstLine="656"/>
        <w:spacing w:after="0" w:line="272" w:lineRule="auto"/>
        <w:tabs>
          <w:tab w:leader="none" w:pos="1307"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Right of Set-Off</w:t>
      </w:r>
      <w:r>
        <w:rPr>
          <w:rFonts w:ascii="Arial" w:cs="Arial" w:eastAsia="Arial" w:hAnsi="Arial"/>
          <w:sz w:val="17"/>
          <w:szCs w:val="17"/>
          <w:color w:val="auto"/>
        </w:rPr>
        <w:t>. Each of the Participants, the Lessor and the Administrative Agent, in its individual capacity, and each of Lessee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Guarantors covenants as to itself, not jointly with any other Person, that it shall not exercise, or attempt to exercise, any right of setoff, banker’s lien, or the like, against any deposit account or property of any Guarantor or Lessee, or any of their Affiliates held or maintained by such Person without the prior written consent of the Administrative Agent, which shall base its decision to grant such consent solely upon a determination, upon the advice of the Administrative Agent’s counsel, that such exercise shall not adversely affect the right of any other Participant to resort to any other right or remedy as a result of the application of state law relating to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to the contrary in any Operative Document, no such rights shall be exercised unless an Event of Default has occurred and is continuing.</w:t>
      </w:r>
    </w:p>
    <w:p>
      <w:pPr>
        <w:spacing w:after="0" w:line="177" w:lineRule="exact"/>
        <w:rPr>
          <w:rFonts w:ascii="Arial" w:cs="Arial" w:eastAsia="Arial" w:hAnsi="Arial"/>
          <w:sz w:val="17"/>
          <w:szCs w:val="17"/>
          <w:color w:val="auto"/>
        </w:rPr>
      </w:pPr>
    </w:p>
    <w:p>
      <w:pPr>
        <w:ind w:right="60" w:firstLine="670"/>
        <w:spacing w:after="0" w:line="279" w:lineRule="auto"/>
        <w:tabs>
          <w:tab w:leader="none" w:pos="1301"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Release of Documents</w:t>
      </w:r>
      <w:r>
        <w:rPr>
          <w:rFonts w:ascii="Arial" w:cs="Arial" w:eastAsia="Arial" w:hAnsi="Arial"/>
          <w:sz w:val="17"/>
          <w:szCs w:val="17"/>
          <w:color w:val="auto"/>
        </w:rPr>
        <w:t>. The Administrative Agent hereby agrees that, upon repayment in full of all Loans and Lessor Amount and all other</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due and owing from Lessee under the Operative Documents to Administrative Agent and the Participants, the Administrative Agent shall, at Lessee’s sole cost and expense, execute and deliver to the Lessee a bill of sale, release of any Security Instrument, releases of all other Liens created by the Operative Documents and termination statements for any financing statements relating to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Leased Property or any of the Collateral which are then of record naming the Administrative Agent as secured party or assignee thereof.</w:t>
      </w:r>
    </w:p>
    <w:p>
      <w:pPr>
        <w:spacing w:after="0" w:line="225" w:lineRule="exact"/>
        <w:rPr>
          <w:sz w:val="20"/>
          <w:szCs w:val="20"/>
          <w:color w:val="auto"/>
        </w:rPr>
      </w:pPr>
    </w:p>
    <w:p>
      <w:pPr>
        <w:ind w:right="40" w:firstLine="643"/>
        <w:spacing w:after="0" w:line="264" w:lineRule="auto"/>
        <w:tabs>
          <w:tab w:leader="none" w:pos="1317"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Release of Liens</w:t>
      </w:r>
      <w:r>
        <w:rPr>
          <w:rFonts w:ascii="Arial" w:cs="Arial" w:eastAsia="Arial" w:hAnsi="Arial"/>
          <w:sz w:val="18"/>
          <w:szCs w:val="18"/>
          <w:color w:val="auto"/>
        </w:rPr>
        <w:t>. Administrative Agent hereby agrees with Lessee (so long as no Event of Default shall have occurred and be continuing),</w:t>
      </w:r>
      <w:r>
        <w:rPr>
          <w:rFonts w:ascii="Arial" w:cs="Arial" w:eastAsia="Arial" w:hAnsi="Arial"/>
          <w:sz w:val="18"/>
          <w:szCs w:val="18"/>
          <w:i w:val="1"/>
          <w:iCs w:val="1"/>
          <w:color w:val="auto"/>
        </w:rPr>
        <w:t xml:space="preserve"> </w:t>
      </w:r>
      <w:r>
        <w:rPr>
          <w:rFonts w:ascii="Arial" w:cs="Arial" w:eastAsia="Arial" w:hAnsi="Arial"/>
          <w:sz w:val="18"/>
          <w:szCs w:val="18"/>
          <w:color w:val="auto"/>
        </w:rPr>
        <w:t>the Lenders and Administrative Agent, except as otherwise expressly authorized or otherwise permitted under any of the Operative Documents, not to release the Lien of any of the Security Instruments on the Collateral.</w:t>
      </w:r>
    </w:p>
    <w:p>
      <w:pPr>
        <w:spacing w:after="0" w:line="181" w:lineRule="exact"/>
        <w:rPr>
          <w:rFonts w:ascii="Arial" w:cs="Arial" w:eastAsia="Arial" w:hAnsi="Arial"/>
          <w:sz w:val="18"/>
          <w:szCs w:val="18"/>
          <w:color w:val="auto"/>
        </w:rPr>
      </w:pPr>
    </w:p>
    <w:p>
      <w:pPr>
        <w:ind w:firstLine="643"/>
        <w:spacing w:after="0" w:line="264" w:lineRule="auto"/>
        <w:tabs>
          <w:tab w:leader="none" w:pos="1304"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Specified Tax Abatement Documents</w:t>
      </w:r>
      <w:r>
        <w:rPr>
          <w:rFonts w:ascii="Arial" w:cs="Arial" w:eastAsia="Arial" w:hAnsi="Arial"/>
          <w:sz w:val="18"/>
          <w:szCs w:val="18"/>
          <w:color w:val="auto"/>
        </w:rPr>
        <w:t>. Subject to Section 8.3 of the Lease, the Administrative Agent and the Participants shall cooperate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Lessee in connection with any existing or proposed Specified Tax Abatement Transaction and shall execute and deliver any Specified Tax Abatement Document as may be requested by Lessee from time to time.</w:t>
      </w:r>
    </w:p>
    <w:p>
      <w:pPr>
        <w:spacing w:after="0" w:line="181" w:lineRule="exact"/>
        <w:rPr>
          <w:rFonts w:ascii="Arial" w:cs="Arial" w:eastAsia="Arial" w:hAnsi="Arial"/>
          <w:sz w:val="18"/>
          <w:szCs w:val="18"/>
          <w:color w:val="auto"/>
        </w:rPr>
      </w:pPr>
    </w:p>
    <w:p>
      <w:pPr>
        <w:ind w:right="140" w:firstLine="683"/>
        <w:spacing w:after="0" w:line="259" w:lineRule="auto"/>
        <w:tabs>
          <w:tab w:leader="none" w:pos="1318"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Requested Information</w:t>
      </w:r>
      <w:r>
        <w:rPr>
          <w:rFonts w:ascii="Arial" w:cs="Arial" w:eastAsia="Arial" w:hAnsi="Arial"/>
          <w:sz w:val="18"/>
          <w:szCs w:val="18"/>
          <w:color w:val="auto"/>
        </w:rPr>
        <w:t>. From time to time at Lessee’s written request, Lessor shall provide (subject to Section 15.25) Lessee with</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similar to the information provided by Lessor to Lessee on or before the Document Closing Date with respect to ownership and control of the Lessor, in any such case, to the extent requested for accounting purposes in connection with the Operative Documents and transactions contemplated hereby and thereby.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LESSEE’S RIGHT OF QUIET ENJOYMENT</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Notwithstanding anything contained herein to the contrary, the provisions of Section 4.1 of the Lease shall be applicable to the Participants and Administrative Agent under this Participation Agreement and each Participant and Administrative Agent hereby agrees to be bound by the provisions of such Section 4.1 of the Lease and to recognize the Lessee’s rights to purchase the Leased Property as set forth in the Lease.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TRANSFERS OF PARTICIPANTS’ INTERESTS</w:t>
      </w:r>
    </w:p>
    <w:p>
      <w:pPr>
        <w:spacing w:after="0" w:line="211" w:lineRule="exact"/>
        <w:rPr>
          <w:sz w:val="20"/>
          <w:szCs w:val="20"/>
          <w:color w:val="auto"/>
        </w:rPr>
      </w:pPr>
    </w:p>
    <w:p>
      <w:pPr>
        <w:ind w:left="600"/>
        <w:spacing w:after="0"/>
        <w:tabs>
          <w:tab w:leader="none" w:pos="1900" w:val="left"/>
        </w:tabs>
        <w:rPr>
          <w:sz w:val="20"/>
          <w:szCs w:val="20"/>
          <w:color w:val="auto"/>
        </w:rPr>
      </w:pPr>
      <w:r>
        <w:rPr>
          <w:rFonts w:ascii="Arial" w:cs="Arial" w:eastAsia="Arial" w:hAnsi="Arial"/>
          <w:sz w:val="18"/>
          <w:szCs w:val="18"/>
          <w:i w:val="1"/>
          <w:iCs w:val="1"/>
          <w:color w:val="auto"/>
        </w:rPr>
        <w:t>Section 12.1.</w:t>
      </w:r>
      <w:r>
        <w:rPr>
          <w:sz w:val="20"/>
          <w:szCs w:val="20"/>
          <w:color w:val="auto"/>
        </w:rPr>
        <w:tab/>
      </w:r>
      <w:r>
        <w:rPr>
          <w:rFonts w:ascii="Arial" w:cs="Arial" w:eastAsia="Arial" w:hAnsi="Arial"/>
          <w:sz w:val="15"/>
          <w:szCs w:val="15"/>
          <w:i w:val="1"/>
          <w:iCs w:val="1"/>
          <w:color w:val="auto"/>
        </w:rPr>
        <w:t>Assignments</w:t>
      </w:r>
      <w:r>
        <w:rPr>
          <w:rFonts w:ascii="Arial" w:cs="Arial" w:eastAsia="Arial" w:hAnsi="Arial"/>
          <w:sz w:val="15"/>
          <w:szCs w:val="15"/>
          <w:color w:val="auto"/>
        </w:rPr>
        <w:t>.</w:t>
      </w:r>
    </w:p>
    <w:p>
      <w:pPr>
        <w:spacing w:after="0" w:line="225" w:lineRule="exact"/>
        <w:rPr>
          <w:sz w:val="20"/>
          <w:szCs w:val="20"/>
          <w:color w:val="auto"/>
        </w:rPr>
      </w:pPr>
    </w:p>
    <w:p>
      <w:pPr>
        <w:ind w:right="20" w:firstLine="656"/>
        <w:spacing w:after="0" w:line="271" w:lineRule="auto"/>
        <w:tabs>
          <w:tab w:leader="none" w:pos="1294"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All or any part of the interest of any Lender in, to or under this Participation Agreement, the other Operative Documents, the Leased Property or the Notes may be assigned or transferred by such Lender at any time to any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 each such assignment shall be of a constant, and not a varying, percentage of all such rights and obligations under the Loan Agreement (if applicable to such Lender); (ii) unless both parties to the assignment are Participants immediately prior to giving effect to the assignment, the amount of the Commitment of the assigning Lender being assigned pursuant to each such assignment shall not be less than $5,000,000.00 (or if less, the entire amount of such Lender’s Loan Commitment) and shall be an integral multiple of $5,000,000.00 (or such Participant’s entire Commitment), (iii) each such assignment shall be to an Eligible Assignee, (iv) the Lessor shall have received from the assignee/transferee or the assignor/transferor of a transfer fee in the amount of $1,000.00; (v) each assignee or transferee shall have complied, as of the date of the transfer, with</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delivery requirements of Section 12.3(a); (vi) each assignee or transferee shall (A) acknowledge in writing, addressed and delivered to each of the parties to this Participation Agreement, that the obligations to be performed by the assignor or transferor from and after the date of such transfer or assignment under this Participation Agreement and all other Operative Documents are its obligations, including the obligations imposed by this Section 12.1(a), the transferor and transferee Lender shall deliver to the Lessee, the Guarantors, the Administrative Agent and the Lessor an Assignment Agreement, each executed by the assignee or transferee and (B) represent and warrant to Lessor, the Guarantors, the Administrative Agent, each other Participant and the Lessee in writing each of the representations and warranties as set forth in Section 8.1 and that it has the requisite power and authority to accept such assignment or transfer and</w:t>
      </w:r>
    </w:p>
    <w:p>
      <w:pPr>
        <w:sectPr>
          <w:pgSz w:w="11900" w:h="16838" w:orient="portrait"/>
          <w:cols w:equalWidth="0" w:num="1">
            <w:col w:w="11400"/>
          </w:cols>
          <w:pgMar w:left="240" w:top="125" w:right="259" w:bottom="0" w:gutter="0" w:footer="0" w:header="0"/>
        </w:sectPr>
      </w:pPr>
    </w:p>
    <w:bookmarkStart w:id="18" w:name="page19"/>
    <w:bookmarkEnd w:id="18"/>
    <w:p>
      <w:pPr>
        <w:ind w:right="80"/>
        <w:spacing w:after="0" w:line="277" w:lineRule="auto"/>
        <w:rPr>
          <w:sz w:val="20"/>
          <w:szCs w:val="20"/>
          <w:color w:val="auto"/>
        </w:rPr>
      </w:pPr>
      <w:r>
        <w:rPr>
          <w:rFonts w:ascii="Arial" w:cs="Arial" w:eastAsia="Arial" w:hAnsi="Arial"/>
          <w:sz w:val="18"/>
          <w:szCs w:val="18"/>
          <w:color w:val="auto"/>
        </w:rPr>
        <w:t>engage in the Overall Transaction; and (vii) to the extent required in the definition of “Eligible Assignee”, Lessee shall have provided its written consent (not to be unreasonably withheld or delayed) which consent shall not be required during the existence of an Event of Default.</w:t>
      </w:r>
    </w:p>
    <w:p>
      <w:pPr>
        <w:spacing w:after="0" w:line="170"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Any transfer or assignment made in violation of the above requirements shall not be effective against the other parties to this Participation Agreement until such requirements are satisfied. Lessee shall not be responsible for any costs or expenses in connection with any such sale, assignment or other transfer.</w:t>
      </w:r>
    </w:p>
    <w:p>
      <w:pPr>
        <w:spacing w:after="0" w:line="181" w:lineRule="exact"/>
        <w:rPr>
          <w:sz w:val="20"/>
          <w:szCs w:val="20"/>
          <w:color w:val="auto"/>
        </w:rPr>
      </w:pPr>
    </w:p>
    <w:p>
      <w:pPr>
        <w:ind w:firstLine="643"/>
        <w:spacing w:after="0" w:line="284" w:lineRule="auto"/>
        <w:tabs>
          <w:tab w:leader="none" w:pos="1304"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All or any part of the Lessor Amount and the corresponding interests of the Lessor in, to or under the Leased Property and the other Collateral may be assigned or transferred by the Lessor at any time to any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Lessor shall give written notice of such assignment and the name of the assignee to Lessee; (ii) the assignee or transferee shall be an Eligible Assignee and have complied, as of the date of the transfer, with the delivery requirements of Section 12.3(a); (iii) the assignee or transferee shall (A) acknowledge in writing, addressed and delivered to each of the parties to this Participation Agreement, that the obligations to be performed by the assignor or transferor from and after the date of such transfer or assignment under this Participation Agreement and all other Operative Documents are its obligations, including the obligations imposed by this</w:t>
      </w:r>
    </w:p>
    <w:p>
      <w:pPr>
        <w:spacing w:after="0" w:line="4" w:lineRule="exact"/>
        <w:rPr>
          <w:rFonts w:ascii="Arial" w:cs="Arial" w:eastAsia="Arial" w:hAnsi="Arial"/>
          <w:sz w:val="16"/>
          <w:szCs w:val="16"/>
          <w:color w:val="auto"/>
        </w:rPr>
      </w:pPr>
    </w:p>
    <w:p>
      <w:pPr>
        <w:ind w:right="40"/>
        <w:spacing w:after="0" w:line="252" w:lineRule="auto"/>
        <w:rPr>
          <w:rFonts w:ascii="Arial" w:cs="Arial" w:eastAsia="Arial" w:hAnsi="Arial"/>
          <w:sz w:val="16"/>
          <w:szCs w:val="16"/>
          <w:color w:val="auto"/>
        </w:rPr>
      </w:pPr>
      <w:r>
        <w:rPr>
          <w:rFonts w:ascii="Arial" w:cs="Arial" w:eastAsia="Arial" w:hAnsi="Arial"/>
          <w:sz w:val="18"/>
          <w:szCs w:val="18"/>
          <w:color w:val="auto"/>
        </w:rPr>
        <w:t>Section 12.1(b), the transferor and transferee shall deliver to the Lessee, the Guarantors, the Administrative Agent and the Lessor an Assignment Agreement, each executed by the assignee or transferee) and (B) represent and warrant to Lessor, the Guarantors, Administrative Agent and the Lessee in writing each of the representations and warranties as set forth in Section 8.1 and that it has the requisite power and authority to accept such assignment or transfer and to engage in the Overall Transaction; (iv) to the extent required in the definition of “Eligible Assignee”, Lessee shall have provided its written consent (not to be unreasonably withheld or delayed) which consent shall not be required during the existence of an Event of Default; and (v) unless the assignee to the assignment is a Lessor immediately prior to giving effect to the assignment, the amount of the Lessor Amount being assigned pursuant to such assignment shall not be less than $25,000,000.00 (or if less, the entire amount of the Lessor Amount) and shall be an integral multiple of $5,000,000.00 (or the Lessor Amount).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anything contained in the foregoing to the contrary, so long as no Event of Default exists, such assignment shall not be made if</w:t>
      </w:r>
    </w:p>
    <w:p>
      <w:pPr>
        <w:spacing w:after="0" w:line="46" w:lineRule="exact"/>
        <w:rPr>
          <w:sz w:val="20"/>
          <w:szCs w:val="20"/>
          <w:color w:val="auto"/>
        </w:rPr>
      </w:pPr>
    </w:p>
    <w:p>
      <w:pPr>
        <w:ind w:left="5620" w:right="2140" w:hanging="5612"/>
        <w:spacing w:after="0" w:line="511" w:lineRule="auto"/>
        <w:tabs>
          <w:tab w:leader="none" w:pos="259"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reasonable opinion of Lessee, such assignment would cause Lessee to lose or fail to achieve any accounting benefits in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connection with the Lease and (2) Lessee provides the Administrative Agent and the Lessor written notice of such determination within ten (10) Business Days of (A) Lessee’s receipt of the notice described in clause (i) of the immediately preceding paragraph and (B) Lessee’s receipt of all information needed regarding the proposed assignee as may be reasonably requested by Lessee or Lessee’s independent public accountants, which request shall be made within ten (10) Business Days after Lessee’s receipt of the notice described in clause (i) of the immediately preceding paragraph. In the event Lessee has objected in writing to the proposed assignee above, Lessee hereby agrees to use commercially reasonably efforts to cooperate with Lessor to restructure the proposed assignment or with Lessor’s efforts to find a replacement assignee which shall be an Eligible Assignee and which shall comply with the terms and conditions set forth above and to which Lessee shall not have objected in writing pursuant to the terms hereof. The parties hereto and any such assignee will execute such documents and make such filings and recordings as are reasonably requested by the Lessor or the Administrative Agent to maintain the interests of the parties, preserve, protect and perfect the interest of Administrative Agent and Lessor in the Leased Property and other Collateral.</w:t>
      </w:r>
    </w:p>
    <w:p>
      <w:pPr>
        <w:spacing w:after="0" w:line="167"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Any transfer or assignment made in violation of the above requirements shall not be effective against the other parties to this Participation Agreement until such requirements are satisfied.</w:t>
      </w:r>
    </w:p>
    <w:p>
      <w:pPr>
        <w:spacing w:after="0" w:line="170" w:lineRule="exact"/>
        <w:rPr>
          <w:sz w:val="20"/>
          <w:szCs w:val="20"/>
          <w:color w:val="auto"/>
        </w:rPr>
      </w:pPr>
    </w:p>
    <w:p>
      <w:pPr>
        <w:ind w:right="160" w:firstLine="656"/>
        <w:spacing w:after="0" w:line="254" w:lineRule="auto"/>
        <w:tabs>
          <w:tab w:leader="none" w:pos="130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Administrative Agent, acting solely for this purpose as an agent of the Lessee, shall maintain at one of its offices a copy of each Assignment Agreement delivered to it and a register for the recordation of the names and addresses of the Participants, and the Commitments of, and principal amounts (and stated interest) of the amounts owing to, each Participant pursuant to the terms hereof from time to time under this Participation Agreement or the other Operative Documents and the Collateral (including, without limitation, all or portion of the Rent owing to it) (the “</w:t>
      </w:r>
      <w:r>
        <w:rPr>
          <w:rFonts w:ascii="Arial" w:cs="Arial" w:eastAsia="Arial" w:hAnsi="Arial"/>
          <w:sz w:val="18"/>
          <w:szCs w:val="18"/>
          <w:i w:val="1"/>
          <w:iCs w:val="1"/>
          <w:color w:val="auto"/>
        </w:rPr>
        <w:t>Register</w:t>
      </w:r>
      <w:r>
        <w:rPr>
          <w:rFonts w:ascii="Arial" w:cs="Arial" w:eastAsia="Arial" w:hAnsi="Arial"/>
          <w:sz w:val="18"/>
          <w:szCs w:val="18"/>
          <w:color w:val="auto"/>
        </w:rPr>
        <w:t>”). The entries in the Register shall be conclusive absent manifest error, and the Lessee, the Administrative Agent and the Participants shall treat each Person whose name is recorded in the Register pursuant to the terms hereof as a Participant hereunder for all purposes of this Participation Agreement and the other Operative Documents. The Register shall be available for inspection by the Lessee and any Participant, at any reasonable time and from time to time upon reasonable prior notice.</w:t>
      </w:r>
    </w:p>
    <w:p>
      <w:pPr>
        <w:spacing w:after="0" w:line="192" w:lineRule="exact"/>
        <w:rPr>
          <w:sz w:val="20"/>
          <w:szCs w:val="20"/>
          <w:color w:val="auto"/>
        </w:rPr>
      </w:pPr>
    </w:p>
    <w:p>
      <w:pPr>
        <w:ind w:right="140" w:firstLine="594"/>
        <w:spacing w:after="0" w:line="259" w:lineRule="auto"/>
        <w:rPr>
          <w:sz w:val="20"/>
          <w:szCs w:val="20"/>
          <w:color w:val="auto"/>
        </w:rPr>
      </w:pPr>
      <w:r>
        <w:rPr>
          <w:rFonts w:ascii="Arial" w:cs="Arial" w:eastAsia="Arial" w:hAnsi="Arial"/>
          <w:sz w:val="18"/>
          <w:szCs w:val="18"/>
          <w:i w:val="1"/>
          <w:iCs w:val="1"/>
          <w:color w:val="auto"/>
        </w:rPr>
        <w:t>Section 12.2. Participations</w:t>
      </w:r>
      <w:r>
        <w:rPr>
          <w:rFonts w:ascii="Arial" w:cs="Arial" w:eastAsia="Arial" w:hAnsi="Arial"/>
          <w:sz w:val="18"/>
          <w:szCs w:val="18"/>
          <w:color w:val="auto"/>
        </w:rPr>
        <w:t>. Notwithstanding Section 12.1, any Participant may at any time sell to one or more commercial banks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Persons (each of such commercial banks and other Persons being herein called a “</w:t>
      </w:r>
      <w:r>
        <w:rPr>
          <w:rFonts w:ascii="Arial" w:cs="Arial" w:eastAsia="Arial" w:hAnsi="Arial"/>
          <w:sz w:val="18"/>
          <w:szCs w:val="18"/>
          <w:i w:val="1"/>
          <w:iCs w:val="1"/>
          <w:color w:val="auto"/>
        </w:rPr>
        <w:t>Sub-Participant</w:t>
      </w:r>
      <w:r>
        <w:rPr>
          <w:rFonts w:ascii="Arial" w:cs="Arial" w:eastAsia="Arial" w:hAnsi="Arial"/>
          <w:sz w:val="18"/>
          <w:szCs w:val="18"/>
          <w:color w:val="auto"/>
        </w:rPr>
        <w:t xml:space="preserve">”) participating interests in all or a portion of its rights and obligations under this Participation Agreement or the other Operative Documents and the Collateral (including, without limitation, all or portion of the Rent owing to it) without the prior consent of the Lessee or 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187" w:lineRule="exact"/>
        <w:rPr>
          <w:sz w:val="20"/>
          <w:szCs w:val="20"/>
          <w:color w:val="auto"/>
        </w:rPr>
      </w:pPr>
    </w:p>
    <w:p>
      <w:pPr>
        <w:ind w:left="660" w:right="180" w:firstLine="766"/>
        <w:spacing w:after="0" w:line="277" w:lineRule="auto"/>
        <w:tabs>
          <w:tab w:leader="none" w:pos="1954"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participation contemplated in this Section 12.2 shall relieve such Participant from its obligations hereunder or under any other Operative Document;</w:t>
      </w:r>
    </w:p>
    <w:p>
      <w:pPr>
        <w:spacing w:after="0" w:line="170" w:lineRule="exact"/>
        <w:rPr>
          <w:rFonts w:ascii="Arial" w:cs="Arial" w:eastAsia="Arial" w:hAnsi="Arial"/>
          <w:sz w:val="18"/>
          <w:szCs w:val="18"/>
          <w:color w:val="auto"/>
        </w:rPr>
      </w:pPr>
    </w:p>
    <w:p>
      <w:pPr>
        <w:ind w:left="660" w:right="140" w:firstLine="753"/>
        <w:spacing w:after="0" w:line="277" w:lineRule="auto"/>
        <w:tabs>
          <w:tab w:leader="none" w:pos="1964"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Participant shall remain solely responsible for the performance of its Commitment and such other obligations hereunder and under any Operative Documents;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firstLine="766"/>
        <w:spacing w:after="0" w:line="308" w:lineRule="auto"/>
        <w:tabs>
          <w:tab w:leader="none" w:pos="1967"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Lessee, Lessor and the Administrative Agent shall continue to deal solely and directly with such Participant in connection with such Participant’s rights and obligations under this Participation Agreement and each of the other Operative Documents;</w:t>
      </w:r>
    </w:p>
    <w:p>
      <w:pPr>
        <w:spacing w:after="0" w:line="146" w:lineRule="exact"/>
        <w:rPr>
          <w:rFonts w:ascii="Arial" w:cs="Arial" w:eastAsia="Arial" w:hAnsi="Arial"/>
          <w:sz w:val="17"/>
          <w:szCs w:val="17"/>
          <w:color w:val="auto"/>
        </w:rPr>
      </w:pPr>
    </w:p>
    <w:p>
      <w:pPr>
        <w:ind w:left="660" w:right="200" w:firstLine="753"/>
        <w:spacing w:after="0" w:line="277" w:lineRule="auto"/>
        <w:tabs>
          <w:tab w:leader="none" w:pos="1964"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Sub-Participant shall be entitled to require such Lender to take or refrain from taking any action hereunder or under any other Operative Document, except for matters requiring consent of all Participants or, as applicable, all Lenders; and</w:t>
      </w:r>
    </w:p>
    <w:p>
      <w:pPr>
        <w:spacing w:after="0" w:line="170" w:lineRule="exact"/>
        <w:rPr>
          <w:rFonts w:ascii="Arial" w:cs="Arial" w:eastAsia="Arial" w:hAnsi="Arial"/>
          <w:sz w:val="18"/>
          <w:szCs w:val="18"/>
          <w:color w:val="auto"/>
        </w:rPr>
      </w:pPr>
    </w:p>
    <w:p>
      <w:pPr>
        <w:ind w:left="660" w:right="380" w:firstLine="766"/>
        <w:spacing w:after="0" w:line="277" w:lineRule="auto"/>
        <w:tabs>
          <w:tab w:leader="none" w:pos="196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Lessee shall not be required to pay any amount under this Participation Agreement that is greater than the amount which it would have been required to pay had no participating interest been sold.</w:t>
      </w:r>
    </w:p>
    <w:p>
      <w:pPr>
        <w:sectPr>
          <w:pgSz w:w="11900" w:h="16838" w:orient="portrait"/>
          <w:cols w:equalWidth="0" w:num="1">
            <w:col w:w="11420"/>
          </w:cols>
          <w:pgMar w:left="240" w:top="125" w:right="239" w:bottom="0" w:gutter="0" w:footer="0" w:header="0"/>
        </w:sectPr>
      </w:pPr>
    </w:p>
    <w:bookmarkStart w:id="19" w:name="page20"/>
    <w:bookmarkEnd w:id="19"/>
    <w:p>
      <w:pPr>
        <w:ind w:right="60"/>
        <w:spacing w:after="0" w:line="269" w:lineRule="auto"/>
        <w:rPr>
          <w:sz w:val="20"/>
          <w:szCs w:val="20"/>
          <w:color w:val="auto"/>
        </w:rPr>
      </w:pPr>
      <w:r>
        <w:rPr>
          <w:rFonts w:ascii="Arial" w:cs="Arial" w:eastAsia="Arial" w:hAnsi="Arial"/>
          <w:sz w:val="17"/>
          <w:szCs w:val="17"/>
          <w:color w:val="auto"/>
        </w:rPr>
        <w:t>Each Participant that sells a participation shall, acting solely for this purpose as a non-fiduciary agent of the Lessee, maintain a register on which it enters the name and address of each Sub-Participant and the principal amounts (and stated interest) of each Sub-Participant’s interest in this Participation Agreement or the other Operative Documents and the Collateral (including, without limitation, all or portion of the Rent owing to it) (the “</w:t>
      </w:r>
      <w:r>
        <w:rPr>
          <w:rFonts w:ascii="Arial" w:cs="Arial" w:eastAsia="Arial" w:hAnsi="Arial"/>
          <w:sz w:val="17"/>
          <w:szCs w:val="17"/>
          <w:i w:val="1"/>
          <w:iCs w:val="1"/>
          <w:color w:val="auto"/>
        </w:rPr>
        <w:t>Sub-Participant Register</w:t>
      </w:r>
      <w:r>
        <w:rPr>
          <w:rFonts w:ascii="Arial" w:cs="Arial" w:eastAsia="Arial" w:hAnsi="Arial"/>
          <w:sz w:val="17"/>
          <w:szCs w:val="17"/>
          <w:color w:val="auto"/>
        </w:rPr>
        <w:t>”); provided that no Participant shall have any obligation to disclose all or any portion of the Sub-Participant Register (including the identity of any Sub-Participant or any information relating to a Participant’s interest in any commitments, loans, letters of credit or its other obligations under this Participation Agreement or the other Operative Documents and the Collateral (including, without limitation, all or portion of the Rent owing to it)) to any Person except to the extent that such disclosure is necessary to establish that such interest is in registered form under Section 5f.103-1(c) of the United States Treasury Regulations. The entries in the Sub-Participant Register shall be conclusive absent manifest error, and such Participant shall treat each Person whose name is recorded in the Sub-Participant Register as the owner of such participation for all purposes of this Participation Agreement and the other Operative Documents notwithstanding any notice to the contrary. For the avoidance of doubt, the Administrative Agent (in its capacity as Administrative Agent) shall have no responsibility for maintaining a Sub-Participant Register.</w:t>
      </w:r>
    </w:p>
    <w:p>
      <w:pPr>
        <w:spacing w:after="0" w:line="183" w:lineRule="exact"/>
        <w:rPr>
          <w:sz w:val="20"/>
          <w:szCs w:val="20"/>
          <w:color w:val="auto"/>
        </w:rPr>
      </w:pPr>
    </w:p>
    <w:p>
      <w:pPr>
        <w:ind w:right="100" w:firstLine="594"/>
        <w:spacing w:after="0" w:line="254" w:lineRule="auto"/>
        <w:rPr>
          <w:sz w:val="20"/>
          <w:szCs w:val="20"/>
          <w:color w:val="auto"/>
        </w:rPr>
      </w:pPr>
      <w:r>
        <w:rPr>
          <w:rFonts w:ascii="Arial" w:cs="Arial" w:eastAsia="Arial" w:hAnsi="Arial"/>
          <w:sz w:val="18"/>
          <w:szCs w:val="18"/>
          <w:i w:val="1"/>
          <w:iCs w:val="1"/>
          <w:color w:val="auto"/>
        </w:rPr>
        <w:t>Section 12.3. Withholding Taxes; Disclosure of Information; Pledge Under Regulation A</w:t>
      </w:r>
      <w:r>
        <w:rPr>
          <w:rFonts w:ascii="Arial" w:cs="Arial" w:eastAsia="Arial" w:hAnsi="Arial"/>
          <w:sz w:val="18"/>
          <w:szCs w:val="18"/>
          <w:color w:val="auto"/>
        </w:rPr>
        <w:t>. (a) If any Participant and any assignee or, or Sub-Participant in, any Note or Lessor Amount (each such assignee or participant, a “</w:t>
      </w:r>
      <w:r>
        <w:rPr>
          <w:rFonts w:ascii="Arial" w:cs="Arial" w:eastAsia="Arial" w:hAnsi="Arial"/>
          <w:sz w:val="18"/>
          <w:szCs w:val="18"/>
          <w:i w:val="1"/>
          <w:iCs w:val="1"/>
          <w:color w:val="auto"/>
        </w:rPr>
        <w:t>Recipient</w:t>
      </w:r>
      <w:r>
        <w:rPr>
          <w:rFonts w:ascii="Arial" w:cs="Arial" w:eastAsia="Arial" w:hAnsi="Arial"/>
          <w:sz w:val="18"/>
          <w:szCs w:val="18"/>
          <w:color w:val="auto"/>
        </w:rPr>
        <w:t>”) is organized under the laws of the United States of America or any State thereof, then such Recipient shall (i) furnish to the Lessor, the Administrative Agent and the Lessee in duplicate, for each taxable year of Recipient during the Term, a properly completed and executed Internal Revenue Service Form W-9 and any additional form (or such other form) as is necessary to claim complete exemption from United States withholding taxes on all payments hereunder, and (ii) provide to the Lessor, the Administrative Agent, the Guarantors and the Lessee a new Internal Revenue Service Form W-9 and any such additional form (or other such form) upon the expiration or obsolescence of any previously delivered form in accordance with applicable United States laws and regulations duly executed and completed by the Lessor or Recipient, as the case may be.</w:t>
      </w:r>
    </w:p>
    <w:p>
      <w:pPr>
        <w:spacing w:after="0" w:line="192" w:lineRule="exact"/>
        <w:rPr>
          <w:sz w:val="20"/>
          <w:szCs w:val="20"/>
          <w:color w:val="auto"/>
        </w:rPr>
      </w:pPr>
    </w:p>
    <w:p>
      <w:pPr>
        <w:ind w:left="1320" w:hanging="677"/>
        <w:spacing w:after="0"/>
        <w:tabs>
          <w:tab w:leader="none" w:pos="13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If any Recipient is organized under the laws of any jurisdiction other than the United States or any State thereof, then the Recipient shall</w:t>
      </w:r>
    </w:p>
    <w:p>
      <w:pPr>
        <w:spacing w:after="0" w:line="46" w:lineRule="exact"/>
        <w:rPr>
          <w:rFonts w:ascii="Arial" w:cs="Arial" w:eastAsia="Arial" w:hAnsi="Arial"/>
          <w:sz w:val="16"/>
          <w:szCs w:val="16"/>
          <w:color w:val="auto"/>
        </w:rPr>
      </w:pPr>
    </w:p>
    <w:p>
      <w:pPr>
        <w:ind w:left="220" w:hanging="212"/>
        <w:spacing w:after="0"/>
        <w:tabs>
          <w:tab w:leader="none" w:pos="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furnish to the Lessor, the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00"/>
        <w:spacing w:after="0" w:line="288" w:lineRule="auto"/>
        <w:rPr>
          <w:sz w:val="20"/>
          <w:szCs w:val="20"/>
          <w:color w:val="auto"/>
        </w:rPr>
      </w:pPr>
      <w:r>
        <w:rPr>
          <w:rFonts w:ascii="Arial" w:cs="Arial" w:eastAsia="Arial" w:hAnsi="Arial"/>
          <w:sz w:val="16"/>
          <w:szCs w:val="16"/>
          <w:color w:val="auto"/>
        </w:rPr>
        <w:t>Administrative Agent, the Guarantors and the Lessee in duplicate, for each taxable year of Recipient during the Term, a properly completed and executed Internal Revenue Service Form W-8 ECI, Internal Revenue Service Form W-8 BEN-E or Internal Revenue Service Form W-8 IMY, as applicable, and any additional form (or such other form) as is necessary to benefit from complete exemption from United States withholding taxes on all payments hereunder,</w:t>
      </w:r>
    </w:p>
    <w:p>
      <w:pPr>
        <w:ind w:right="80" w:firstLine="8"/>
        <w:spacing w:after="0" w:line="273" w:lineRule="auto"/>
        <w:tabs>
          <w:tab w:leader="none" w:pos="265"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provide to the Lessor, the Administrative Agent, the Guarantors and the Lessee a new Internal Revenue Service Form W-8 ECI, Internal Revenue Service Form W-8 BEN-E or Internal Revenue Service Form W-8 IMY, as applicable, and any such additional form (or such other form) upon the expiration or obsolescence of any previously delivered form duly executed and completed by such Recipient, and (iii) comply at all times with all applicable United States laws and regulations and all provisions of any applicable tax treaty with regard to such withholding tax exemption.</w:t>
      </w:r>
    </w:p>
    <w:p>
      <w:pPr>
        <w:spacing w:after="0" w:line="176" w:lineRule="exact"/>
        <w:rPr>
          <w:rFonts w:ascii="Arial" w:cs="Arial" w:eastAsia="Arial" w:hAnsi="Arial"/>
          <w:sz w:val="17"/>
          <w:szCs w:val="17"/>
          <w:color w:val="auto"/>
        </w:rPr>
      </w:pPr>
    </w:p>
    <w:p>
      <w:pPr>
        <w:ind w:right="260" w:firstLine="656"/>
        <w:spacing w:after="0" w:line="286" w:lineRule="auto"/>
        <w:tabs>
          <w:tab w:leader="none" w:pos="1307" w:val="left"/>
        </w:tabs>
        <w:numPr>
          <w:ilvl w:val="2"/>
          <w:numId w:val="55"/>
        </w:numPr>
        <w:rPr>
          <w:rFonts w:ascii="Arial" w:cs="Arial" w:eastAsia="Arial" w:hAnsi="Arial"/>
          <w:sz w:val="17"/>
          <w:szCs w:val="17"/>
          <w:color w:val="auto"/>
        </w:rPr>
      </w:pPr>
      <w:r>
        <w:rPr>
          <w:rFonts w:ascii="Arial" w:cs="Arial" w:eastAsia="Arial" w:hAnsi="Arial"/>
          <w:sz w:val="17"/>
          <w:szCs w:val="17"/>
          <w:color w:val="auto"/>
        </w:rPr>
        <w:t>By its acceptance of an assignment of or participation in the interests, in whole or in part, of any Participant under this Participation Agreement, each assignee or Sub-Participant shall be deemed bound by the provisions set forth in this Article XII and to represent on the date it becomes a Recipient, that it is entitled to complete exemption from United States withholding taxes on all payments hereunder.</w:t>
      </w:r>
    </w:p>
    <w:p>
      <w:pPr>
        <w:spacing w:after="0" w:line="165" w:lineRule="exact"/>
        <w:rPr>
          <w:rFonts w:ascii="Arial" w:cs="Arial" w:eastAsia="Arial" w:hAnsi="Arial"/>
          <w:sz w:val="17"/>
          <w:szCs w:val="17"/>
          <w:color w:val="auto"/>
        </w:rPr>
      </w:pPr>
    </w:p>
    <w:p>
      <w:pPr>
        <w:ind w:right="280" w:firstLine="656"/>
        <w:spacing w:after="0" w:line="264" w:lineRule="auto"/>
        <w:tabs>
          <w:tab w:leader="none" w:pos="1304" w:val="left"/>
        </w:tabs>
        <w:numPr>
          <w:ilvl w:val="2"/>
          <w:numId w:val="55"/>
        </w:numPr>
        <w:rPr>
          <w:rFonts w:ascii="Arial" w:cs="Arial" w:eastAsia="Arial" w:hAnsi="Arial"/>
          <w:sz w:val="18"/>
          <w:szCs w:val="18"/>
          <w:color w:val="auto"/>
        </w:rPr>
      </w:pPr>
      <w:r>
        <w:rPr>
          <w:rFonts w:ascii="Arial" w:cs="Arial" w:eastAsia="Arial" w:hAnsi="Arial"/>
          <w:sz w:val="18"/>
          <w:szCs w:val="18"/>
          <w:color w:val="auto"/>
        </w:rPr>
        <w:t>Subject to Section 15.14 hereof, the Administrative Agent or any Participant may, in connection with any assignment, participation or proposed assignment or participation permitted pursuant to this Article XII, disclose to the Recipient or proposed Recipient any information relating to the Lessee.</w:t>
      </w:r>
    </w:p>
    <w:p>
      <w:pPr>
        <w:spacing w:after="0" w:line="181" w:lineRule="exact"/>
        <w:rPr>
          <w:rFonts w:ascii="Arial" w:cs="Arial" w:eastAsia="Arial" w:hAnsi="Arial"/>
          <w:sz w:val="18"/>
          <w:szCs w:val="18"/>
          <w:color w:val="auto"/>
        </w:rPr>
      </w:pPr>
    </w:p>
    <w:p>
      <w:pPr>
        <w:jc w:val="both"/>
        <w:ind w:right="180" w:firstLine="616"/>
        <w:spacing w:after="0" w:line="264" w:lineRule="auto"/>
        <w:tabs>
          <w:tab w:leader="none" w:pos="1307"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Anything in this Article XII to the contrary notwithstanding, any Participant may, without the consent of the Lessee, assign and pledge all or any portion of its interest in the Notes or this Participation Agreement to any Federal Reserve Bank as collateral security pursuant to Regulation A of the F.R.S. Board.</w:t>
      </w:r>
    </w:p>
    <w:p>
      <w:pPr>
        <w:spacing w:after="0" w:line="181" w:lineRule="exact"/>
        <w:rPr>
          <w:rFonts w:ascii="Arial" w:cs="Arial" w:eastAsia="Arial" w:hAnsi="Arial"/>
          <w:sz w:val="18"/>
          <w:szCs w:val="18"/>
          <w:color w:val="auto"/>
        </w:rPr>
      </w:pPr>
    </w:p>
    <w:p>
      <w:pPr>
        <w:jc w:val="both"/>
        <w:ind w:firstLine="643"/>
        <w:spacing w:after="0" w:line="286" w:lineRule="auto"/>
        <w:tabs>
          <w:tab w:leader="none" w:pos="1301" w:val="left"/>
        </w:tabs>
        <w:numPr>
          <w:ilvl w:val="1"/>
          <w:numId w:val="55"/>
        </w:numPr>
        <w:rPr>
          <w:rFonts w:ascii="Arial" w:cs="Arial" w:eastAsia="Arial" w:hAnsi="Arial"/>
          <w:sz w:val="16"/>
          <w:szCs w:val="16"/>
          <w:color w:val="auto"/>
        </w:rPr>
      </w:pPr>
      <w:r>
        <w:rPr>
          <w:rFonts w:ascii="Arial" w:cs="Arial" w:eastAsia="Arial" w:hAnsi="Arial"/>
          <w:sz w:val="16"/>
          <w:szCs w:val="16"/>
          <w:color w:val="auto"/>
        </w:rPr>
        <w:t>If a payment made to a Participant under any Operative Document would be subject to U.S. federal withholding Tax imposed by FATCA if such Participant were to fail to comply with the applicable reporting requirements of FATCA (including those contained in Section 1471(b) or 1472(b) of the Code, as applicable), such Participant shall deliver to the Lessee and the Administrative Agent at the time or times prescribed by law and at such time or times reasonably requested by the Lessee or the Administrative Agent such documentation prescribed by applicable law (including as prescribed by Section 1471(b)</w:t>
      </w:r>
    </w:p>
    <w:p>
      <w:pPr>
        <w:spacing w:after="0" w:line="1" w:lineRule="exact"/>
        <w:rPr>
          <w:rFonts w:ascii="Arial" w:cs="Arial" w:eastAsia="Arial" w:hAnsi="Arial"/>
          <w:sz w:val="16"/>
          <w:szCs w:val="16"/>
          <w:color w:val="auto"/>
        </w:rPr>
      </w:pPr>
    </w:p>
    <w:p>
      <w:pPr>
        <w:ind w:right="80"/>
        <w:spacing w:after="0" w:line="254" w:lineRule="auto"/>
        <w:rPr>
          <w:rFonts w:ascii="Arial" w:cs="Arial" w:eastAsia="Arial" w:hAnsi="Arial"/>
          <w:sz w:val="16"/>
          <w:szCs w:val="16"/>
          <w:color w:val="auto"/>
        </w:rPr>
      </w:pPr>
      <w:r>
        <w:rPr>
          <w:rFonts w:ascii="Arial" w:cs="Arial" w:eastAsia="Arial" w:hAnsi="Arial"/>
          <w:sz w:val="18"/>
          <w:szCs w:val="18"/>
          <w:color w:val="auto"/>
        </w:rPr>
        <w:t>(3)(C)(i) of the Code) and such additional documentation reasonably requested by the Lessee or the Administrative Agent as may be necessary for the Lessee and the Administrative Agent to comply with their obligations under FATCA and to determine that such Participant has complied with such Participant’s obligations under FATCA or to determine the amount to deduct and withhold from such payment. Solely for purposes of this clause (f), “FATCA” shall include any amendments made to FATCA after the Document Closing Date.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left="600"/>
        <w:spacing w:after="0"/>
        <w:tabs>
          <w:tab w:leader="none" w:pos="1900" w:val="left"/>
        </w:tabs>
        <w:rPr>
          <w:sz w:val="20"/>
          <w:szCs w:val="20"/>
          <w:color w:val="auto"/>
        </w:rPr>
      </w:pPr>
      <w:r>
        <w:rPr>
          <w:rFonts w:ascii="Arial" w:cs="Arial" w:eastAsia="Arial" w:hAnsi="Arial"/>
          <w:sz w:val="18"/>
          <w:szCs w:val="18"/>
          <w:i w:val="1"/>
          <w:iCs w:val="1"/>
          <w:color w:val="auto"/>
        </w:rPr>
        <w:t>Section 13.1.</w:t>
      </w:r>
      <w:r>
        <w:rPr>
          <w:sz w:val="20"/>
          <w:szCs w:val="20"/>
          <w:color w:val="auto"/>
        </w:rPr>
        <w:tab/>
      </w:r>
      <w:r>
        <w:rPr>
          <w:rFonts w:ascii="Arial" w:cs="Arial" w:eastAsia="Arial" w:hAnsi="Arial"/>
          <w:sz w:val="17"/>
          <w:szCs w:val="17"/>
          <w:i w:val="1"/>
          <w:iCs w:val="1"/>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ind w:right="120" w:firstLine="656"/>
        <w:spacing w:after="0" w:line="255" w:lineRule="auto"/>
        <w:tabs>
          <w:tab w:leader="none" w:pos="1294"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General Indemnification</w:t>
      </w:r>
      <w:r>
        <w:rPr>
          <w:rFonts w:ascii="Arial" w:cs="Arial" w:eastAsia="Arial" w:hAnsi="Arial"/>
          <w:sz w:val="18"/>
          <w:szCs w:val="18"/>
          <w:color w:val="auto"/>
        </w:rPr>
        <w:t>. Without limitation on the rights of any Indemnitee under any other indemnification set forth in this Article XIII,</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or not any of the transactions contemplated hereby shall be consummated, Lessee shall pay and assume liability for, and does hereby agree to indemnify, protect, defend, save and keep harmless each General Indemnitee from and against any and all Claims that may be imposed on, incurred by or asserted against such General Indemnitee (whether because of action or omission by such General Indemnitee), whether or not such Claim is covered by any other indemnification under this Article XIII or such General Indemnitee shall also be indemnified as to any such Claim by any other Person, and whether or not such Claim arises or accrues after the Expiration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 each case under this Section 13.1(a), arising out of or in any way relating to:</w:t>
      </w:r>
    </w:p>
    <w:p>
      <w:pPr>
        <w:sectPr>
          <w:pgSz w:w="11900" w:h="16838" w:orient="portrait"/>
          <w:cols w:equalWidth="0" w:num="1">
            <w:col w:w="11420"/>
          </w:cols>
          <w:pgMar w:left="240" w:top="125" w:right="239" w:bottom="32" w:gutter="0" w:footer="0" w:header="0"/>
        </w:sectPr>
      </w:pPr>
    </w:p>
    <w:bookmarkStart w:id="20" w:name="page21"/>
    <w:bookmarkEnd w:id="20"/>
    <w:p>
      <w:pPr>
        <w:spacing w:after="0" w:line="96" w:lineRule="exact"/>
        <w:rPr>
          <w:sz w:val="20"/>
          <w:szCs w:val="20"/>
          <w:color w:val="auto"/>
        </w:rPr>
      </w:pPr>
    </w:p>
    <w:p>
      <w:pPr>
        <w:ind w:left="660" w:right="340" w:firstLine="753"/>
        <w:spacing w:after="0" w:line="277" w:lineRule="auto"/>
        <w:tabs>
          <w:tab w:leader="none" w:pos="1964"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of the Operative Documents, any of the transactions contemplated thereby or any investigation, litigation or proceeding in connection therewith, and any amendment, modification or waiver in respect thereof;</w:t>
      </w:r>
    </w:p>
    <w:p>
      <w:pPr>
        <w:spacing w:after="0" w:line="170" w:lineRule="exact"/>
        <w:rPr>
          <w:rFonts w:ascii="Arial" w:cs="Arial" w:eastAsia="Arial" w:hAnsi="Arial"/>
          <w:sz w:val="18"/>
          <w:szCs w:val="18"/>
          <w:color w:val="auto"/>
        </w:rPr>
      </w:pPr>
    </w:p>
    <w:p>
      <w:pPr>
        <w:ind w:left="1960" w:hanging="547"/>
        <w:spacing w:after="0"/>
        <w:tabs>
          <w:tab w:leader="none" w:pos="1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Leased Property, or any part thereof or interest therein;</w:t>
      </w:r>
    </w:p>
    <w:p>
      <w:pPr>
        <w:spacing w:after="0" w:line="225" w:lineRule="exact"/>
        <w:rPr>
          <w:rFonts w:ascii="Arial" w:cs="Arial" w:eastAsia="Arial" w:hAnsi="Arial"/>
          <w:sz w:val="18"/>
          <w:szCs w:val="18"/>
          <w:color w:val="auto"/>
        </w:rPr>
      </w:pPr>
    </w:p>
    <w:p>
      <w:pPr>
        <w:ind w:left="660" w:firstLine="753"/>
        <w:spacing w:after="0" w:line="285" w:lineRule="auto"/>
        <w:tabs>
          <w:tab w:leader="none" w:pos="1964"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purchase, manufacturing, mortgaging, design, construction, preparation, installation, inspection, delivery, non-delivery, acceptance, rejection, purchase, ownership, possession, rental, lease, sublease, repossession, maintenance, repair, alteration, modification, addition or substitution, storage, transfer of title, redelivery, use, financing, refinancing, operation, condition, sale (including, without limitation, any sale or other transfer pursuant to Sections 15.1 or 16.2 of the Lease or any sale or transfer pursuant to Articles XVIII, XX or XXI of the Lease), return or other disposition of all or any part of any interest in the Leased Property or the Site or the imposition of any Lien (or incurring of any liability to refund or pay over any amount as a result of any Lien) thereon, including, without limitation: (i) Claims or penalties arising under the Purchase Agreement or any other agreements or obligations relating to the acquisition of the Site or from any violation of law or in tort (strict liability or otherwise) by Lessee, Administrative Agent, Lessor, any Participant or any other Person or with respect to the use, operation or maintenance of the Leased Property or the Site, (ii) loss of or damage to the environment (including, without limitation, investigation costs, cleanup costs, response costs, remediation and removal costs, costs of corrective action, costs of financial assurance, and all other damages, costs, fees and expenses, fines and penalties, including natural resource damages), or death or injury to any Person, and all expenses associated with the protection of wildlife, aquatic species, vegetation, flora and fauna, and any mitigating action required by or under any Environmental Laws, (iii) any Claim resulting from or related to latent or other defects in the Leased Property, whether or not discoverable, (iv) any Claims resulting from the existence or Release of any Hazardous Substance at or from the Leased Property or the Site, (v) any Claim resulting from or related to the purchase, acquisition, lease or transfer of the Leased Property, (vi) any Claim based upon a violation or alleged violation of the terms of any restriction, easement, condition or covenant or other matter affecting title to the Leased Property 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the Site, (vii) the making of any Modifications in violation of any standards imposed by any insurance policies required to be maintained by the Lessee pursuant to the Lease which are in effect at any time with respect to the Leased Property or the Site or any part thereof, or (viii) any Claim for patent, trademark or copyright infringement;</w:t>
      </w:r>
    </w:p>
    <w:p>
      <w:pPr>
        <w:spacing w:after="0" w:line="181" w:lineRule="exact"/>
        <w:rPr>
          <w:sz w:val="20"/>
          <w:szCs w:val="20"/>
          <w:color w:val="auto"/>
        </w:rPr>
      </w:pPr>
    </w:p>
    <w:p>
      <w:pPr>
        <w:ind w:left="1960" w:hanging="547"/>
        <w:spacing w:after="0"/>
        <w:tabs>
          <w:tab w:leader="none" w:pos="19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offer, issuance, sale, transfer or delivery of the Notes or Lessor Amount in accordance with the terms of this Participation</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left="660" w:right="340" w:firstLine="753"/>
        <w:spacing w:after="0" w:line="277" w:lineRule="auto"/>
        <w:tabs>
          <w:tab w:leader="none" w:pos="19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inaccuracy of any representation or warranty made by Lessee or any of its Subsidiaries in any Operative Document or any certificate delivered by it with respect to any of the Operative Documents;</w:t>
      </w:r>
    </w:p>
    <w:p>
      <w:pPr>
        <w:spacing w:after="0" w:line="170" w:lineRule="exact"/>
        <w:rPr>
          <w:rFonts w:ascii="Arial" w:cs="Arial" w:eastAsia="Arial" w:hAnsi="Arial"/>
          <w:sz w:val="18"/>
          <w:szCs w:val="18"/>
          <w:color w:val="auto"/>
        </w:rPr>
      </w:pPr>
    </w:p>
    <w:p>
      <w:pPr>
        <w:jc w:val="both"/>
        <w:ind w:left="660" w:right="20" w:firstLine="753"/>
        <w:spacing w:after="0" w:line="264" w:lineRule="auto"/>
        <w:tabs>
          <w:tab w:leader="none" w:pos="19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transactions contemplated hereby or by any other Operative Document, in respect of the application of Parts 4 and 5 of Subtitle B of Title I of ERISA and any prohibited transaction described in Section 4975(c) of the Code other than as a result of a breach of the representation set forth in Section 8.1(d) hereof;</w:t>
      </w:r>
    </w:p>
    <w:p>
      <w:pPr>
        <w:spacing w:after="0" w:line="181" w:lineRule="exact"/>
        <w:rPr>
          <w:rFonts w:ascii="Arial" w:cs="Arial" w:eastAsia="Arial" w:hAnsi="Arial"/>
          <w:sz w:val="18"/>
          <w:szCs w:val="18"/>
          <w:color w:val="auto"/>
        </w:rPr>
      </w:pPr>
    </w:p>
    <w:p>
      <w:pPr>
        <w:ind w:left="660" w:right="340" w:firstLine="753"/>
        <w:spacing w:after="0" w:line="277" w:lineRule="auto"/>
        <w:tabs>
          <w:tab w:leader="none" w:pos="19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retaining or employment of any broker, finder or financial advisor by the Lessee to act on its behalf in connection with this Participation Agreement; or</w:t>
      </w:r>
    </w:p>
    <w:p>
      <w:pPr>
        <w:spacing w:after="0" w:line="170" w:lineRule="exact"/>
        <w:rPr>
          <w:rFonts w:ascii="Arial" w:cs="Arial" w:eastAsia="Arial" w:hAnsi="Arial"/>
          <w:sz w:val="18"/>
          <w:szCs w:val="18"/>
          <w:color w:val="auto"/>
        </w:rPr>
      </w:pPr>
    </w:p>
    <w:p>
      <w:pPr>
        <w:ind w:left="660" w:right="500" w:firstLine="753"/>
        <w:spacing w:after="0" w:line="264" w:lineRule="auto"/>
        <w:tabs>
          <w:tab w:leader="none" w:pos="19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other agreement entered into or assumed by Lessee or its Affiliate in connection with the Leased Property (including, in connection with each of the matters described in this Section 13.1 to which this indemnity shall apply, matters based on or arising from the negligence of any Participant Indemnitee or any General Indemnitee).</w:t>
      </w:r>
    </w:p>
    <w:p>
      <w:pPr>
        <w:spacing w:after="0" w:line="18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It is expressly understood and agreed that the indemnities provided for herein shall, except as otherwise provided herein, (i) survive the expiration or termination of and shall be separate and independent from any remedy under the Lease or any other Operative Document and (ii) continue to benefit a Participant that has been replaced pursuant to Section 14.9 hereof or a Lender whose interest is purchased pursuant to Section 2.10 of the Loan Agreement.</w:t>
      </w:r>
    </w:p>
    <w:p>
      <w:pPr>
        <w:spacing w:after="0" w:line="147" w:lineRule="exact"/>
        <w:rPr>
          <w:sz w:val="20"/>
          <w:szCs w:val="20"/>
          <w:color w:val="auto"/>
        </w:rPr>
      </w:pPr>
    </w:p>
    <w:p>
      <w:pPr>
        <w:ind w:right="140" w:firstLine="643"/>
        <w:spacing w:after="0" w:line="284" w:lineRule="auto"/>
        <w:tabs>
          <w:tab w:leader="none" w:pos="1304" w:val="left"/>
        </w:tabs>
        <w:numPr>
          <w:ilvl w:val="1"/>
          <w:numId w:val="59"/>
        </w:numPr>
        <w:rPr>
          <w:rFonts w:ascii="Arial" w:cs="Arial" w:eastAsia="Arial" w:hAnsi="Arial"/>
          <w:sz w:val="16"/>
          <w:szCs w:val="16"/>
          <w:color w:val="auto"/>
        </w:rPr>
      </w:pPr>
      <w:r>
        <w:rPr>
          <w:rFonts w:ascii="Arial" w:cs="Arial" w:eastAsia="Arial" w:hAnsi="Arial"/>
          <w:sz w:val="16"/>
          <w:szCs w:val="16"/>
          <w:i w:val="1"/>
          <w:iCs w:val="1"/>
          <w:color w:val="auto"/>
        </w:rPr>
        <w:t>Exclusions from Indemnities</w:t>
      </w:r>
      <w:r>
        <w:rPr>
          <w:rFonts w:ascii="Arial" w:cs="Arial" w:eastAsia="Arial" w:hAnsi="Arial"/>
          <w:sz w:val="16"/>
          <w:szCs w:val="16"/>
          <w:color w:val="auto"/>
        </w:rPr>
        <w:t>. Notwithstanding the foregoing provisions of this Article XIII, Lessee shall not be obligated to indemnify a</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Indemnitee under Section 13.1 and Lessor shall not be required to indemnify a Participant Indemnitee under Section 13.1(a) for any Claim to the extent that such Claim is attributable to: (i) criminal acts or the gross negligence or willful misconduct of such Indemnitee, as determined by a court of competent jurisdiction in a final, non-appealable judgment; (ii) the breach by such Indemnitee of its representations and warranties in Section 8.1 or 8.3, as the case may be, or the breach by such Indemnitee of its covenants as set forth in this Participation Agreement or in any other Operative Document to which such Indemnitee is a party; (iii) any Claim resulting from the imposition of any Lessor Lien which such Indemnitee is responsible for discharging under the Operative Documents; (iv) acts occurring with respect to the Leased Property after any sale or taking possession pursuant to Section 16.2 of the Lease; or</w:t>
      </w:r>
    </w:p>
    <w:p>
      <w:pPr>
        <w:spacing w:after="0" w:line="2" w:lineRule="exact"/>
        <w:rPr>
          <w:rFonts w:ascii="Arial" w:cs="Arial" w:eastAsia="Arial" w:hAnsi="Arial"/>
          <w:sz w:val="16"/>
          <w:szCs w:val="16"/>
          <w:color w:val="auto"/>
        </w:rPr>
      </w:pPr>
    </w:p>
    <w:p>
      <w:pPr>
        <w:jc w:val="both"/>
        <w:ind w:right="40" w:firstLine="8"/>
        <w:spacing w:after="0" w:line="255" w:lineRule="auto"/>
        <w:tabs>
          <w:tab w:leader="none" w:pos="2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acts occurring after the expiration or earlier termination of the Term, but, in the case of this clause (v), only to the extent not attributable to, relating to, or arising from, the Lessor’s ownership interests in the Leased Property); </w:t>
      </w:r>
      <w:r>
        <w:rPr>
          <w:rFonts w:ascii="Arial" w:cs="Arial" w:eastAsia="Arial" w:hAnsi="Arial"/>
          <w:sz w:val="18"/>
          <w:szCs w:val="18"/>
          <w:i w:val="1"/>
          <w:iCs w:val="1"/>
          <w:color w:val="auto"/>
        </w:rPr>
        <w:t>provided, however</w:t>
      </w:r>
      <w:r>
        <w:rPr>
          <w:rFonts w:ascii="Arial" w:cs="Arial" w:eastAsia="Arial" w:hAnsi="Arial"/>
          <w:sz w:val="18"/>
          <w:szCs w:val="18"/>
          <w:color w:val="auto"/>
        </w:rPr>
        <w:t>, that nothing in the foregoing clauses shall be deemed to exclude or limit any (x) Claim that Lessor or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any Participant Indemnitee may have under any Operative Document or Applicable Laws for damages from the Lessee for breach by Lessee or the Guarantors of its representations or warranties made by it in any Operative Document or (y) any remedy under or right to damages pursuant to Article XVI of the Lease.</w:t>
      </w:r>
    </w:p>
    <w:p>
      <w:pPr>
        <w:spacing w:after="0" w:line="181" w:lineRule="exact"/>
        <w:rPr>
          <w:sz w:val="20"/>
          <w:szCs w:val="20"/>
          <w:color w:val="auto"/>
        </w:rPr>
      </w:pPr>
    </w:p>
    <w:p>
      <w:pPr>
        <w:ind w:firstLine="594"/>
        <w:spacing w:after="0" w:line="293" w:lineRule="auto"/>
        <w:rPr>
          <w:sz w:val="20"/>
          <w:szCs w:val="20"/>
          <w:color w:val="auto"/>
        </w:rPr>
      </w:pPr>
      <w:r>
        <w:rPr>
          <w:rFonts w:ascii="Arial" w:cs="Arial" w:eastAsia="Arial" w:hAnsi="Arial"/>
          <w:sz w:val="16"/>
          <w:szCs w:val="16"/>
          <w:i w:val="1"/>
          <w:iCs w:val="1"/>
          <w:color w:val="auto"/>
        </w:rPr>
        <w:t>Section 13.2. Nonconformance</w:t>
      </w:r>
      <w:r>
        <w:rPr>
          <w:rFonts w:ascii="Arial" w:cs="Arial" w:eastAsia="Arial" w:hAnsi="Arial"/>
          <w:sz w:val="16"/>
          <w:szCs w:val="16"/>
          <w:color w:val="auto"/>
        </w:rPr>
        <w:t>. If (a) Lessee elects the Sale Option, an Event of Default occurs, or Lessee returns the Leased Property to Lessor</w:t>
      </w:r>
      <w:r>
        <w:rPr>
          <w:rFonts w:ascii="Arial" w:cs="Arial" w:eastAsia="Arial" w:hAnsi="Arial"/>
          <w:sz w:val="16"/>
          <w:szCs w:val="16"/>
          <w:i w:val="1"/>
          <w:iCs w:val="1"/>
          <w:color w:val="auto"/>
        </w:rPr>
        <w:t xml:space="preserve"> </w:t>
      </w:r>
      <w:r>
        <w:rPr>
          <w:rFonts w:ascii="Arial" w:cs="Arial" w:eastAsia="Arial" w:hAnsi="Arial"/>
          <w:sz w:val="16"/>
          <w:szCs w:val="16"/>
          <w:color w:val="auto"/>
        </w:rPr>
        <w:t>or Administrative Agent and (b) after paying to Lessor, for the benefit of the Participants, any amounts then due under the Operative Documents (including the Sale Option Recourse Amount), the Lease Balance shall not have been reduced to zero (0), then Lessee shall promptly pay no later than the earlier of Expiration Date and the date which is thirty (30) days following the delivery of the report described below, an amount (the “</w:t>
      </w:r>
      <w:r>
        <w:rPr>
          <w:rFonts w:ascii="Arial" w:cs="Arial" w:eastAsia="Arial" w:hAnsi="Arial"/>
          <w:sz w:val="16"/>
          <w:szCs w:val="16"/>
          <w:i w:val="1"/>
          <w:iCs w:val="1"/>
          <w:color w:val="auto"/>
        </w:rPr>
        <w:t>Nonconformance Amount</w:t>
      </w:r>
      <w:r>
        <w:rPr>
          <w:rFonts w:ascii="Arial" w:cs="Arial" w:eastAsia="Arial" w:hAnsi="Arial"/>
          <w:sz w:val="16"/>
          <w:szCs w:val="16"/>
          <w:color w:val="auto"/>
        </w:rPr>
        <w:t>”) not to exceed the shortfall which such report indicates is the result of extraordinary wear and tear to or excessive usage of the Leased Property, whether or not permitted under the Lease. For purposes of making the determination provided for in this Section 13.2, Lessor shall cause to be delivered to Administrative</w:t>
      </w:r>
    </w:p>
    <w:p>
      <w:pPr>
        <w:sectPr>
          <w:pgSz w:w="11900" w:h="16934" w:orient="portrait"/>
          <w:cols w:equalWidth="0" w:num="1">
            <w:col w:w="11400"/>
          </w:cols>
          <w:pgMar w:left="240" w:top="125" w:right="259" w:bottom="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Agent and Lessee within twenty (20) days of the occurrence of the event described in the first sentence of this Section 13.2 but in any event not less than ten</w:t>
      </w:r>
    </w:p>
    <w:p>
      <w:pPr>
        <w:spacing w:after="0" w:line="46" w:lineRule="exact"/>
        <w:rPr>
          <w:sz w:val="20"/>
          <w:szCs w:val="20"/>
          <w:color w:val="auto"/>
        </w:rPr>
      </w:pPr>
    </w:p>
    <w:p>
      <w:pPr>
        <w:ind w:right="80" w:firstLine="8"/>
        <w:spacing w:after="0" w:line="292" w:lineRule="auto"/>
        <w:tabs>
          <w:tab w:leader="none" w:pos="345" w:val="left"/>
        </w:tabs>
        <w:numPr>
          <w:ilvl w:val="0"/>
          <w:numId w:val="61"/>
        </w:numPr>
        <w:rPr>
          <w:rFonts w:ascii="Arial" w:cs="Arial" w:eastAsia="Arial" w:hAnsi="Arial"/>
          <w:sz w:val="16"/>
          <w:szCs w:val="16"/>
          <w:color w:val="auto"/>
        </w:rPr>
      </w:pPr>
      <w:r>
        <w:rPr>
          <w:rFonts w:ascii="Arial" w:cs="Arial" w:eastAsia="Arial" w:hAnsi="Arial"/>
          <w:sz w:val="16"/>
          <w:szCs w:val="16"/>
          <w:color w:val="auto"/>
        </w:rPr>
        <w:t>Business Days prior to the consummation of a sale of the Leased Property, at Lessee’s sole cost and expense, a report from an appraiser selected by the Required Participants and reasonably approved by Lessee, in form and substance reasonably satisfactory to the Required Participants and using approved methods reasonably satisfactory to the Required Participants, concerning the extent to which the fact that the actual Fair Market Value of the Leased Property as of the date of determination is less than the Fair Market Value anticipated for such date in the Appraisal is due to any of the factors enumerated in the preceding sentence hereof. Any Nonconformance Amounts payable by Lessee shall be distributed in accordance with Section 5.3(d).</w:t>
      </w:r>
    </w:p>
    <w:p>
      <w:pPr>
        <w:spacing w:after="0" w:line="163" w:lineRule="exact"/>
        <w:rPr>
          <w:sz w:val="20"/>
          <w:szCs w:val="20"/>
          <w:color w:val="auto"/>
        </w:rPr>
      </w:pPr>
    </w:p>
    <w:p>
      <w:pPr>
        <w:ind w:right="220" w:firstLine="594"/>
        <w:spacing w:after="0" w:line="286" w:lineRule="auto"/>
        <w:rPr>
          <w:sz w:val="20"/>
          <w:szCs w:val="20"/>
          <w:color w:val="auto"/>
        </w:rPr>
      </w:pPr>
      <w:r>
        <w:rPr>
          <w:rFonts w:ascii="Arial" w:cs="Arial" w:eastAsia="Arial" w:hAnsi="Arial"/>
          <w:sz w:val="17"/>
          <w:szCs w:val="17"/>
          <w:i w:val="1"/>
          <w:iCs w:val="1"/>
          <w:color w:val="auto"/>
        </w:rPr>
        <w:t>Section 13.3. Proceedings in Respect of Claims</w:t>
      </w:r>
      <w:r>
        <w:rPr>
          <w:rFonts w:ascii="Arial" w:cs="Arial" w:eastAsia="Arial" w:hAnsi="Arial"/>
          <w:sz w:val="17"/>
          <w:szCs w:val="17"/>
          <w:color w:val="auto"/>
        </w:rPr>
        <w:t>. With respect to any amount that the Lessee is requested by an Indemnitee to pay by reason of</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13.1 or 13.2, such Indemnitee shall, if so requested by the Lessee and prior to any payment, submit such additional information to the Lessee as Lessee may reasonably request and which is in the possession of such Indemnitee to substantiate properly the requested payment.</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case any action, suit or proceeding shall be brought against any Indemnitee, such Indemnitee shall, within a reasonable period, notify the Lessee in writing of the commencement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failure to notify Lessee shall not alter such Indemnitee’s rights under this Section 13.3, except to the extent such failure precludes or materially impairs Lessee’s ability to conduct a defense, and the Lessee shall be entitled, at its expense, to participate in, and, to the extent that the Lessee desires to, assume and control the defense thereof through its own counsel, which shall be subject to the reasonable approval of such Indemnitee;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Lessee shall have acknowledged in writing its obligation to fully indemnify such Indemnitee in respect of such action, suit or proceeding and, at the request of the Indemnitee, provide an indemnity and, if requested by such Indemnitee, collateral security, reasonably satisfactory to the Indemnitee, and, the Lessee shall keep such Indemnitee fully appraised of the status of such action, suit or proceeding and shall provide such Indemnitee with all information with respect to such action, suit or proceeding as such Indemnitee shall reasonably request. Lessee must indicate its election to assume such defense by written notice to the Indemnitee within ninety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8"/>
        <w:spacing w:after="0" w:line="288" w:lineRule="auto"/>
        <w:tabs>
          <w:tab w:leader="none" w:pos="345"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days following receipt of Indemnitee’s notice of the Claim, or in the case of a third party claim which requires a shorter time for response then within such shorter period as specified in the Indemnitee’s notice of Claim;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Indemnitee has given Lessee notice thereof. Lessee shall not be entitled to assume and control the defense of any such action, suit or proceeding if and to the extent that, (A) in the reasonable opinion of such Indemnitee,</w:t>
      </w:r>
    </w:p>
    <w:p>
      <w:pPr>
        <w:spacing w:after="0" w:line="287" w:lineRule="auto"/>
        <w:rPr>
          <w:rFonts w:ascii="Arial" w:cs="Arial" w:eastAsia="Arial" w:hAnsi="Arial"/>
          <w:sz w:val="16"/>
          <w:szCs w:val="16"/>
          <w:color w:val="auto"/>
        </w:rPr>
      </w:pPr>
      <w:r>
        <w:rPr>
          <w:rFonts w:ascii="Arial" w:cs="Arial" w:eastAsia="Arial" w:hAnsi="Arial"/>
          <w:sz w:val="16"/>
          <w:szCs w:val="16"/>
          <w:color w:val="auto"/>
        </w:rPr>
        <w:t>(x) such action, suit or proceeding involves any risk of imposition of criminal liability or any material risk of imposition of material civil liability on such Indemnitee or will involve a material risk of the sale, forfeiture or loss of, or the creation of any Lien (other than a Permitted Lien) on the Leased Property unless, in the case of civil liability, the Lessee shall have posted a bond or other security reasonably satisfactory to the relevant Indemnitees in respect to such risk or (y) the control of such action, suit or proceeding would involve an actual or potential conflict of interest, (B) such proceeding involves Claims not fully indemnified by the Lessee which the Lessee and the Indemnitee have been unable to sever from the indemnified Claim(s), or (C) an Event of Default has occurred and is continuing. The Indemnitee may participate in a reasonable manner at its own expense and with its own counsel in any proceeding controlled by the Lessee in accordance with the foregoing. The Lessee shall not enter into any settlement or other compromise with respect to any Claim which is entitled to be indemnified under Section 13.1 or 13.2, as applicable, without the prior written consent of the Indemnitee, which consent shall not be unreasonably withheld or delayed in the case of a money settlement not involving an admission of liability of such Indemnitee.</w:t>
      </w:r>
    </w:p>
    <w:p>
      <w:pPr>
        <w:spacing w:after="0" w:line="16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party controlling the defense shall consult in good faith with the other party and its counsel with respect to the defense and shall keep the non-controlling party reasonably informed as to the progress of the defense. Each Indemnitee shall supply the Lessee with such information and documents reasonably requested by the Lessee as are necessary or advisable for the Lessee to participate in any action, suit or proceeding to the extent permitted by Section 13.1 or 13.2, as applicable, and Lessee shall reimburse the Indemnitee for the reasonable out-of-pocket expenses of supplying such information and documents. Except during the occurrence of an Event of Default where Lessee or the Guarantors shall have failed to provide indemnity and, if requested by an Indemnitee, collateral security, both in form, substance and in such amounts reasonably satisfactory to each Indemnitee, no Indemnitee shall enter into any settlement or other compromise with respect to any Claim which is entitled to be indemnified under Section 13.1 or 13.2, as applicable, without the prior written consent of the Lessee, which consent shall not be unreasonably withheld, unless such Indemnitee waives its right to be indemnified under Section 13.1 or 13.2, as applicable, with respect to such Claim, does not admit any criminal liability or civil liability on behalf of the Lessee in connection with such Claim, and uses reasonable efforts to advise the Lessee on the status of proceedings from time to time during the pendency of such Claim.</w:t>
      </w:r>
    </w:p>
    <w:p>
      <w:pPr>
        <w:spacing w:after="0" w:line="16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Upon payment in full of any Claim by the Lessee pursuant to Section 13.1 or 13.2, as applicable, to or on behalf of an Indemnitee, the Lessee, without any further action, shall be subrogated to any and all claims that such Indemnitee may have relating thereto (other than claims in respect of insurance policies maintained by such Indemnitee at its own expense), and such Indemnitee shall execute such instruments of assignment and conveyance, evidence of claims and payment and such other documents, instruments and agreements as may be necessary to preserve any such claims and otherwise cooperate with the Lessee and give such further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assurances as are necessary or advisable to enable the Lessee vigorously to pursue such claims.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 xml:space="preserve">Any amount payable to an Indemnitee pursuant to Section 13.1 or 13.2 shall be paid to such Indemnitee promptly, but in no event no later than thirty (30) days, after receipt of a written demand therefor from such Indemnitee, accompanied by a written statement describing in reasonable detail the basis for such indemnity and the computation of the amount so payable;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not limit any obligation of the Lessee to indemnify an Indemnitee for costs and expenses incurred by such Indemnitee in contesting such Claim in accordance with the terms herein.</w:t>
      </w:r>
    </w:p>
    <w:p>
      <w:pPr>
        <w:spacing w:after="0" w:line="171" w:lineRule="exact"/>
        <w:rPr>
          <w:sz w:val="20"/>
          <w:szCs w:val="20"/>
          <w:color w:val="auto"/>
        </w:rPr>
      </w:pPr>
    </w:p>
    <w:p>
      <w:pPr>
        <w:ind w:left="600"/>
        <w:spacing w:after="0"/>
        <w:tabs>
          <w:tab w:leader="none" w:pos="1900" w:val="left"/>
        </w:tabs>
        <w:rPr>
          <w:sz w:val="20"/>
          <w:szCs w:val="20"/>
          <w:color w:val="auto"/>
        </w:rPr>
      </w:pPr>
      <w:r>
        <w:rPr>
          <w:rFonts w:ascii="Arial" w:cs="Arial" w:eastAsia="Arial" w:hAnsi="Arial"/>
          <w:sz w:val="18"/>
          <w:szCs w:val="18"/>
          <w:i w:val="1"/>
          <w:iCs w:val="1"/>
          <w:color w:val="auto"/>
        </w:rPr>
        <w:t>Section 13.4.</w:t>
      </w:r>
      <w:r>
        <w:rPr>
          <w:sz w:val="20"/>
          <w:szCs w:val="20"/>
          <w:color w:val="auto"/>
        </w:rPr>
        <w:tab/>
      </w:r>
      <w:r>
        <w:rPr>
          <w:rFonts w:ascii="Arial" w:cs="Arial" w:eastAsia="Arial" w:hAnsi="Arial"/>
          <w:sz w:val="16"/>
          <w:szCs w:val="16"/>
          <w:i w:val="1"/>
          <w:iCs w:val="1"/>
          <w:color w:val="auto"/>
        </w:rPr>
        <w:t>General Tax Indemnity</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73" w:lineRule="auto"/>
        <w:tabs>
          <w:tab w:leader="none" w:pos="1294"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Indemnification</w:t>
      </w:r>
      <w:r>
        <w:rPr>
          <w:rFonts w:ascii="Arial" w:cs="Arial" w:eastAsia="Arial" w:hAnsi="Arial"/>
          <w:sz w:val="17"/>
          <w:szCs w:val="17"/>
          <w:color w:val="auto"/>
        </w:rPr>
        <w:t>. Without limitation on the rights of any Tax Indemnitee under any other indemnification provision of this Article XIII,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immediately preceding sentence, the Lessee shall pay and assume liability for, and does hereby agree to indemnify, protect and defend the Leased Property and all Tax Indemnitees, and hold it and them harmless against, all Impositions on an After Tax Basis. It is expressly understood and agreed that the indemnities provided for in this Section 13.4 shall, except as otherwise provided herein, (i) survive the expiration or termination of and shall be separate and independent from any remedy under the Lease or any other Operative Document and (ii) continue to benefit a Participant that has been replaced pursuant to Section 14.9 hereof or a Lender whose interest is purchased pursuant to Section 2.10 of the Loan Agreement.</w:t>
      </w:r>
    </w:p>
    <w:p>
      <w:pPr>
        <w:sectPr>
          <w:pgSz w:w="11900" w:h="16838" w:orient="portrait"/>
          <w:cols w:equalWidth="0" w:num="1">
            <w:col w:w="11420"/>
          </w:cols>
          <w:pgMar w:left="240" w:top="125" w:right="239" w:bottom="0" w:gutter="0" w:footer="0" w:header="0"/>
        </w:sectPr>
      </w:pPr>
    </w:p>
    <w:bookmarkStart w:id="22" w:name="page23"/>
    <w:bookmarkEnd w:id="22"/>
    <w:p>
      <w:pPr>
        <w:spacing w:after="0" w:line="137" w:lineRule="exact"/>
        <w:rPr>
          <w:sz w:val="20"/>
          <w:szCs w:val="20"/>
          <w:color w:val="auto"/>
        </w:rPr>
      </w:pPr>
    </w:p>
    <w:p>
      <w:pPr>
        <w:ind w:right="60" w:firstLine="643"/>
        <w:spacing w:after="0" w:line="269" w:lineRule="auto"/>
        <w:tabs>
          <w:tab w:leader="none" w:pos="1304"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Contests</w:t>
      </w:r>
      <w:r>
        <w:rPr>
          <w:rFonts w:ascii="Arial" w:cs="Arial" w:eastAsia="Arial" w:hAnsi="Arial"/>
          <w:sz w:val="17"/>
          <w:szCs w:val="17"/>
          <w:color w:val="auto"/>
        </w:rPr>
        <w:t>. If any claim shall be made against any Tax Indemnitee or if any proceeding shall be commenced against any Tax Indemnitee</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 written notice of such proceeding) for any Imposition as to which the Lessee may have an indemnity obligation pursuant to this Section 13.4, or if any Tax Indemnitee shall determine that any Imposition for which the Lessee may have an indemnity obligation pursuant to this Section 13.4 may be payable, such Tax Indemnitee shall promptly (and in any event, within twenty (20) days) notify the Lessee in writing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failure to so notify the Lessee within twenty (20) days shall not alter such Tax Indemnitee’s rights under this Section 13.4, except to the extent such failure precludes or materially adversely affects the ability to conduct a contest of any indemnified Taxes) and shall not take any action with respect to such claim, proceeding or Imposition without the written consent of the Lessee (such consent not to be unreasonably withheld or unreasonably delayed) for thirty (30) days after the receipt of such notice by the Lessee;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case of any such claim or proceeding, if such Tax Indemnitee shall be required by law or regulation to take action prior to the end of such thirty (30) day period, such Tax Indemnitee shall in such notice to the Lessee, so inform the Lessee, and such Tax Indemnitee shall not take any action with respect to such claim, proceeding or Imposition without the consent of the Lessee (such consent not to be unreasonably withheld or unreasonably delayed) for ten (10) days after the receipt of such notice by the Lessee, unless the Tax Indemnitee shall be required by law or regulation to take action prior to the end of such ten (10) day period.</w:t>
      </w:r>
    </w:p>
    <w:p>
      <w:pPr>
        <w:spacing w:after="0" w:line="180"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The Lessee shall be entitled for a period of thirty (30) days from receipt of such notice from the Tax Indemnitee (or such shorter period as the Tax Indemnitee has notified the Lessee is required by law or regulation for the Tax Indemnitee to commence such contest), to request in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writing that such Tax Indemnitee contest the imposition of such Tax, at the Lessee’s expense. If (x) such contest can be pursued in the name of the Lessee and independently from any other proceeding involving a Tax liability of such Tax Indemnitee for which the Lessee has not agreed to indemnify such Tax Indemnitee, (y) such contest must be pursued in the name of the Tax Indemnitee, but can be pursued independently from any other proceeding involving a Tax liability of such Tax Indemnitee for which the Lessee has not agreed to indemnify such Tax Indemnitee or (z) the Tax Indemnitee so requests, then the Lessee shall be permitted to control the contest of such claim;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 contest described in any of clause (x), (y) or (z), if the Tax Indemnitee determines in good faith that such contest by the Lessee could have a material adverse impact on the business or operations of the Tax Indemnitee and provides a written explanation to the Lessee of such determination, the Tax Indemnitee may elect to control or reassert control of the contest, and </w:t>
      </w:r>
      <w:r>
        <w:rPr>
          <w:rFonts w:ascii="Arial" w:cs="Arial" w:eastAsia="Arial" w:hAnsi="Arial"/>
          <w:sz w:val="16"/>
          <w:szCs w:val="16"/>
          <w:i w:val="1"/>
          <w:iCs w:val="1"/>
          <w:color w:val="auto"/>
        </w:rPr>
        <w:t>provided</w:t>
      </w:r>
      <w:r>
        <w:rPr>
          <w:rFonts w:ascii="Arial" w:cs="Arial" w:eastAsia="Arial" w:hAnsi="Arial"/>
          <w:sz w:val="16"/>
          <w:szCs w:val="16"/>
          <w:color w:val="auto"/>
        </w:rPr>
        <w:t>, that by taking control of the contest, Lessee acknowledges that it is responsible for the Imposition ultimately determined to be due by reason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claim,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in determining the application of clauses (x) and (y) of the preceding sentence, each Tax Indemnitee shall take any and all reasonable steps to segregate claims for any Taxes for which the Lessee indemnifies hereunder from Taxes for which the Lessee is not obligated to indemnify hereunder, so that the Lessee can control the contest of the former. In all other claims requested to be contested by the Lessee, the Tax Indemnitee shall control the contest of such claim, acting through counsel reasonably acceptable to the Lessee. In no event shall the Lessee be permitted to contest (or the Tax Indemnitee required to contest) any claim, (A) if such Tax Indemnitee provides the Lessee with a legal opinion of independent counsel that such action, suit or proceeding involves a risk of imposition of criminal liability or will involve a material risk of the sale, forfeiture or loss of, or the creation of any Lien (other than a Permitted Lien) on the Leased Property or any part of any thereof unless the Lessee shall have posted and maintained a bond or other security reasonably satisfactory to the relevant Tax Indemnitee in respect to such risk, (B) if an Event of Default has occurred and is continuing, unless the Lessee shall have posted and maintained a bond or other security reasonably satisfactory to the relevant Tax Indemnitee in respect of the Taxes subject to such claim and any and all expenses for which the Lessee is responsible hereunder reasonably foreseeable in connection with the contest of such claim, (C) unless the Lessee shall have agreed to pay and shall pay to such Tax Indemnitee on demand all reasonable out-of-pocket costs, losses and expenses that such Tax Indemnitee may incur in connection with contesting such Imposition, including all reasonable legal, accounting and investigatory fees and disbursements as well as the Impositions which are the subject of such claim to the extent the contest is unsuccessful, or (D) if such contest shall involve the payment of the Tax prior to the contest, unless the Lessee shall provide to the Tax Indemnitee an interest-free advance in an amount equal to the Imposition that the Indemnitee is required to pay (with no additional net after-tax costs (including Taxes) to such Tax Indemnitee). In addition for Tax Indemnitee controlled contests and claims contested in the name of the Tax Indemnitee in a public forum, no contest shall be required: (A) unless the amount of the potential indemnity (taking into account all similar or logically related claims that have been or could be raised in any audit involving such Tax Indemnitee for which the Lessee may be liable to pay an indemnity under this Section 13.4(b)) exceeds $50,000 and (B) unless, if requested by the Tax Indemnitee, the Lessee shall have provided to the Tax Indemnitee an opinion of counsel selected by the Lessee (which may be in-house counsel, except, in the case of income taxes indemnified hereunder, which opinion shall be that of independent tax counsel selected by the Tax Indemnitee and reasonably acceptable to the Lessee) that a reasonable basis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exists to contest such claim. In no event shall a Tax Indemnitee be required to appeal an adverse judicial determination to the United States Supreme Court.</w:t>
      </w:r>
    </w:p>
    <w:p>
      <w:pPr>
        <w:spacing w:after="0" w:line="24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The party conducting the contest shall consult in good faith with the other party and its counsel with respect to the contest of such claim for Taxes (or claim for refund) but the decisions regarding what actions to be taken shall be made by the controlling party in its sole judgment;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Tax Indemnitee is the controlling party and the Lessee recommends the acceptance of a settlement offer made by the relevant Governmental Authority and such Tax Indemnitee rejects such settlement offer then the amount for which the Lessee will be required to indemnify such Tax Indemnitee with respect to the Taxes subject to such offer shall not exceed the amount which it would have owed if such settlement offer had been accepted. In addition, the controlling party shall keep the non-controlling party reasonably informed as to the progress of the contest, and shall provide the non-controlling party with a copy of (or appropriate excerpts from) any reports or claims issued by the relevant auditing agents or taxing authority to the controlling party thereof, in connection with such claim or the contest thereof.</w:t>
      </w:r>
    </w:p>
    <w:p>
      <w:pPr>
        <w:spacing w:after="0" w:line="192"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Each Tax Indemnitee shall supply the Lessee with such information and documents reasonably requested by the Lessee as are necessary or advisable for the Lessee to participate in any action, suit or proceeding to the extent permitted by this Section 13.4(b), and the Lessee shall promptly reimburse such Indemnitee for the reasonable out-of-pocket expenses of supplying such information and documents. Except during the occurrence of an Event of Default where Lessee and/or the Guarantors shall have failed to provide indemnity and, if requested by a Tax Indemnitee, collateral security, both in form, substance and in such amounts reasonably satisfactory to each Tax Indemnitee, no Tax Indemnitee shall enter into any settlement or other compromise or fail to appeal an adverse ruling with respect to any claim which is entitled to be indemnified under this Section 13.4 (and with respect to which contest is required under this Section 13.4(b)) without the prior written consent of the Lessee, unless such Tax Indemnitee waives its right to be indemnified under this Section 13.4 with respect to such claim.</w:t>
      </w:r>
    </w:p>
    <w:p>
      <w:pPr>
        <w:spacing w:after="0" w:line="179"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Notwithstanding anything contained herein to the contrary, a Tax Indemnitee will not be required to contest (and the Lessee shall not be permitted to contest) a claim with respect to the imposition of any Tax if (i) such Tax Indemnitee shall waive its right to indemnification under this Section 13.4 with</w:t>
      </w:r>
    </w:p>
    <w:p>
      <w:pPr>
        <w:sectPr>
          <w:pgSz w:w="11900" w:h="16975" w:orient="portrait"/>
          <w:cols w:equalWidth="0" w:num="1">
            <w:col w:w="11420"/>
          </w:cols>
          <w:pgMar w:left="240" w:top="125" w:right="239" w:bottom="0" w:gutter="0" w:footer="0" w:header="0"/>
        </w:sectPr>
      </w:pPr>
    </w:p>
    <w:bookmarkStart w:id="23" w:name="page24"/>
    <w:bookmarkEnd w:id="23"/>
    <w:p>
      <w:pPr>
        <w:spacing w:after="0" w:line="279" w:lineRule="auto"/>
        <w:rPr>
          <w:sz w:val="20"/>
          <w:szCs w:val="20"/>
          <w:color w:val="auto"/>
        </w:rPr>
      </w:pPr>
      <w:r>
        <w:rPr>
          <w:rFonts w:ascii="Arial" w:cs="Arial" w:eastAsia="Arial" w:hAnsi="Arial"/>
          <w:sz w:val="17"/>
          <w:szCs w:val="17"/>
          <w:color w:val="auto"/>
        </w:rPr>
        <w:t>respect to such claim (and any claim with respect to such year or any other taxable year, the contest of which is materially adversely affected as a result of such waiver) or (ii) such Tax is the sole result of a claim of a continuing and consistent nature, which claim has previously been resolved against the relevant Tax Indemnitee (unless a change in law or facts has occurred since such prior adverse resolution and Lessee provides an opinion of independent tax counsel to the effect it is more likely than not that such change in law or facts will result in a favorable resolution of the claim at issue).</w:t>
      </w:r>
    </w:p>
    <w:p>
      <w:pPr>
        <w:spacing w:after="0" w:line="171" w:lineRule="exact"/>
        <w:rPr>
          <w:sz w:val="20"/>
          <w:szCs w:val="20"/>
          <w:color w:val="auto"/>
        </w:rPr>
      </w:pPr>
    </w:p>
    <w:p>
      <w:pPr>
        <w:ind w:firstLine="656"/>
        <w:spacing w:after="0" w:line="288" w:lineRule="auto"/>
        <w:tabs>
          <w:tab w:leader="none" w:pos="1307"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Payments</w:t>
      </w:r>
      <w:r>
        <w:rPr>
          <w:rFonts w:ascii="Arial" w:cs="Arial" w:eastAsia="Arial" w:hAnsi="Arial"/>
          <w:sz w:val="16"/>
          <w:szCs w:val="16"/>
          <w:color w:val="auto"/>
        </w:rPr>
        <w:t>. (i)</w:t>
      </w:r>
      <w:r>
        <w:rPr>
          <w:rFonts w:ascii="Arial" w:cs="Arial" w:eastAsia="Arial" w:hAnsi="Arial"/>
          <w:sz w:val="16"/>
          <w:szCs w:val="16"/>
          <w:i w:val="1"/>
          <w:iCs w:val="1"/>
          <w:color w:val="auto"/>
        </w:rPr>
        <w:t xml:space="preserve"> To, or for the Account of, a Tax Indemnitee. </w:t>
      </w:r>
      <w:r>
        <w:rPr>
          <w:rFonts w:ascii="Arial" w:cs="Arial" w:eastAsia="Arial" w:hAnsi="Arial"/>
          <w:sz w:val="16"/>
          <w:szCs w:val="16"/>
          <w:color w:val="auto"/>
        </w:rPr>
        <w:t>Any Imposition indemnifiable under this Section 13.4 shall be paid 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when due to the applicable taxing authority if direct payment is practicable and permitted. If direct payment to the applicable taxing authority is not permitted or is otherwise not made, any amount payable to a Tax Indemnitee pursuant to this Section 13.4 shall be paid within thirty (30) days after receipt of a</w:t>
      </w: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written demand therefor from such Tax Indemnitee, accompanied by a written statement describing in reasonable detail the amount so payable, but not before two (2) Business Days prior to the date that the relevant Taxes are due. Any indemnification payments made pursuant to this Section 13.4 shall be made directly to the Tax Indemnitee entitled thereto in immediately available funds at such bank or to such account as specified by the Tax Indemnitee in written directions to the Lessee, or, if no such direction shall have been given, by check of the Lessee payable to the order of the Tax Indemnitee by certified mail, postage prepaid at its address as set forth in this Participation Agreement. Upon the request of any Tax Indemnitee with respect to a Tax that the Lessee is required to pay, the Lessee shall furnish to such Tax Indemnitee the original or a certified copy of a receipt for the Lessee’s payment of such Tax or such other evidence of payment as is reasonably acceptable to such Tax Indemnitee.</w:t>
      </w:r>
    </w:p>
    <w:p>
      <w:pPr>
        <w:spacing w:after="0" w:line="178" w:lineRule="exact"/>
        <w:rPr>
          <w:sz w:val="20"/>
          <w:szCs w:val="20"/>
          <w:color w:val="auto"/>
        </w:rPr>
      </w:pPr>
    </w:p>
    <w:p>
      <w:pPr>
        <w:ind w:left="660" w:right="60" w:firstLine="753"/>
        <w:spacing w:after="0" w:line="286" w:lineRule="auto"/>
        <w:tabs>
          <w:tab w:leader="none" w:pos="1987"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To the Lessee</w:t>
      </w:r>
      <w:r>
        <w:rPr>
          <w:rFonts w:ascii="Arial" w:cs="Arial" w:eastAsia="Arial" w:hAnsi="Arial"/>
          <w:sz w:val="16"/>
          <w:szCs w:val="16"/>
          <w:color w:val="auto"/>
        </w:rPr>
        <w:t>. (x) If any Tax Indemnitee actually shall realize a Tax benefit (whether by way of deduction, or use of a credit)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a Tax not indemnifiable hereunder which, in the Tax Indemnitee’s reasonable determination, would not have been realized but for any Tax with respect to which the Lessee has reimbursed or indemnified such Tax Indemnitee pursuant to the Operative Documents, which benefit was not previously taken into account in determining the amount of the Lessee’s payment to such Tax Indemnitee, such Tax Indemnitee shall pay to the Lessee an amount equal to the amount of such Tax benefit, increased by any actual Tax savings realized by such Tax Indemnitee and net of any additional Taxes and any expenses related to obtaining the Tax benefit actually borne by such Tax Indemnitee as a result of such payment (a “</w:t>
      </w:r>
      <w:r>
        <w:rPr>
          <w:rFonts w:ascii="Arial" w:cs="Arial" w:eastAsia="Arial" w:hAnsi="Arial"/>
          <w:sz w:val="16"/>
          <w:szCs w:val="16"/>
          <w:i w:val="1"/>
          <w:iCs w:val="1"/>
          <w:color w:val="auto"/>
        </w:rPr>
        <w:t>Grossed-Up Basis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as long as an Event of Default is continuing any such amounts may be applied against any amounts due and owing by Lessee under the Lease;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Tax Indemnitee shall be required to pay to the Lessee any Tax benefit to the extent such payment would be greater than the amount of such Taxes in respect of which the reimbursement or indemnification was paid by the Lessee, reduced by all prior payments by such Tax Indemnitee under this Section 13.4(c)(ii)(x) in respect of such amount; any payment to the Lessee which is so limited shall, to the extent of such unpaid excess, be carried over and shall be available to offset any future obligations of the Lessee under this Section 13.4. If such repaid Tax benefit is thereafter lost, the additional Tax payable shall be treated as a Tax indemnifiable hereunder without regard to the exclusions set forth in clauses (i) through (xi) of the definition of Impositions.</w:t>
      </w:r>
    </w:p>
    <w:p>
      <w:pPr>
        <w:spacing w:after="0" w:line="174" w:lineRule="exact"/>
        <w:rPr>
          <w:rFonts w:ascii="Arial" w:cs="Arial" w:eastAsia="Arial" w:hAnsi="Arial"/>
          <w:sz w:val="16"/>
          <w:szCs w:val="16"/>
          <w:color w:val="auto"/>
        </w:rPr>
      </w:pPr>
    </w:p>
    <w:p>
      <w:pPr>
        <w:ind w:left="1300" w:firstLine="761"/>
        <w:spacing w:after="0" w:line="272" w:lineRule="auto"/>
        <w:tabs>
          <w:tab w:leader="none" w:pos="2604" w:val="left"/>
        </w:tabs>
        <w:numPr>
          <w:ilvl w:val="1"/>
          <w:numId w:val="66"/>
        </w:numPr>
        <w:rPr>
          <w:rFonts w:ascii="Arial" w:cs="Arial" w:eastAsia="Arial" w:hAnsi="Arial"/>
          <w:sz w:val="17"/>
          <w:szCs w:val="17"/>
          <w:color w:val="auto"/>
        </w:rPr>
      </w:pPr>
      <w:r>
        <w:rPr>
          <w:rFonts w:ascii="Arial" w:cs="Arial" w:eastAsia="Arial" w:hAnsi="Arial"/>
          <w:sz w:val="17"/>
          <w:szCs w:val="17"/>
          <w:color w:val="auto"/>
        </w:rPr>
        <w:t xml:space="preserve">Upon receipt by a Tax Indemnitee of a refund or the benefit of a credit which in the Tax Indemnitee’s reasonable determination was derived all or in part from any Taxes paid or indemnified against by the Lessee, which refund or credit was not previously taken into account in determining the amount of the Lessee’s payment to such Tax Indemnitee, such Tax Indemnitee shall pay to the Lessee, on a Grossed-Up Basis, an amount equal to the amount of such refund, plus any interest received by or credited to such Tax Indemnitee with respect to such refund;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as long as an Event of Default is continuing any such amounts may be applied against any amounts due and owing by Lessee under the Lease;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Tax Indemnitee shall be required to pay to the Lessee any refund or credit to the extent such refund 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40"/>
        <w:spacing w:after="0" w:line="288" w:lineRule="auto"/>
        <w:rPr>
          <w:sz w:val="20"/>
          <w:szCs w:val="20"/>
          <w:color w:val="auto"/>
        </w:rPr>
      </w:pPr>
      <w:r>
        <w:rPr>
          <w:rFonts w:ascii="Arial" w:cs="Arial" w:eastAsia="Arial" w:hAnsi="Arial"/>
          <w:sz w:val="16"/>
          <w:szCs w:val="16"/>
          <w:color w:val="auto"/>
        </w:rPr>
        <w:t>credit is greater than the amount of Taxes in respect of which payment or indemnification was made by the Lessee, reduced by all prior payments by such Tax Indemnitee under this Section 13.4(c)(ii)(y) in respect of such amount. If such repaid refund or credit is thereafter lost, the additional Tax payable shall be treated as a Tax indemnifiable hereunder without regard to the exclusions set forth in clauses</w:t>
      </w:r>
    </w:p>
    <w:p>
      <w:pPr>
        <w:ind w:left="1520" w:hanging="215"/>
        <w:spacing w:after="0"/>
        <w:tabs>
          <w:tab w:leader="none" w:pos="15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through (x) of the definition of Impositions.</w:t>
      </w:r>
    </w:p>
    <w:p>
      <w:pPr>
        <w:spacing w:after="0" w:line="210" w:lineRule="exact"/>
        <w:rPr>
          <w:rFonts w:ascii="Arial" w:cs="Arial" w:eastAsia="Arial" w:hAnsi="Arial"/>
          <w:sz w:val="18"/>
          <w:szCs w:val="18"/>
          <w:color w:val="auto"/>
        </w:rPr>
      </w:pPr>
    </w:p>
    <w:p>
      <w:pPr>
        <w:ind w:right="80" w:firstLine="643"/>
        <w:spacing w:after="0" w:line="270" w:lineRule="auto"/>
        <w:tabs>
          <w:tab w:leader="none" w:pos="1304"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Reports</w:t>
      </w:r>
      <w:r>
        <w:rPr>
          <w:rFonts w:ascii="Arial" w:cs="Arial" w:eastAsia="Arial" w:hAnsi="Arial"/>
          <w:sz w:val="17"/>
          <w:szCs w:val="17"/>
          <w:color w:val="auto"/>
        </w:rPr>
        <w:t>. In the case of any report, return or statement required to be filed with respect to any Taxes that are subject to indemnification</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this Section 13.4 and of which the Lessee has knowledge, the Lessee shall promptly notify the Tax Indemnitee of such requirement and, at the Lessee’s expense (i) if the Lessee is permitted (unless otherwise requested by the Tax Indemnitee) by Applicable Laws, timely file such report, return or statement in its own name or (ii) if such report, return or statement is required to be in the name of or filed by such Tax Indemnitee or the Tax Indemnitee otherwise requests that such report, return or statement be filed in the name of or by such Tax Indemnitee, the Lessee shall prepare such report, return or statement for filing by such Tax Indemnitee in such manner as shall be satisfactory to such Tax Indemnitee and send the same to the Tax Indemnitee for filing no later than fifteen (15) days prior to the due date therefor. In any case in which the Tax Indemnitee will file any such report, return or statement, the Lessee shall, upon written request of such Tax Indemnitee, provide such Tax Indemnitee with such information as is reasonably necessary to allow the Tax Indemnitee to file such report, return or statement.</w:t>
      </w:r>
    </w:p>
    <w:p>
      <w:pPr>
        <w:spacing w:after="0" w:line="181" w:lineRule="exact"/>
        <w:rPr>
          <w:rFonts w:ascii="Arial" w:cs="Arial" w:eastAsia="Arial" w:hAnsi="Arial"/>
          <w:sz w:val="17"/>
          <w:szCs w:val="17"/>
          <w:color w:val="auto"/>
        </w:rPr>
      </w:pPr>
    </w:p>
    <w:p>
      <w:pPr>
        <w:ind w:firstLine="656"/>
        <w:spacing w:after="0" w:line="291" w:lineRule="auto"/>
        <w:tabs>
          <w:tab w:leader="none" w:pos="1307"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Withholding Taxes</w:t>
      </w:r>
      <w:r>
        <w:rPr>
          <w:rFonts w:ascii="Arial" w:cs="Arial" w:eastAsia="Arial" w:hAnsi="Arial"/>
          <w:sz w:val="16"/>
          <w:szCs w:val="16"/>
          <w:color w:val="auto"/>
        </w:rPr>
        <w:t>. (i) Except as otherwise required by law, each payment to an Indemnitee under or contemplated by any Operative</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 shall be free of Withholding Taxes (including any Withholding Taxes in respect of payments pursuant to this Section 13.4) and the Lessee agrees to indemnify, protect, defend and hold harmless the Tax Indemnitees against all such Withholding Taxes. If any such withholding is so required, the Lessee shall make the withholding and pay the amount withheld to the appropriate taxing authority before penalties attach thereto or interest accrues thereon. The Lessee shall forthwith pay the relevant Tax Indemnitee an amount that, after making all required deductions (including deductions applicable to additional sums payable under this Section), equals the amount that would have been paid if such withholding had not been required. Notwithstanding the first sentence of this Section 13.4(e), the Lessee shall not be required to make any additional payment to or on behalf of a Tax Indemnitee pursuant to this paragraph on account of:</w:t>
      </w:r>
    </w:p>
    <w:p>
      <w:pPr>
        <w:spacing w:after="0" w:line="167" w:lineRule="exact"/>
        <w:rPr>
          <w:rFonts w:ascii="Arial" w:cs="Arial" w:eastAsia="Arial" w:hAnsi="Arial"/>
          <w:sz w:val="16"/>
          <w:szCs w:val="16"/>
          <w:color w:val="auto"/>
        </w:rPr>
      </w:pPr>
    </w:p>
    <w:p>
      <w:pPr>
        <w:ind w:left="1300" w:right="280" w:firstLine="720"/>
        <w:spacing w:after="0" w:line="277" w:lineRule="auto"/>
        <w:tabs>
          <w:tab w:leader="none" w:pos="2617" w:val="left"/>
        </w:tabs>
        <w:numPr>
          <w:ilvl w:val="2"/>
          <w:numId w:val="68"/>
        </w:numPr>
        <w:rPr>
          <w:rFonts w:ascii="Arial" w:cs="Arial" w:eastAsia="Arial" w:hAnsi="Arial"/>
          <w:sz w:val="18"/>
          <w:szCs w:val="18"/>
          <w:color w:val="auto"/>
        </w:rPr>
      </w:pPr>
      <w:r>
        <w:rPr>
          <w:rFonts w:ascii="Arial" w:cs="Arial" w:eastAsia="Arial" w:hAnsi="Arial"/>
          <w:sz w:val="18"/>
          <w:szCs w:val="18"/>
          <w:color w:val="auto"/>
        </w:rPr>
        <w:t>Withholding Taxes while they are being contested in accordance with Section 13.4(b), so long as such Tax Indemnitee shall be receiving all payments required to be made to it without reduction for any such Withholding Taxes;</w:t>
      </w:r>
    </w:p>
    <w:p>
      <w:pPr>
        <w:spacing w:after="0" w:line="170" w:lineRule="exact"/>
        <w:rPr>
          <w:rFonts w:ascii="Arial" w:cs="Arial" w:eastAsia="Arial" w:hAnsi="Arial"/>
          <w:sz w:val="18"/>
          <w:szCs w:val="18"/>
          <w:color w:val="auto"/>
        </w:rPr>
      </w:pPr>
    </w:p>
    <w:p>
      <w:pPr>
        <w:ind w:left="1300" w:right="180" w:firstLine="734"/>
        <w:spacing w:after="0" w:line="264" w:lineRule="auto"/>
        <w:tabs>
          <w:tab w:leader="none" w:pos="2607" w:val="left"/>
        </w:tabs>
        <w:numPr>
          <w:ilvl w:val="2"/>
          <w:numId w:val="68"/>
        </w:numPr>
        <w:rPr>
          <w:rFonts w:ascii="Arial" w:cs="Arial" w:eastAsia="Arial" w:hAnsi="Arial"/>
          <w:sz w:val="18"/>
          <w:szCs w:val="18"/>
          <w:color w:val="auto"/>
        </w:rPr>
      </w:pPr>
      <w:r>
        <w:rPr>
          <w:rFonts w:ascii="Arial" w:cs="Arial" w:eastAsia="Arial" w:hAnsi="Arial"/>
          <w:sz w:val="18"/>
          <w:szCs w:val="18"/>
          <w:color w:val="auto"/>
        </w:rPr>
        <w:t>Withholding Taxes imposed on an assignee or transferee on the day of the assignment or transfer to the extent of the excess of such Withholding Taxes over the total amount of Withholding Taxes that would have been imposed on the transferor on the date of the transfer had there not been an assignment or transfer;</w:t>
      </w:r>
    </w:p>
    <w:p>
      <w:pPr>
        <w:sectPr>
          <w:pgSz w:w="11900" w:h="16838" w:orient="portrait"/>
          <w:cols w:equalWidth="0" w:num="1">
            <w:col w:w="11420"/>
          </w:cols>
          <w:pgMar w:left="240" w:top="125" w:right="239" w:bottom="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firstLine="734"/>
        <w:spacing w:after="0" w:line="264" w:lineRule="auto"/>
        <w:tabs>
          <w:tab w:leader="none" w:pos="2607"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Withholding Taxes imposed on a Recipient to the extent of the excess of such Withholding Taxes over the total amount of the Withholding Taxes that would have been imposed had such Recipient not relocated its Applicable Lending Office after the date on which it became a Recipient;</w:t>
      </w:r>
    </w:p>
    <w:p>
      <w:pPr>
        <w:spacing w:after="0" w:line="181" w:lineRule="exact"/>
        <w:rPr>
          <w:rFonts w:ascii="Arial" w:cs="Arial" w:eastAsia="Arial" w:hAnsi="Arial"/>
          <w:sz w:val="18"/>
          <w:szCs w:val="18"/>
          <w:color w:val="auto"/>
        </w:rPr>
      </w:pPr>
    </w:p>
    <w:p>
      <w:pPr>
        <w:ind w:left="1300" w:right="180" w:firstLine="720"/>
        <w:spacing w:after="0" w:line="264" w:lineRule="auto"/>
        <w:tabs>
          <w:tab w:leader="none" w:pos="2617"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Withholding Taxes resulting from the gross negligence, willful misconduct, or fraud of the Tax Indemnitee or any of its Affiliates or the breach of the Operative Documents by the Tax Indemnitee including directing the Lessor to engage in any activity not permitted under the Operative Documents;</w:t>
      </w:r>
    </w:p>
    <w:p>
      <w:pPr>
        <w:spacing w:after="0" w:line="181" w:lineRule="exact"/>
        <w:rPr>
          <w:rFonts w:ascii="Arial" w:cs="Arial" w:eastAsia="Arial" w:hAnsi="Arial"/>
          <w:sz w:val="18"/>
          <w:szCs w:val="18"/>
          <w:color w:val="auto"/>
        </w:rPr>
      </w:pPr>
    </w:p>
    <w:p>
      <w:pPr>
        <w:jc w:val="both"/>
        <w:ind w:left="1300" w:right="760" w:firstLine="747"/>
        <w:spacing w:after="0" w:line="264" w:lineRule="auto"/>
        <w:tabs>
          <w:tab w:leader="none" w:pos="261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Withholding Taxes imposed under the laws of any jurisdiction other than the United States, or any state or local jurisdiction thereof, or any jurisdiction where such Tax is imposed solely as a result of the Lessee making the payment from such jurisdiction;</w:t>
      </w:r>
    </w:p>
    <w:p>
      <w:pPr>
        <w:spacing w:after="0" w:line="181" w:lineRule="exact"/>
        <w:rPr>
          <w:rFonts w:ascii="Arial" w:cs="Arial" w:eastAsia="Arial" w:hAnsi="Arial"/>
          <w:sz w:val="18"/>
          <w:szCs w:val="18"/>
          <w:color w:val="auto"/>
        </w:rPr>
      </w:pPr>
    </w:p>
    <w:p>
      <w:pPr>
        <w:ind w:left="2620" w:hanging="559"/>
        <w:spacing w:after="0"/>
        <w:tabs>
          <w:tab w:leader="none" w:pos="26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Withholding Taxes imposed under FATCA due to the failure of a Recipient to comply with the provisions of Section 12.3;</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300" w:right="260" w:firstLine="720"/>
        <w:spacing w:after="0" w:line="277" w:lineRule="auto"/>
        <w:tabs>
          <w:tab w:leader="none" w:pos="2617"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Withholding Taxes imposed on any Recipient that would have been imposed under then Applicable Law as of the date such Person becomes a Recipient.</w:t>
      </w:r>
    </w:p>
    <w:p>
      <w:pPr>
        <w:spacing w:after="0" w:line="170" w:lineRule="exact"/>
        <w:rPr>
          <w:sz w:val="20"/>
          <w:szCs w:val="20"/>
          <w:color w:val="auto"/>
        </w:rPr>
      </w:pPr>
    </w:p>
    <w:p>
      <w:pPr>
        <w:ind w:left="1060" w:right="80"/>
        <w:spacing w:after="0" w:line="257" w:lineRule="auto"/>
        <w:rPr>
          <w:sz w:val="20"/>
          <w:szCs w:val="20"/>
          <w:color w:val="auto"/>
        </w:rPr>
      </w:pPr>
      <w:r>
        <w:rPr>
          <w:rFonts w:ascii="Arial" w:cs="Arial" w:eastAsia="Arial" w:hAnsi="Arial"/>
          <w:sz w:val="18"/>
          <w:szCs w:val="18"/>
          <w:color w:val="auto"/>
        </w:rPr>
        <w:t xml:space="preserve">If the Lessee pays any amount to a Tax Indemnitee with respect to Withholding Taxes required to be withheld by law but not subject to indemnity pursuant to this Section 13.4, such Tax Indemnitee shall reimburse the Lessee within thirty (30) days of written demand therefor for the amount so paid by the Lessee;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Tax Indemnitee fails to reimburse the Lessee within such thirty (30) days, such Tax Indemnitee shall thereafter be obligated to reimburse the Lessee for such amount together with interest on such amount at the Overdue Rate from the date such reimbursement was due until the date it is paid.</w:t>
      </w:r>
    </w:p>
    <w:p>
      <w:pPr>
        <w:spacing w:after="0" w:line="188" w:lineRule="exact"/>
        <w:rPr>
          <w:sz w:val="20"/>
          <w:szCs w:val="20"/>
          <w:color w:val="auto"/>
        </w:rPr>
      </w:pPr>
    </w:p>
    <w:p>
      <w:pPr>
        <w:ind w:left="660" w:right="600" w:firstLine="753"/>
        <w:spacing w:after="0" w:line="277" w:lineRule="auto"/>
        <w:tabs>
          <w:tab w:leader="none" w:pos="1987" w:val="left"/>
        </w:tabs>
        <w:numPr>
          <w:ilvl w:val="1"/>
          <w:numId w:val="70"/>
        </w:numPr>
        <w:rPr>
          <w:rFonts w:ascii="Arial" w:cs="Arial" w:eastAsia="Arial" w:hAnsi="Arial"/>
          <w:sz w:val="18"/>
          <w:szCs w:val="18"/>
          <w:color w:val="auto"/>
        </w:rPr>
      </w:pPr>
      <w:r>
        <w:rPr>
          <w:rFonts w:ascii="Arial" w:cs="Arial" w:eastAsia="Arial" w:hAnsi="Arial"/>
          <w:sz w:val="18"/>
          <w:szCs w:val="18"/>
          <w:color w:val="auto"/>
        </w:rPr>
        <w:t>For purposes of this Section 13.4, it shall be assumed that the Lease constitutes a loan for United States federal income tax purposes (as is the parties’ intention).</w:t>
      </w:r>
    </w:p>
    <w:p>
      <w:pPr>
        <w:spacing w:after="0" w:line="170" w:lineRule="exact"/>
        <w:rPr>
          <w:rFonts w:ascii="Arial" w:cs="Arial" w:eastAsia="Arial" w:hAnsi="Arial"/>
          <w:sz w:val="18"/>
          <w:szCs w:val="18"/>
          <w:color w:val="auto"/>
        </w:rPr>
      </w:pPr>
    </w:p>
    <w:p>
      <w:pPr>
        <w:ind w:right="240" w:firstLine="670"/>
        <w:spacing w:after="0" w:line="264" w:lineRule="auto"/>
        <w:tabs>
          <w:tab w:leader="none" w:pos="1301"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Disclosure</w:t>
      </w:r>
      <w:r>
        <w:rPr>
          <w:rFonts w:ascii="Arial" w:cs="Arial" w:eastAsia="Arial" w:hAnsi="Arial"/>
          <w:sz w:val="18"/>
          <w:szCs w:val="18"/>
          <w:color w:val="auto"/>
        </w:rPr>
        <w:t>. The parties agree that any party to this Participation Agreement (and each employee, representative, or other agent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party) may disclose the tax aspects of the transactions contemplated by this Participation Agreement and the structural aspects of these transactions as they relate to such tax aspects without limitation of any kind on such disclosure.</w:t>
      </w:r>
    </w:p>
    <w:p>
      <w:pPr>
        <w:spacing w:after="0" w:line="181" w:lineRule="exact"/>
        <w:rPr>
          <w:sz w:val="20"/>
          <w:szCs w:val="20"/>
          <w:color w:val="auto"/>
        </w:rPr>
      </w:pPr>
    </w:p>
    <w:p>
      <w:pPr>
        <w:ind w:right="20" w:firstLine="594"/>
        <w:spacing w:after="0" w:line="279" w:lineRule="auto"/>
        <w:rPr>
          <w:sz w:val="20"/>
          <w:szCs w:val="20"/>
          <w:color w:val="auto"/>
        </w:rPr>
      </w:pPr>
      <w:r>
        <w:rPr>
          <w:rFonts w:ascii="Arial" w:cs="Arial" w:eastAsia="Arial" w:hAnsi="Arial"/>
          <w:sz w:val="17"/>
          <w:szCs w:val="17"/>
          <w:i w:val="1"/>
          <w:iCs w:val="1"/>
          <w:color w:val="auto"/>
        </w:rPr>
        <w:t>Section 13.5. After Tax Basis</w:t>
      </w:r>
      <w:r>
        <w:rPr>
          <w:rFonts w:ascii="Arial" w:cs="Arial" w:eastAsia="Arial" w:hAnsi="Arial"/>
          <w:sz w:val="17"/>
          <w:szCs w:val="17"/>
          <w:color w:val="auto"/>
        </w:rPr>
        <w:t>. If an Indemnitee shall not be entitled to a corresponding and equal deduction with respect to any payment or Tax</w:t>
      </w:r>
      <w:r>
        <w:rPr>
          <w:rFonts w:ascii="Arial" w:cs="Arial" w:eastAsia="Arial" w:hAnsi="Arial"/>
          <w:sz w:val="17"/>
          <w:szCs w:val="17"/>
          <w:i w:val="1"/>
          <w:iCs w:val="1"/>
          <w:color w:val="auto"/>
        </w:rPr>
        <w:t xml:space="preserve"> </w:t>
      </w:r>
      <w:r>
        <w:rPr>
          <w:rFonts w:ascii="Arial" w:cs="Arial" w:eastAsia="Arial" w:hAnsi="Arial"/>
          <w:sz w:val="17"/>
          <w:szCs w:val="17"/>
          <w:color w:val="auto"/>
        </w:rPr>
        <w:t>which Lessee is required to pay or reimburse under any other provision of this Article XIII (each such payment or reimbursement under this Article XIII, an “</w:t>
      </w:r>
      <w:r>
        <w:rPr>
          <w:rFonts w:ascii="Arial" w:cs="Arial" w:eastAsia="Arial" w:hAnsi="Arial"/>
          <w:sz w:val="17"/>
          <w:szCs w:val="17"/>
          <w:i w:val="1"/>
          <w:iCs w:val="1"/>
          <w:color w:val="auto"/>
        </w:rPr>
        <w:t>original payment</w:t>
      </w:r>
      <w:r>
        <w:rPr>
          <w:rFonts w:ascii="Arial" w:cs="Arial" w:eastAsia="Arial" w:hAnsi="Arial"/>
          <w:sz w:val="17"/>
          <w:szCs w:val="17"/>
          <w:color w:val="auto"/>
        </w:rPr>
        <w:t>”) and which original payment constitutes income to such Indemnitee when accrued or received, then Lessee shall pay to, or for the account of, such Indemnitee on demand the amount of such original payment on an After Tax Basis.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spacing w:after="0"/>
        <w:tabs>
          <w:tab w:leader="none" w:pos="1900" w:val="left"/>
        </w:tabs>
        <w:rPr>
          <w:sz w:val="20"/>
          <w:szCs w:val="20"/>
          <w:color w:val="auto"/>
        </w:rPr>
      </w:pPr>
      <w:r>
        <w:rPr>
          <w:rFonts w:ascii="Arial" w:cs="Arial" w:eastAsia="Arial" w:hAnsi="Arial"/>
          <w:sz w:val="18"/>
          <w:szCs w:val="18"/>
          <w:i w:val="1"/>
          <w:iCs w:val="1"/>
          <w:color w:val="auto"/>
        </w:rPr>
        <w:t>Section 13.6.</w:t>
      </w:r>
      <w:r>
        <w:rPr>
          <w:sz w:val="20"/>
          <w:szCs w:val="20"/>
          <w:color w:val="auto"/>
        </w:rPr>
        <w:tab/>
      </w:r>
      <w:r>
        <w:rPr>
          <w:rFonts w:ascii="Arial" w:cs="Arial" w:eastAsia="Arial" w:hAnsi="Arial"/>
          <w:sz w:val="16"/>
          <w:szCs w:val="16"/>
          <w:i w:val="1"/>
          <w:iCs w:val="1"/>
          <w:color w:val="auto"/>
        </w:rPr>
        <w:t>[Reserved.]</w:t>
      </w:r>
    </w:p>
    <w:p>
      <w:pPr>
        <w:spacing w:after="0" w:line="225" w:lineRule="exact"/>
        <w:rPr>
          <w:sz w:val="20"/>
          <w:szCs w:val="20"/>
          <w:color w:val="auto"/>
        </w:rPr>
      </w:pPr>
    </w:p>
    <w:p>
      <w:pPr>
        <w:ind w:right="20" w:firstLine="594"/>
        <w:spacing w:after="0" w:line="255" w:lineRule="auto"/>
        <w:rPr>
          <w:sz w:val="20"/>
          <w:szCs w:val="20"/>
          <w:color w:val="auto"/>
        </w:rPr>
      </w:pPr>
      <w:r>
        <w:rPr>
          <w:rFonts w:ascii="Arial" w:cs="Arial" w:eastAsia="Arial" w:hAnsi="Arial"/>
          <w:sz w:val="18"/>
          <w:szCs w:val="18"/>
          <w:i w:val="1"/>
          <w:iCs w:val="1"/>
          <w:color w:val="auto"/>
        </w:rPr>
        <w:t>Section 13.7. Environmental Indemnity</w:t>
      </w:r>
      <w:r>
        <w:rPr>
          <w:rFonts w:ascii="Arial" w:cs="Arial" w:eastAsia="Arial" w:hAnsi="Arial"/>
          <w:sz w:val="18"/>
          <w:szCs w:val="18"/>
          <w:color w:val="auto"/>
        </w:rPr>
        <w:t>. Without limitation of the other provisions of this Article XIII, Lessee hereby agrees to indemnify, hold</w:t>
      </w:r>
      <w:r>
        <w:rPr>
          <w:rFonts w:ascii="Arial" w:cs="Arial" w:eastAsia="Arial" w:hAnsi="Arial"/>
          <w:sz w:val="18"/>
          <w:szCs w:val="18"/>
          <w:i w:val="1"/>
          <w:iCs w:val="1"/>
          <w:color w:val="auto"/>
        </w:rPr>
        <w:t xml:space="preserve"> </w:t>
      </w:r>
      <w:r>
        <w:rPr>
          <w:rFonts w:ascii="Arial" w:cs="Arial" w:eastAsia="Arial" w:hAnsi="Arial"/>
          <w:sz w:val="18"/>
          <w:szCs w:val="18"/>
          <w:color w:val="auto"/>
        </w:rPr>
        <w:t>harmless and defend each Indemnitee, in each case, from and against any and all Claims, losses, damages, liabilities, fines, penalties, charges, administrative and judicial proceedings (including informal proceedings) and orders, judgments, remedial action, requirements, enforcement actions of any kind, and all reasonable and documented costs and expenses incurred in connection therewith (including reasonable and documented attorneys’ and/or paralegals’ fees and expenses), including all costs incurred in connection with any investigation or monitoring of the condition of the Leased Property or any clean-up, remedial, removal or restoration work required or conducted by any Governmental Authority or required by Environmental Laws (collectively, “</w:t>
      </w:r>
      <w:r>
        <w:rPr>
          <w:rFonts w:ascii="Arial" w:cs="Arial" w:eastAsia="Arial" w:hAnsi="Arial"/>
          <w:sz w:val="18"/>
          <w:szCs w:val="18"/>
          <w:i w:val="1"/>
          <w:iCs w:val="1"/>
          <w:color w:val="auto"/>
        </w:rPr>
        <w:t>Environmental</w:t>
      </w:r>
      <w:r>
        <w:rPr>
          <w:rFonts w:ascii="Arial" w:cs="Arial" w:eastAsia="Arial" w:hAnsi="Arial"/>
          <w:sz w:val="18"/>
          <w:szCs w:val="18"/>
          <w:color w:val="auto"/>
        </w:rPr>
        <w:t xml:space="preserve"> </w:t>
      </w:r>
      <w:r>
        <w:rPr>
          <w:rFonts w:ascii="Arial" w:cs="Arial" w:eastAsia="Arial" w:hAnsi="Arial"/>
          <w:sz w:val="18"/>
          <w:szCs w:val="18"/>
          <w:i w:val="1"/>
          <w:iCs w:val="1"/>
          <w:color w:val="auto"/>
        </w:rPr>
        <w:t>Claims</w:t>
      </w:r>
      <w:r>
        <w:rPr>
          <w:rFonts w:ascii="Arial" w:cs="Arial" w:eastAsia="Arial" w:hAnsi="Arial"/>
          <w:sz w:val="18"/>
          <w:szCs w:val="18"/>
          <w:color w:val="auto"/>
        </w:rPr>
        <w:t>”), arising in whole or in part, out of:</w:t>
      </w:r>
    </w:p>
    <w:p>
      <w:pPr>
        <w:spacing w:after="0" w:line="189" w:lineRule="exact"/>
        <w:rPr>
          <w:sz w:val="20"/>
          <w:szCs w:val="20"/>
          <w:color w:val="auto"/>
        </w:rPr>
      </w:pPr>
    </w:p>
    <w:p>
      <w:pPr>
        <w:ind w:left="660" w:right="260" w:firstLine="761"/>
        <w:spacing w:after="0" w:line="277" w:lineRule="auto"/>
        <w:tabs>
          <w:tab w:leader="none" w:pos="194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presence on, under or around the Leased Property or any portion thereof of any Hazardous Substance, or any Release of any Hazardous Substance on, under, from, onto or around the Leased Property or any portion thereof,</w:t>
      </w:r>
    </w:p>
    <w:p>
      <w:pPr>
        <w:spacing w:after="0" w:line="170" w:lineRule="exact"/>
        <w:rPr>
          <w:rFonts w:ascii="Arial" w:cs="Arial" w:eastAsia="Arial" w:hAnsi="Arial"/>
          <w:sz w:val="18"/>
          <w:szCs w:val="18"/>
          <w:color w:val="auto"/>
        </w:rPr>
      </w:pPr>
    </w:p>
    <w:p>
      <w:pPr>
        <w:ind w:left="660" w:firstLine="753"/>
        <w:spacing w:after="0" w:line="272" w:lineRule="auto"/>
        <w:tabs>
          <w:tab w:leader="none" w:pos="1964"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any activity, including, without limitation, construction, carried on or undertaken on the Leased Property or any portion thereof or off the Leased Property, and whether by Lessee or any of its Affiliates or any predecessor in title or any employees, agents, sublessees, contractors or subcontractors of Lessee, any of its Affiliates or any predecessor in title, or any other Persons (including such Indemnitee), in connection with the investigation, handling, treatment, remediation, removal, storage, decontamination, clean-up, transport or disposal of any Hazardous Substance that at any time has been or is Released, located or present on, under or around, or that at any time has or may migrate, flow, percolate, diffuse or in any way move onto or under the Leased Property or any portion thereof, or any activity that aggravates, contributes to or exacerbates existing environmental conditions or results in a violation of existing deed restrictions,</w:t>
      </w:r>
    </w:p>
    <w:p>
      <w:pPr>
        <w:spacing w:after="0" w:line="177" w:lineRule="exact"/>
        <w:rPr>
          <w:rFonts w:ascii="Arial" w:cs="Arial" w:eastAsia="Arial" w:hAnsi="Arial"/>
          <w:sz w:val="17"/>
          <w:szCs w:val="17"/>
          <w:color w:val="auto"/>
        </w:rPr>
      </w:pPr>
    </w:p>
    <w:p>
      <w:pPr>
        <w:ind w:left="660" w:right="40" w:firstLine="766"/>
        <w:spacing w:after="0" w:line="255" w:lineRule="auto"/>
        <w:tabs>
          <w:tab w:leader="none" w:pos="1967" w:val="left"/>
        </w:tabs>
        <w:numPr>
          <w:ilvl w:val="0"/>
          <w:numId w:val="72"/>
        </w:numPr>
        <w:rPr>
          <w:rFonts w:ascii="Arial" w:cs="Arial" w:eastAsia="Arial" w:hAnsi="Arial"/>
          <w:sz w:val="18"/>
          <w:szCs w:val="18"/>
          <w:color w:val="auto"/>
        </w:rPr>
      </w:pPr>
      <w:r>
        <w:rPr>
          <w:rFonts w:ascii="Arial" w:cs="Arial" w:eastAsia="Arial" w:hAnsi="Arial"/>
          <w:sz w:val="18"/>
          <w:szCs w:val="18"/>
          <w:color w:val="auto"/>
        </w:rPr>
        <w:t>loss of or damage to any property or the environment arising from, or in any way related to, the Leased Property or Lessee or any of its Affiliates (including, without limitation, investigation costs, clean-up costs, response costs, remediation, restoration and removal costs, cost of corrective action, costs of financial assurance, fines and penalties and natural resource damages), or death or injury to any Person, and all expenses associated with the protection of wildlife, aquatic species, vegetation, flora and fauna, and any mitigating action required by or under Environmental Laws, in each case arising from, or in any way related to, the Leased Property, Lessee, any of its Affiliates or the Overall Transaction or any portion thereof,</w:t>
      </w:r>
    </w:p>
    <w:p>
      <w:pPr>
        <w:spacing w:after="0" w:line="193" w:lineRule="exact"/>
        <w:rPr>
          <w:rFonts w:ascii="Arial" w:cs="Arial" w:eastAsia="Arial" w:hAnsi="Arial"/>
          <w:sz w:val="18"/>
          <w:szCs w:val="18"/>
          <w:color w:val="auto"/>
        </w:rPr>
      </w:pPr>
    </w:p>
    <w:p>
      <w:pPr>
        <w:ind w:left="660" w:right="20" w:firstLine="753"/>
        <w:spacing w:after="0" w:line="264" w:lineRule="auto"/>
        <w:tabs>
          <w:tab w:leader="none" w:pos="1964"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claim concerning lack of compliance with Environmental Laws in connection with the Leased Property, or any act or omission causing an environmental condition that requires remediation or would allow any Governmental Authority to record a Lien against the Leased Property or any portion thereof, or</w:t>
      </w:r>
    </w:p>
    <w:p>
      <w:pPr>
        <w:sectPr>
          <w:pgSz w:w="11900" w:h="16838" w:orient="portrait"/>
          <w:cols w:equalWidth="0" w:num="1">
            <w:col w:w="11400"/>
          </w:cols>
          <w:pgMar w:left="240" w:top="125" w:right="259" w:bottom="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40" w:firstLine="761"/>
        <w:spacing w:after="0" w:line="302" w:lineRule="auto"/>
        <w:tabs>
          <w:tab w:leader="none" w:pos="1963"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residual contamination on or under any of the Leased Property, or affecting any natural resources, and any contamination of any property or natural resources arising in connection with the generation, use, handling, storage, transport or disposal of any such Hazardous Substance, in each case arising from, or in any way related to, the Leased Property, Lessee, any of its Affiliates, or the Overall Transaction or any portion thereof, and irrespective of whether any of such activities were or will be undertaken in accordance with Applicable Laws.</w:t>
      </w:r>
    </w:p>
    <w:p>
      <w:pPr>
        <w:spacing w:after="0" w:line="15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Notwithstanding the foregoing provisions of this Section 13.7, Lessee shall not be obligated to indemnify an Indemnitee under this Section 13.7 for any Claim (i) to the extent that such Claim is attributable to the gross negligence or willful misconduct of such Indemnitee, (ii) to the extent attributable to acts occurring after any sale or taking possession pursuant to Section 16.2 of the Lease or (iii) to the extent attributable to acts occurring after the expiration or earlier termination of the Term, but, in the case of this clause (iii), only to the extent not attributable to, arising from, or relating to, the Lessor’s ownership interests in the Leased Property. It is expressly understood and agreed that the indemnities provided for in this Section 13.7 shall, except as otherwise provided herein, (i) survive the expiration or termination of and shall be separate and independent from any remedy under the Lease or any other Operative Document and (ii) continue to benefit a Participant that has been replaced pursuant to Section 14.9 hereof or a Lender whose interest is purchased pursuant to Section 2.10 of the Loan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CONTINGENT LIBOR AND OTHER COSTS</w:t>
      </w:r>
    </w:p>
    <w:p>
      <w:pPr>
        <w:spacing w:after="0" w:line="211"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i w:val="1"/>
          <w:iCs w:val="1"/>
          <w:color w:val="auto"/>
        </w:rPr>
        <w:t xml:space="preserve">Section 14.1. LIBO Rate Lending Unlawful. </w:t>
      </w:r>
      <w:r>
        <w:rPr>
          <w:rFonts w:ascii="Arial" w:cs="Arial" w:eastAsia="Arial" w:hAnsi="Arial"/>
          <w:sz w:val="17"/>
          <w:szCs w:val="17"/>
          <w:color w:val="auto"/>
        </w:rPr>
        <w:t>If any Participant shall reasonably determine (which determination shall, upon notice thereof to the</w:t>
      </w:r>
      <w:r>
        <w:rPr>
          <w:rFonts w:ascii="Arial" w:cs="Arial" w:eastAsia="Arial" w:hAnsi="Arial"/>
          <w:sz w:val="17"/>
          <w:szCs w:val="17"/>
          <w:i w:val="1"/>
          <w:iCs w:val="1"/>
          <w:color w:val="auto"/>
        </w:rPr>
        <w:t xml:space="preserve"> </w:t>
      </w:r>
      <w:r>
        <w:rPr>
          <w:rFonts w:ascii="Arial" w:cs="Arial" w:eastAsia="Arial" w:hAnsi="Arial"/>
          <w:sz w:val="17"/>
          <w:szCs w:val="17"/>
          <w:color w:val="auto"/>
        </w:rPr>
        <w:t>Lessee and the Participants, be conclusive and binding on the Lessee and which notice shall be withdrawn whenever the applicable circumstances no longer exist) that the introduction of or any change in or in the interpretation of any law makes it unlawful, or any central bank or other Governmental Authority asserts that it is unlawful, for such Participant to make available, continue or maintain any Loan or Lessor Amount that bears Interest or Yield based upon the LIBO Rate, as the case may be, the obligation of such Participant to make available, continue or maintain any such Loan or Lessor Amount, as the case may be, on a LIBO Rate basis shall, upon such determination, forthwith be suspended (unless such Participant determines in its sole discretion that it can continue to make any Loan or Lessor Amount based upon the LIBO Rate at one of its lending offices where such action would not be deemed unlawful) until such Participant shall notify the Lessee and Lessor that the circumstances causing such suspension no longer exist and, to the extent required by any such introduction of or change in or in the interpretation of any law, all Loans and Lessor Amount, as the case may be, of such Participant shall automatically bear Interest or accrue Yield at the Alternate Base Rate either (a) on the last day of the then current Interest Period applicable to such Loan or Lessor Amount, as the case may be, if such Participant may lawfully continue to maintain and fund such Loan or Lessor Amount, or (b) immediately if such Participant shall determine that it may not lawfully continue to maintain and fund such Loan or Lessor Amount, as the case may be, to such day thereto or sooner, if required by such law or assertion.</w:t>
      </w:r>
    </w:p>
    <w:p>
      <w:pPr>
        <w:spacing w:after="0" w:line="18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14.2.</w:t>
      </w:r>
      <w:r>
        <w:rPr>
          <w:sz w:val="20"/>
          <w:szCs w:val="20"/>
          <w:color w:val="auto"/>
        </w:rPr>
        <w:tab/>
      </w:r>
      <w:r>
        <w:rPr>
          <w:rFonts w:ascii="Arial" w:cs="Arial" w:eastAsia="Arial" w:hAnsi="Arial"/>
          <w:sz w:val="16"/>
          <w:szCs w:val="16"/>
          <w:i w:val="1"/>
          <w:iCs w:val="1"/>
          <w:color w:val="auto"/>
        </w:rPr>
        <w:t xml:space="preserve">Deposits Unavailable. </w:t>
      </w:r>
      <w:r>
        <w:rPr>
          <w:rFonts w:ascii="Arial" w:cs="Arial" w:eastAsia="Arial" w:hAnsi="Arial"/>
          <w:sz w:val="16"/>
          <w:szCs w:val="16"/>
          <w:color w:val="auto"/>
        </w:rPr>
        <w:t>If any Participant shall have determined that: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hanging="519"/>
        <w:spacing w:after="0"/>
        <w:tabs>
          <w:tab w:leader="none" w:pos="19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Dollar deposits in the relevant amount and for the relevant Interest Period are not available to such Participant in its relevant</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 or</w:t>
      </w:r>
    </w:p>
    <w:p>
      <w:pPr>
        <w:spacing w:after="0" w:line="211" w:lineRule="exact"/>
        <w:rPr>
          <w:sz w:val="20"/>
          <w:szCs w:val="20"/>
          <w:color w:val="auto"/>
        </w:rPr>
      </w:pPr>
    </w:p>
    <w:p>
      <w:pPr>
        <w:ind w:left="660" w:right="320" w:firstLine="761"/>
        <w:spacing w:after="0" w:line="277" w:lineRule="auto"/>
        <w:tabs>
          <w:tab w:leader="none" w:pos="1959" w:val="left"/>
        </w:tabs>
        <w:numPr>
          <w:ilvl w:val="0"/>
          <w:numId w:val="75"/>
        </w:numPr>
        <w:rPr>
          <w:rFonts w:ascii="Arial" w:cs="Arial" w:eastAsia="Arial" w:hAnsi="Arial"/>
          <w:sz w:val="18"/>
          <w:szCs w:val="18"/>
          <w:color w:val="auto"/>
        </w:rPr>
      </w:pPr>
      <w:r>
        <w:rPr>
          <w:rFonts w:ascii="Arial" w:cs="Arial" w:eastAsia="Arial" w:hAnsi="Arial"/>
          <w:sz w:val="18"/>
          <w:szCs w:val="18"/>
          <w:color w:val="auto"/>
        </w:rPr>
        <w:t>by reason of circumstances affecting such Participant’s relevant market, adequate means do not exist for ascertaining the LIBO Rate applicable to such Participant’s Loans or Lessor Amount,</w:t>
      </w:r>
    </w:p>
    <w:p>
      <w:pPr>
        <w:spacing w:after="0" w:line="17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then, upon notice from such Participant to the Lessee and the other Participants, (i) the obligations of the Participants to make available Loans or Lessor Amount on a LIBO Rate basis, as the case may be, shall be suspended and (ii) each outstanding Loan and Lessor Amount, as the case may be, of the affected Participant shall begin to bear Interest or accrue Yield at the Alternate Base Rate on the last day of the then current Interest Period applicable thereto.</w:t>
      </w:r>
    </w:p>
    <w:p>
      <w:pPr>
        <w:spacing w:after="0" w:line="14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i w:val="1"/>
          <w:iCs w:val="1"/>
          <w:color w:val="auto"/>
        </w:rPr>
        <w:t xml:space="preserve">Section 14.3. Increased Costs, etc. </w:t>
      </w:r>
      <w:r>
        <w:rPr>
          <w:rFonts w:ascii="Arial" w:cs="Arial" w:eastAsia="Arial" w:hAnsi="Arial"/>
          <w:sz w:val="16"/>
          <w:szCs w:val="16"/>
          <w:color w:val="auto"/>
        </w:rPr>
        <w:t>If any change in, or the introduction, adoption, effectiveness, interpretation, reinterpretation or phase-in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any law or regulation, directive, guideline, decision or request (whether or not having the force of law) of any court, central bank, regulator or other Governmental Authority after the date hereof increases or would increase the cost other than in respect of Taxes, except for withholding taxes imposed as the result of any change in law, regulation or treaty first enacted, promulgated or signed after the Document Closing Date (and without limiting Lessee’s obligations pursuant to Sections 13.4, 13.5 or 14.6 hereof), to any Participant of, or reduces or would reduce the amount of any sum receivable by, such Participant in respect of making available, continuing or maintaining (or of its obligation to make available, continue or maintain) or prevents or would prevent any Participant from being legally entitled to a complete exemption from withholding as described in Section 12.3 with respect to, any Loans or Lessor Amount, as the case may be, then the Lessee shall from time to time, within thirty (30) days of demand by such Participant together with the certificate referred to below (with a copy of such demand and certificate to the Administrative Agent), pay to the Administrative Agent for the account of such Participant additional amounts sufficient to compensate such Participant for such increased cost;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Participant shall be entitled to demand such compensation more than ninety (90) days following the later of such Participant’s incurrence or sufferance thereof and such Participant’s actual knowledge of the event giving rise to such Participant’s rights under this section;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the foregoing provision shall in no way limit the right of any Participant to demand or receive such compensation to the extent that such compensation relates to the retroactive application of any law, regulation, guideline or request if such demand is made within ninety (90) days after the implementation of such retroactive law, interpretation, guideline or request. A reasonably detailed certificate as to the nature and amount of such increased cost, submitted to the Lessee and the Administrative Agent by such Participant in good faith, shall be conclusive and binding for all purposes, absent manifest error.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ectPr>
          <w:pgSz w:w="11900" w:h="16838" w:orient="portrait"/>
          <w:cols w:equalWidth="0" w:num="1">
            <w:col w:w="11420"/>
          </w:cols>
          <w:pgMar w:left="240" w:top="125" w:right="239" w:bottom="271"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71" w:gutter="0" w:footer="0" w:header="0"/>
          <w:type w:val="continuous"/>
        </w:sectPr>
      </w:pPr>
    </w:p>
    <w:bookmarkStart w:id="26" w:name="page27"/>
    <w:bookmarkEnd w:id="26"/>
    <w:p>
      <w:pPr>
        <w:spacing w:after="0" w:line="13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Section 14.4. Funding Losses. </w:t>
      </w:r>
      <w:r>
        <w:rPr>
          <w:rFonts w:ascii="Arial" w:cs="Arial" w:eastAsia="Arial" w:hAnsi="Arial"/>
          <w:sz w:val="18"/>
          <w:szCs w:val="18"/>
          <w:color w:val="auto"/>
        </w:rPr>
        <w:t>In the event any Participant shall incur any loss or out-of-pocket expense (including any Break Costs and any loss</w:t>
      </w:r>
      <w:r>
        <w:rPr>
          <w:rFonts w:ascii="Arial" w:cs="Arial" w:eastAsia="Arial" w:hAnsi="Arial"/>
          <w:sz w:val="18"/>
          <w:szCs w:val="18"/>
          <w:i w:val="1"/>
          <w:iCs w:val="1"/>
          <w:color w:val="auto"/>
        </w:rPr>
        <w:t xml:space="preserve"> </w:t>
      </w:r>
      <w:r>
        <w:rPr>
          <w:rFonts w:ascii="Arial" w:cs="Arial" w:eastAsia="Arial" w:hAnsi="Arial"/>
          <w:sz w:val="18"/>
          <w:szCs w:val="18"/>
          <w:color w:val="auto"/>
        </w:rPr>
        <w:t>or out-of-pocket expense incurred by reason of the liquidation or reemployment of deposits or other funds acquired by such Participant to make available, continue or maintain any portion of the principal amount of any Loan or Lessor Amount, as the case may be, but in any such case excluding loss of anticipated profits) as a result of:</w:t>
      </w:r>
    </w:p>
    <w:p>
      <w:pPr>
        <w:spacing w:after="0" w:line="187" w:lineRule="exact"/>
        <w:rPr>
          <w:sz w:val="20"/>
          <w:szCs w:val="20"/>
          <w:color w:val="auto"/>
        </w:rPr>
      </w:pPr>
    </w:p>
    <w:p>
      <w:pPr>
        <w:ind w:left="660" w:right="60" w:firstLine="761"/>
        <w:spacing w:after="0" w:line="277" w:lineRule="auto"/>
        <w:tabs>
          <w:tab w:leader="none" w:pos="1949"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conversion or repayment or prepayment of the principal amount of any Loans or Lessor Amount, as the case may be, on a date other than the scheduled last day of the Interest Period applicable thereto, or</w:t>
      </w:r>
    </w:p>
    <w:p>
      <w:pPr>
        <w:spacing w:after="0" w:line="170" w:lineRule="exact"/>
        <w:rPr>
          <w:rFonts w:ascii="Arial" w:cs="Arial" w:eastAsia="Arial" w:hAnsi="Arial"/>
          <w:sz w:val="18"/>
          <w:szCs w:val="18"/>
          <w:color w:val="auto"/>
        </w:rPr>
      </w:pPr>
    </w:p>
    <w:p>
      <w:pPr>
        <w:ind w:left="660" w:right="220" w:firstLine="761"/>
        <w:spacing w:after="0" w:line="264" w:lineRule="auto"/>
        <w:tabs>
          <w:tab w:leader="none" w:pos="1959"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Loans or Lessor Amount, as the case may be, not being made in accordance with the Advance Request therefor (unless such failure to make such Loans or fund such Lessor Amount, as the case may be, constitutes a breach by the applicable Participant of its obligations under Article III),</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then, upon the written notice of such Participant to the Lessee (with a copy to Lessor), the Lessee shall, within thirty (30) days after its receipt thereof, pay directly to such Participant as Supplemental Rent such amount (determined on the basis of such Participant’s standard practices) as will reimburse such Participant for such loss or out-of-pocket expense. Such written notice (which shall include calculations in sufficiently reasonable detail to indicate the incurrence and amount of such loss and out-of-pocket expense) shall be presumed correct and binding on the Lessee absent demonstrable error. Notwithstanding anything herein to the contrary, Lessee shall not be required to compensate a Participant pursuant to this Section for any amounts under this Section 14.4 incurred more than one hundred twenty (120) days prior to the date that such Participant notifies Lessee of such amount and of such Participant’s intention to claim compensation therefor.</w:t>
      </w:r>
    </w:p>
    <w:p>
      <w:pPr>
        <w:spacing w:after="0" w:line="18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auto"/>
        </w:rPr>
        <w:t>Section 14.5. Increased Capital Costs</w:t>
      </w:r>
      <w:r>
        <w:rPr>
          <w:rFonts w:ascii="Arial" w:cs="Arial" w:eastAsia="Arial" w:hAnsi="Arial"/>
          <w:sz w:val="18"/>
          <w:szCs w:val="18"/>
          <w:color w:val="auto"/>
        </w:rPr>
        <w:t>. If any Participant reasonably determines that compliance with any law or regulation or any guideline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request from any central bank or other Governmental Authority (whether or not having the force of law) issued, promulgated or made, as the case may be, after the date hereof affects or would affect the amount or liquidity of capital required or expected to be maintained by such Participant or any corporation controlling such Participant and that the amount or liquidity of such capital is increased by or based upon the existence of such Participant’s Commitment hereunder and other commitments of this type then, within thirty (30) days of demand by such Participant together with the certificate referred to below (with a copy of such demand and certificate to the Administrative Agent), the Lessee shall pay to the Administrative Agent for the account of such Participant, from time to time as specified by such Participant, additional amounts sufficient to compensate such Participant or such corporation in the light of such circumstances, to the extent that such Participant determines such increase in capital to be allocable to the existence of such Participant’s Commitment hereunder or the Fundings made by such Participant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Participant shall be entitled to demand such compensation if more than ninety (90) days following the later of such Participant’s incurrence or sufferance thereof and such Participant’s actual knowledge of the event giving rise to such Participant’s rights under this section; </w:t>
      </w:r>
      <w:r>
        <w:rPr>
          <w:rFonts w:ascii="Arial" w:cs="Arial" w:eastAsia="Arial" w:hAnsi="Arial"/>
          <w:sz w:val="18"/>
          <w:szCs w:val="18"/>
          <w:i w:val="1"/>
          <w:iCs w:val="1"/>
          <w:color w:val="auto"/>
        </w:rPr>
        <w:t>provided further, however</w:t>
      </w:r>
      <w:r>
        <w:rPr>
          <w:rFonts w:ascii="Arial" w:cs="Arial" w:eastAsia="Arial" w:hAnsi="Arial"/>
          <w:sz w:val="18"/>
          <w:szCs w:val="18"/>
          <w:color w:val="auto"/>
        </w:rPr>
        <w:t>, that the foregoing proviso shall in no way limit the right of any Participant to demand or receive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such compensation to the extent that such compensation relates to the retroactive application of any law, regulation, guideline or request described above if such demand is made within one hundred twenty (120) days after the implementation of such retroactive law, interpretation, guidelines or request. A reasonably detailed certificate as to such amounts submitted to the Lessee and the Administrative Agent by such Participant in good faith shall be conclusive and binding for all purposes, absent manifest error.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79"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18"/>
          <w:szCs w:val="18"/>
          <w:i w:val="1"/>
          <w:iCs w:val="1"/>
          <w:color w:val="auto"/>
        </w:rPr>
        <w:t>Section 14.6.</w:t>
      </w:r>
      <w:r>
        <w:rPr>
          <w:sz w:val="20"/>
          <w:szCs w:val="20"/>
          <w:color w:val="auto"/>
        </w:rPr>
        <w:tab/>
      </w:r>
      <w:r>
        <w:rPr>
          <w:rFonts w:ascii="Arial" w:cs="Arial" w:eastAsia="Arial" w:hAnsi="Arial"/>
          <w:sz w:val="16"/>
          <w:szCs w:val="16"/>
          <w:i w:val="1"/>
          <w:iCs w:val="1"/>
          <w:color w:val="auto"/>
        </w:rPr>
        <w:t>After Tax Basis</w:t>
      </w:r>
      <w:r>
        <w:rPr>
          <w:rFonts w:ascii="Arial" w:cs="Arial" w:eastAsia="Arial" w:hAnsi="Arial"/>
          <w:sz w:val="16"/>
          <w:szCs w:val="16"/>
          <w:color w:val="auto"/>
        </w:rPr>
        <w:t>. Lessee shall pay all amounts owing under this Article XIV on an After Tax Basis.</w:t>
      </w:r>
    </w:p>
    <w:p>
      <w:pPr>
        <w:spacing w:after="0" w:line="225" w:lineRule="exact"/>
        <w:rPr>
          <w:sz w:val="20"/>
          <w:szCs w:val="20"/>
          <w:color w:val="auto"/>
        </w:rPr>
      </w:pPr>
    </w:p>
    <w:p>
      <w:pPr>
        <w:ind w:right="200" w:firstLine="594"/>
        <w:spacing w:after="0" w:line="277" w:lineRule="auto"/>
        <w:rPr>
          <w:sz w:val="20"/>
          <w:szCs w:val="20"/>
          <w:color w:val="auto"/>
        </w:rPr>
      </w:pPr>
      <w:r>
        <w:rPr>
          <w:rFonts w:ascii="Arial" w:cs="Arial" w:eastAsia="Arial" w:hAnsi="Arial"/>
          <w:sz w:val="18"/>
          <w:szCs w:val="18"/>
          <w:i w:val="1"/>
          <w:iCs w:val="1"/>
          <w:color w:val="auto"/>
        </w:rPr>
        <w:t>Section 14.7. Applicability of Certain Sections</w:t>
      </w:r>
      <w:r>
        <w:rPr>
          <w:rFonts w:ascii="Arial" w:cs="Arial" w:eastAsia="Arial" w:hAnsi="Arial"/>
          <w:sz w:val="18"/>
          <w:szCs w:val="18"/>
          <w:color w:val="auto"/>
        </w:rPr>
        <w:t>. The provisions of Sections 14.1 through 14.6 are applicable to the Lessor and the Participants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any funding or maintenance thereof by reference to the LIBO Rate, and not otherwise.</w:t>
      </w:r>
    </w:p>
    <w:p>
      <w:pPr>
        <w:spacing w:after="0" w:line="170" w:lineRule="exact"/>
        <w:rPr>
          <w:sz w:val="20"/>
          <w:szCs w:val="20"/>
          <w:color w:val="auto"/>
        </w:rPr>
      </w:pPr>
    </w:p>
    <w:p>
      <w:pPr>
        <w:ind w:firstLine="594"/>
        <w:spacing w:after="0" w:line="302" w:lineRule="auto"/>
        <w:rPr>
          <w:sz w:val="20"/>
          <w:szCs w:val="20"/>
          <w:color w:val="auto"/>
        </w:rPr>
      </w:pPr>
      <w:r>
        <w:rPr>
          <w:rFonts w:ascii="Arial" w:cs="Arial" w:eastAsia="Arial" w:hAnsi="Arial"/>
          <w:sz w:val="16"/>
          <w:szCs w:val="16"/>
          <w:i w:val="1"/>
          <w:iCs w:val="1"/>
          <w:color w:val="auto"/>
        </w:rPr>
        <w:t>Section 14.8. Funding Office</w:t>
      </w:r>
      <w:r>
        <w:rPr>
          <w:rFonts w:ascii="Arial" w:cs="Arial" w:eastAsia="Arial" w:hAnsi="Arial"/>
          <w:sz w:val="16"/>
          <w:szCs w:val="16"/>
          <w:color w:val="auto"/>
        </w:rPr>
        <w:t>. If the Lessee is required to pay additional amounts to or for the account of any Participant pursuant to Sections 13.4,</w:t>
      </w:r>
      <w:r>
        <w:rPr>
          <w:rFonts w:ascii="Arial" w:cs="Arial" w:eastAsia="Arial" w:hAnsi="Arial"/>
          <w:sz w:val="16"/>
          <w:szCs w:val="16"/>
          <w:i w:val="1"/>
          <w:iCs w:val="1"/>
          <w:color w:val="auto"/>
        </w:rPr>
        <w:t xml:space="preserve"> </w:t>
      </w:r>
      <w:r>
        <w:rPr>
          <w:rFonts w:ascii="Arial" w:cs="Arial" w:eastAsia="Arial" w:hAnsi="Arial"/>
          <w:sz w:val="16"/>
          <w:szCs w:val="16"/>
          <w:color w:val="auto"/>
        </w:rPr>
        <w:t>14.1 to 14.3 or Section 14.5, to the extent applicable, then such Participant will agree to use reasonable efforts to reduce or eliminate any claim for compensation thereunder, including, without limitation, to change the jurisdiction of its Applicable Lending Office so as to eliminate or reduce any such additional payment which may thereafter accrue if such change, in the sole judgment of such Participant, is not otherwise disadvantageous to such Participant.</w:t>
      </w:r>
    </w:p>
    <w:p>
      <w:pPr>
        <w:spacing w:after="0" w:line="154"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i w:val="1"/>
          <w:iCs w:val="1"/>
          <w:color w:val="auto"/>
        </w:rPr>
        <w:t>Section 14.9. Replacement of Participants</w:t>
      </w:r>
      <w:r>
        <w:rPr>
          <w:rFonts w:ascii="Arial" w:cs="Arial" w:eastAsia="Arial" w:hAnsi="Arial"/>
          <w:sz w:val="17"/>
          <w:szCs w:val="17"/>
          <w:color w:val="auto"/>
        </w:rPr>
        <w:t>. (a) If (i) any Participant shall make demand for payment under Section 14.3 or 14.5, or shall deliver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any notice to the Administrative Agent pursuant to Section 14.1 resulting in the suspension of certain obligations of the Participants with respect to LIBO Rate Advances, (ii) any Participant is a Non-Renewing Participant, (iii) any Participant shall refuse to consent to any amendment, modification or waiver which has been approved by the Required Participants but can only become effective upon the consent of all Participants, all Lenders, each Participant affected thereby or each Lender affected thereby, as the case may be, or (iv) any Recipient becomes subject to a Withholding Tax or any other Tax in respect of which Lessee is required to pay additional amounts pursuant to Section 13.4, then within sixty (60) days of such demand, failure to consent or refusal, Lessee may elect to replace such Participant as a party to this Participation Agreement (or, if later with respect to any Non-Renewing Participant, prior to the Renewal Effective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concurrently with such replacement, (1) another Eligible Assignee designated by the Lessee shall agree, as of such date, to (x) purchase for cash all (but not less than all) of the outstanding Participant Balance of such Participant being replaced (other than amounts, if any, paid by the Lessee pursuant to subclause (2) below) pursuant to an Assignment Agreement and (y) become a Participant for all purposes under this Participation Agreement and to comply with the requirements of Section 12.1, and (2) Lessee shall pay to such Participant being replaced in same day funds on the day of</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such replacement (x) all interest, fees and other amounts then accrued but unpaid to such Participant by Lessee hereunder to and including the date of termination (other than amounts, if any, paid by the replacement Participant pursuant to subclause (1) above), and (y) an amount, if any, which would have</w:t>
      </w:r>
    </w:p>
    <w:p>
      <w:pPr>
        <w:sectPr>
          <w:pgSz w:w="11900" w:h="16975" w:orient="portrait"/>
          <w:cols w:equalWidth="0" w:num="1">
            <w:col w:w="11420"/>
          </w:cols>
          <w:pgMar w:left="240" w:top="341" w:right="239" w:bottom="0" w:gutter="0" w:footer="0" w:header="0"/>
        </w:sectPr>
      </w:pPr>
    </w:p>
    <w:bookmarkStart w:id="27" w:name="page28"/>
    <w:bookmarkEnd w:id="27"/>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been due to such Participant under Section 14.4 hereof if such Participant’s Loans and/or Lessor Amount had been prepaid rather than assigned.</w:t>
      </w:r>
    </w:p>
    <w:p>
      <w:pPr>
        <w:spacing w:after="0" w:line="237" w:lineRule="exact"/>
        <w:rPr>
          <w:sz w:val="20"/>
          <w:szCs w:val="20"/>
          <w:color w:val="auto"/>
        </w:rPr>
      </w:pPr>
    </w:p>
    <w:p>
      <w:pPr>
        <w:ind w:right="540" w:firstLine="641"/>
        <w:spacing w:after="0" w:line="277" w:lineRule="auto"/>
        <w:tabs>
          <w:tab w:leader="none" w:pos="130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Administrative Agent and the Lessor hereby agree to reasonably cooperate with the Lessee, at Lessee’s sole cost and expense, in Lessee’s efforts to arrange one or more replacement Participants as contemplated by this Section 14.9.</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firstLine="592"/>
        <w:spacing w:after="0" w:line="270" w:lineRule="auto"/>
        <w:rPr>
          <w:sz w:val="20"/>
          <w:szCs w:val="20"/>
          <w:color w:val="auto"/>
        </w:rPr>
      </w:pPr>
      <w:r>
        <w:rPr>
          <w:rFonts w:ascii="Arial" w:cs="Arial" w:eastAsia="Arial" w:hAnsi="Arial"/>
          <w:sz w:val="17"/>
          <w:szCs w:val="17"/>
          <w:i w:val="1"/>
          <w:iCs w:val="1"/>
          <w:color w:val="auto"/>
        </w:rPr>
        <w:t>Section 15.1. Survival of Agreements</w:t>
      </w:r>
      <w:r>
        <w:rPr>
          <w:rFonts w:ascii="Arial" w:cs="Arial" w:eastAsia="Arial" w:hAnsi="Arial"/>
          <w:sz w:val="17"/>
          <w:szCs w:val="17"/>
          <w:color w:val="auto"/>
        </w:rPr>
        <w:t>. All covenants, agreements, representations and warranties in the Operative Documents made by the</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 parties thereto and in the certificates or other instruments delivered in connection with or pursuant to any Operative Document shall be considered to have been relied upon by the other parties hereto and thereto and shall survive the execution and delivery of the Operative Documents and the making of the Advance, regardless of any investigation made by any such other party or on its behalf and notwithstanding that any party hereto or thereto may have had notice or knowledge of any default or incorrect representation or warranty at the time any credit is extended hereunder or thereunder, and shall continue in full force and effect until the Lease Balance has been paid in full and the Commitments have expired or been terminated. The provisions of Article XIII and Sections 14.3, 14.4, 14.5, 15.15, 15.16 and 15.17 shall survive and remain in full force and effect regardless of the consummation of the transactions contemplated hereby, the repayment of the Lease Balance, the expiration or termination of the Commitments or the termination of this Participation Agreement or any other Operative Document or any provision hereof or thereof.</w:t>
      </w:r>
    </w:p>
    <w:p>
      <w:pPr>
        <w:spacing w:after="0" w:line="182" w:lineRule="exact"/>
        <w:rPr>
          <w:sz w:val="20"/>
          <w:szCs w:val="20"/>
          <w:color w:val="auto"/>
        </w:rPr>
      </w:pPr>
    </w:p>
    <w:p>
      <w:pPr>
        <w:ind w:right="80" w:firstLine="592"/>
        <w:spacing w:after="0" w:line="273" w:lineRule="auto"/>
        <w:rPr>
          <w:sz w:val="20"/>
          <w:szCs w:val="20"/>
          <w:color w:val="auto"/>
        </w:rPr>
      </w:pPr>
      <w:r>
        <w:rPr>
          <w:rFonts w:ascii="Arial" w:cs="Arial" w:eastAsia="Arial" w:hAnsi="Arial"/>
          <w:sz w:val="17"/>
          <w:szCs w:val="17"/>
          <w:i w:val="1"/>
          <w:iCs w:val="1"/>
          <w:color w:val="auto"/>
        </w:rPr>
        <w:t>Section 15.2. No Broker, Etc</w:t>
      </w:r>
      <w:r>
        <w:rPr>
          <w:rFonts w:ascii="Arial" w:cs="Arial" w:eastAsia="Arial" w:hAnsi="Arial"/>
          <w:sz w:val="17"/>
          <w:szCs w:val="17"/>
          <w:color w:val="auto"/>
        </w:rPr>
        <w:t>. Except for Lessee’s and the Guarantors’ dealing with Banc of America Leasing &amp; Capital, LLC, as the Arranger,</w:t>
      </w:r>
      <w:r>
        <w:rPr>
          <w:rFonts w:ascii="Arial" w:cs="Arial" w:eastAsia="Arial" w:hAnsi="Arial"/>
          <w:sz w:val="17"/>
          <w:szCs w:val="17"/>
          <w:i w:val="1"/>
          <w:iCs w:val="1"/>
          <w:color w:val="auto"/>
        </w:rPr>
        <w:t xml:space="preserve"> </w:t>
      </w:r>
      <w:r>
        <w:rPr>
          <w:rFonts w:ascii="Arial" w:cs="Arial" w:eastAsia="Arial" w:hAnsi="Arial"/>
          <w:sz w:val="17"/>
          <w:szCs w:val="17"/>
          <w:color w:val="auto"/>
        </w:rPr>
        <w:t>each of the parties hereto represents to the others that it has not retained or employed the Arranger, or any broker, finder or financial advisor to act on its behalf in connection with this Participation Agreement, nor has it authorized the Arranger, or any broker, finder or financial adviser retained or employed by any other Person so to act, nor has it incurred any fees or commissions to which Lessor, Administrative Agent or any Participant might be subjected by virtue of their entering into the Overall Transaction. Any party who is in breach of this representation shall indemnify and hold the other parties harmless from and against any liability arising out of such breach of this representation.</w:t>
      </w:r>
    </w:p>
    <w:p>
      <w:pPr>
        <w:spacing w:after="0" w:line="178" w:lineRule="exact"/>
        <w:rPr>
          <w:sz w:val="20"/>
          <w:szCs w:val="20"/>
          <w:color w:val="auto"/>
        </w:rPr>
      </w:pPr>
    </w:p>
    <w:p>
      <w:pPr>
        <w:ind w:firstLine="592"/>
        <w:spacing w:after="0" w:line="297" w:lineRule="auto"/>
        <w:rPr>
          <w:sz w:val="20"/>
          <w:szCs w:val="20"/>
          <w:color w:val="auto"/>
        </w:rPr>
      </w:pPr>
      <w:r>
        <w:rPr>
          <w:rFonts w:ascii="Arial" w:cs="Arial" w:eastAsia="Arial" w:hAnsi="Arial"/>
          <w:sz w:val="16"/>
          <w:szCs w:val="16"/>
          <w:i w:val="1"/>
          <w:iCs w:val="1"/>
          <w:color w:val="auto"/>
        </w:rPr>
        <w:t>Section 15.3. Notices</w:t>
      </w:r>
      <w:r>
        <w:rPr>
          <w:rFonts w:ascii="Arial" w:cs="Arial" w:eastAsia="Arial" w:hAnsi="Arial"/>
          <w:sz w:val="16"/>
          <w:szCs w:val="16"/>
          <w:color w:val="auto"/>
        </w:rPr>
        <w:t>. (a) Unless otherwise specified herein, all notices, requests, demands or other communications to or upon the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hereto shall be in writing and shall be deemed to have been duly given and shall be effective: (i) in the case of notice by letter, the earlier of when delivered to the addressee by hand or courier if delivered on a Business Day and, if not delivered on a Business Day, the first Business Day thereafter or on the third Business Day after depositing the same in the mails, registered or certified mail, postage prepaid, return receipt requested, (ii) in the case of a prepaid delivery to a reputable national overnight air courier service, on the Business Day following such date of delivery, and (iii) in the case 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notice by facsimile or bank wire, when receipt is confirmed if delivered on a Business Day and, if not delivered on a Business Day, the first Business Day thereafter, addressed as provided on Schedule III hereto, or to such other address as any of the parties hereto may designate by written notice. Notices delivered through Electronic Systems, to the extent provided in Section 15.3(b) below, shall be effective as provided in such Section 15.3(b).</w:t>
      </w:r>
    </w:p>
    <w:p>
      <w:pPr>
        <w:spacing w:after="0" w:line="147" w:lineRule="exact"/>
        <w:rPr>
          <w:sz w:val="20"/>
          <w:szCs w:val="20"/>
          <w:color w:val="auto"/>
        </w:rPr>
      </w:pPr>
    </w:p>
    <w:p>
      <w:pPr>
        <w:ind w:right="80" w:firstLine="1325"/>
        <w:spacing w:after="0" w:line="284" w:lineRule="auto"/>
        <w:tabs>
          <w:tab w:leader="none" w:pos="1946" w:val="left"/>
        </w:tabs>
        <w:numPr>
          <w:ilvl w:val="1"/>
          <w:numId w:val="78"/>
        </w:numPr>
        <w:rPr>
          <w:rFonts w:ascii="Arial" w:cs="Arial" w:eastAsia="Arial" w:hAnsi="Arial"/>
          <w:sz w:val="16"/>
          <w:szCs w:val="16"/>
          <w:color w:val="auto"/>
        </w:rPr>
      </w:pPr>
      <w:r>
        <w:rPr>
          <w:rFonts w:ascii="Arial" w:cs="Arial" w:eastAsia="Arial" w:hAnsi="Arial"/>
          <w:sz w:val="16"/>
          <w:szCs w:val="16"/>
          <w:color w:val="auto"/>
        </w:rPr>
        <w:t xml:space="preserve">Notices and other communications to the Participants under the Operative Documents may be delivered or furnished by using Electronic Systems pursuant to procedures approved by the Administrative Agent. The Administrative Agent or the Lessee may, in its discretion, agree to accept notices and other communications to it hereunder by electronic communications pursuant to procedures approved by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both clauses (i) and</w:t>
      </w:r>
    </w:p>
    <w:p>
      <w:pPr>
        <w:spacing w:after="0" w:line="1" w:lineRule="exact"/>
        <w:rPr>
          <w:rFonts w:ascii="Arial" w:cs="Arial" w:eastAsia="Arial" w:hAnsi="Arial"/>
          <w:sz w:val="16"/>
          <w:szCs w:val="16"/>
          <w:color w:val="auto"/>
        </w:rPr>
      </w:pPr>
    </w:p>
    <w:p>
      <w:pPr>
        <w:ind w:right="180" w:firstLine="8"/>
        <w:spacing w:after="0" w:line="261" w:lineRule="auto"/>
        <w:tabs>
          <w:tab w:leader="none" w:pos="26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4" w:lineRule="exact"/>
        <w:rPr>
          <w:sz w:val="20"/>
          <w:szCs w:val="20"/>
          <w:color w:val="auto"/>
        </w:rPr>
      </w:pPr>
    </w:p>
    <w:p>
      <w:pPr>
        <w:ind w:right="20" w:firstLine="592"/>
        <w:spacing w:after="0" w:line="277" w:lineRule="auto"/>
        <w:rPr>
          <w:sz w:val="20"/>
          <w:szCs w:val="20"/>
          <w:color w:val="auto"/>
        </w:rPr>
      </w:pPr>
      <w:r>
        <w:rPr>
          <w:rFonts w:ascii="Arial" w:cs="Arial" w:eastAsia="Arial" w:hAnsi="Arial"/>
          <w:sz w:val="18"/>
          <w:szCs w:val="18"/>
          <w:i w:val="1"/>
          <w:iCs w:val="1"/>
          <w:color w:val="auto"/>
        </w:rPr>
        <w:t>Section 15.4. Counterparts</w:t>
      </w:r>
      <w:r>
        <w:rPr>
          <w:rFonts w:ascii="Arial" w:cs="Arial" w:eastAsia="Arial" w:hAnsi="Arial"/>
          <w:sz w:val="18"/>
          <w:szCs w:val="18"/>
          <w:color w:val="auto"/>
        </w:rPr>
        <w:t>. This Participation Agreement may be executed by the parties hereto in separate counterparts, each of which when so</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and delivered shall be an original, but all such counterparts shall together constitute but one and the same instrument.</w:t>
      </w:r>
    </w:p>
    <w:p>
      <w:pPr>
        <w:spacing w:after="0" w:line="170" w:lineRule="exact"/>
        <w:rPr>
          <w:sz w:val="20"/>
          <w:szCs w:val="20"/>
          <w:color w:val="auto"/>
        </w:rPr>
      </w:pPr>
    </w:p>
    <w:p>
      <w:pPr>
        <w:ind w:right="120" w:firstLine="592"/>
        <w:spacing w:after="0" w:line="257" w:lineRule="auto"/>
        <w:rPr>
          <w:sz w:val="20"/>
          <w:szCs w:val="20"/>
          <w:color w:val="auto"/>
        </w:rPr>
      </w:pPr>
      <w:r>
        <w:rPr>
          <w:rFonts w:ascii="Arial" w:cs="Arial" w:eastAsia="Arial" w:hAnsi="Arial"/>
          <w:sz w:val="18"/>
          <w:szCs w:val="18"/>
          <w:i w:val="1"/>
          <w:iCs w:val="1"/>
          <w:color w:val="auto"/>
        </w:rPr>
        <w:t>Section 15.5. Amendments</w:t>
      </w:r>
      <w:r>
        <w:rPr>
          <w:rFonts w:ascii="Arial" w:cs="Arial" w:eastAsia="Arial" w:hAnsi="Arial"/>
          <w:sz w:val="18"/>
          <w:szCs w:val="18"/>
          <w:color w:val="auto"/>
        </w:rPr>
        <w:t>. No Operative Document nor any of the terms thereof may be terminated, amended, supplemented, waived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modified without the written agreement or consent of Administrative Agent, Lessee and the Required Participants;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Section 15.19 hereof may not be terminated, amended, supplemented, waived or modified without the written agreement or consent of the Arranger; and </w:t>
      </w:r>
      <w:r>
        <w:rPr>
          <w:rFonts w:ascii="Arial" w:cs="Arial" w:eastAsia="Arial" w:hAnsi="Arial"/>
          <w:sz w:val="18"/>
          <w:szCs w:val="18"/>
          <w:i w:val="1"/>
          <w:iCs w:val="1"/>
          <w:color w:val="auto"/>
        </w:rPr>
        <w:t>provided</w:t>
      </w:r>
      <w:r>
        <w:rPr>
          <w:rFonts w:ascii="Arial" w:cs="Arial" w:eastAsia="Arial" w:hAnsi="Arial"/>
          <w:sz w:val="18"/>
          <w:szCs w:val="18"/>
          <w:color w:val="auto"/>
        </w:rPr>
        <w:t>, further, that such termination, amendment, supplement, waiver or modification shall require the written agreement or consent of each Participant if such termination, amendment, supplement, waiver or modification would:</w:t>
      </w:r>
    </w:p>
    <w:p>
      <w:pPr>
        <w:spacing w:after="0" w:line="188" w:lineRule="exact"/>
        <w:rPr>
          <w:sz w:val="20"/>
          <w:szCs w:val="20"/>
          <w:color w:val="auto"/>
        </w:rPr>
      </w:pPr>
    </w:p>
    <w:p>
      <w:pPr>
        <w:ind w:left="660" w:right="640" w:firstLine="769"/>
        <w:spacing w:after="0" w:line="342" w:lineRule="auto"/>
        <w:tabs>
          <w:tab w:leader="none" w:pos="1956" w:val="left"/>
        </w:tabs>
        <w:numPr>
          <w:ilvl w:val="0"/>
          <w:numId w:val="80"/>
        </w:numPr>
        <w:rPr>
          <w:rFonts w:ascii="Arial" w:cs="Arial" w:eastAsia="Arial" w:hAnsi="Arial"/>
          <w:sz w:val="16"/>
          <w:szCs w:val="16"/>
          <w:color w:val="auto"/>
        </w:rPr>
      </w:pPr>
      <w:r>
        <w:rPr>
          <w:rFonts w:ascii="Arial" w:cs="Arial" w:eastAsia="Arial" w:hAnsi="Arial"/>
          <w:sz w:val="16"/>
          <w:szCs w:val="16"/>
          <w:color w:val="auto"/>
        </w:rPr>
        <w:t>modify any of the provisions of this Section 15.5, change the definition of “Required Participants” or modify or waive any provision of an Operative Document expressly requiring consent, approval or action by each Participant or each Affected Participant;</w:t>
      </w:r>
    </w:p>
    <w:p>
      <w:pPr>
        <w:spacing w:after="0" w:line="123" w:lineRule="exact"/>
        <w:rPr>
          <w:rFonts w:ascii="Arial" w:cs="Arial" w:eastAsia="Arial" w:hAnsi="Arial"/>
          <w:sz w:val="16"/>
          <w:szCs w:val="16"/>
          <w:color w:val="auto"/>
        </w:rPr>
      </w:pPr>
    </w:p>
    <w:p>
      <w:pPr>
        <w:ind w:left="660" w:right="180" w:firstLine="759"/>
        <w:spacing w:after="0" w:line="277" w:lineRule="auto"/>
        <w:tabs>
          <w:tab w:leader="none" w:pos="197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amend, modify, waive or supplement any of the provisions of Sections 4.1, 4.2, 4.5, 4.7 and 5.3 hereof or Sections 2.5, 2.6 or 2.7 of the Loan Agreement or the definitions of “Applicable Margin”, “Interest Rate” or “Yield Rate”;</w:t>
      </w:r>
    </w:p>
    <w:p>
      <w:pPr>
        <w:spacing w:after="0" w:line="170" w:lineRule="exact"/>
        <w:rPr>
          <w:rFonts w:ascii="Arial" w:cs="Arial" w:eastAsia="Arial" w:hAnsi="Arial"/>
          <w:sz w:val="18"/>
          <w:szCs w:val="18"/>
          <w:color w:val="auto"/>
        </w:rPr>
      </w:pPr>
    </w:p>
    <w:p>
      <w:pPr>
        <w:ind w:left="1960" w:hanging="531"/>
        <w:spacing w:after="0"/>
        <w:tabs>
          <w:tab w:leader="none" w:pos="1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reduce, modify, amend or waive any fees or indemnities in favor of 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920"/>
        <w:spacing w:after="0" w:line="277" w:lineRule="auto"/>
        <w:rPr>
          <w:sz w:val="20"/>
          <w:szCs w:val="20"/>
          <w:color w:val="auto"/>
        </w:rPr>
      </w:pPr>
      <w:r>
        <w:rPr>
          <w:rFonts w:ascii="Arial" w:cs="Arial" w:eastAsia="Arial" w:hAnsi="Arial"/>
          <w:sz w:val="18"/>
          <w:szCs w:val="18"/>
          <w:color w:val="auto"/>
        </w:rPr>
        <w:t>Participant, including without limitation amounts payable pursuant to Article XIII (except that any Person may consent to any reduction, modification, amendment or waiver of any indemnity payable to it);</w:t>
      </w:r>
    </w:p>
    <w:p>
      <w:pPr>
        <w:spacing w:after="0" w:line="170" w:lineRule="exact"/>
        <w:rPr>
          <w:sz w:val="20"/>
          <w:szCs w:val="20"/>
          <w:color w:val="auto"/>
        </w:rPr>
      </w:pPr>
    </w:p>
    <w:p>
      <w:pPr>
        <w:ind w:left="660" w:right="260" w:firstLine="759"/>
        <w:spacing w:after="0" w:line="342" w:lineRule="auto"/>
        <w:tabs>
          <w:tab w:leader="none" w:pos="1970" w:val="left"/>
        </w:tabs>
        <w:numPr>
          <w:ilvl w:val="0"/>
          <w:numId w:val="81"/>
        </w:numPr>
        <w:rPr>
          <w:rFonts w:ascii="Arial" w:cs="Arial" w:eastAsia="Arial" w:hAnsi="Arial"/>
          <w:sz w:val="16"/>
          <w:szCs w:val="16"/>
          <w:color w:val="auto"/>
        </w:rPr>
      </w:pPr>
      <w:r>
        <w:rPr>
          <w:rFonts w:ascii="Arial" w:cs="Arial" w:eastAsia="Arial" w:hAnsi="Arial"/>
          <w:sz w:val="16"/>
          <w:szCs w:val="16"/>
          <w:color w:val="auto"/>
        </w:rPr>
        <w:t>modify, postpone, reduce or forgive, in whole or in part, any payment of Rent (other than pursuant to the terms of the Operative Documents), any Loan or Lessor Amount, the Lease Balance, the Loan Balance, Sale Option Recourse Amount, Recourse Amount, Permitted</w:t>
      </w:r>
    </w:p>
    <w:p>
      <w:pPr>
        <w:sectPr>
          <w:pgSz w:w="11900" w:h="16975" w:orient="portrait"/>
          <w:cols w:equalWidth="0" w:num="1">
            <w:col w:w="11420"/>
          </w:cols>
          <w:pgMar w:left="240" w:top="125" w:right="239" w:bottom="0" w:gutter="0" w:footer="0" w:header="0"/>
        </w:sectPr>
      </w:pPr>
    </w:p>
    <w:bookmarkStart w:id="28" w:name="page29"/>
    <w:bookmarkEnd w:id="28"/>
    <w:p>
      <w:pPr>
        <w:spacing w:after="0" w:line="68" w:lineRule="exact"/>
        <w:rPr>
          <w:sz w:val="20"/>
          <w:szCs w:val="20"/>
          <w:color w:val="auto"/>
        </w:rPr>
      </w:pPr>
    </w:p>
    <w:p>
      <w:pPr>
        <w:ind w:left="660" w:right="80"/>
        <w:spacing w:after="0" w:line="255" w:lineRule="auto"/>
        <w:rPr>
          <w:sz w:val="20"/>
          <w:szCs w:val="20"/>
          <w:color w:val="auto"/>
        </w:rPr>
      </w:pPr>
      <w:r>
        <w:rPr>
          <w:rFonts w:ascii="Arial" w:cs="Arial" w:eastAsia="Arial" w:hAnsi="Arial"/>
          <w:sz w:val="18"/>
          <w:szCs w:val="18"/>
          <w:color w:val="auto"/>
        </w:rPr>
        <w:t>Development Area Release Payment, amounts due pursuant to Section 20.2 of the Lease, Interest or Yield, Upfront Fee (except that any Person may consent to any modification, postponement, reduction or forgiveness of any payment of any Fees payable to it or, subject to clause (c) above, any other amount payable to it under the Lease or this Participation Agreement), modify the definition or method of calculation of Rent (other than pursuant to the terms of the Operative Documents), Loans or Lessor Amounts, Lease Balance, Loan Balance, Lessor Balance, Sale Option Recourse Amount, Commitment, Participant Balance or any other definition which would affect the amounts to be advanced or which are payable under the Operative Documents;</w:t>
      </w:r>
    </w:p>
    <w:p>
      <w:pPr>
        <w:spacing w:after="0" w:line="193" w:lineRule="exact"/>
        <w:rPr>
          <w:sz w:val="20"/>
          <w:szCs w:val="20"/>
          <w:color w:val="auto"/>
        </w:rPr>
      </w:pPr>
    </w:p>
    <w:p>
      <w:pPr>
        <w:ind w:left="660" w:right="60" w:firstLine="769"/>
        <w:spacing w:after="0" w:line="264" w:lineRule="auto"/>
        <w:tabs>
          <w:tab w:leader="none" w:pos="197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consent to any assignment of the Lease (other than any assignment or sublease permitted by Article VI of the Lease) by the Lessee releasing the Lessee from its obligations in respect of the payments of Rent, Loan Balance, Lessor Balance or Lease Balance or changing the absolute and unconditional character of such obligations;</w:t>
      </w:r>
    </w:p>
    <w:p>
      <w:pPr>
        <w:spacing w:after="0" w:line="181" w:lineRule="exact"/>
        <w:rPr>
          <w:rFonts w:ascii="Arial" w:cs="Arial" w:eastAsia="Arial" w:hAnsi="Arial"/>
          <w:sz w:val="18"/>
          <w:szCs w:val="18"/>
          <w:color w:val="auto"/>
        </w:rPr>
      </w:pPr>
    </w:p>
    <w:p>
      <w:pPr>
        <w:ind w:left="660" w:right="80" w:firstLine="789"/>
        <w:spacing w:after="0" w:line="259" w:lineRule="auto"/>
        <w:tabs>
          <w:tab w:leader="none" w:pos="1957"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except as provided in the Operative Documents, (i) release of any Lien granted by the Lessee or the Lessor under the Operative Documents, (ii) release of any Guarantor under the Guaranty or release the Guaranty or (iii) modify Section 1 of the Guaranty, or modify or waive any obligation of the Guarantor that relates to an obligation of the Lessee expressly requiring consent, approval or action by each Participant or each Affected Participant; or</w:t>
      </w:r>
    </w:p>
    <w:p>
      <w:pPr>
        <w:spacing w:after="0" w:line="186" w:lineRule="exact"/>
        <w:rPr>
          <w:rFonts w:ascii="Arial" w:cs="Arial" w:eastAsia="Arial" w:hAnsi="Arial"/>
          <w:sz w:val="18"/>
          <w:szCs w:val="18"/>
          <w:color w:val="auto"/>
        </w:rPr>
      </w:pPr>
    </w:p>
    <w:p>
      <w:pPr>
        <w:ind w:left="1980" w:hanging="561"/>
        <w:spacing w:after="0"/>
        <w:tabs>
          <w:tab w:leader="none" w:pos="1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amend, release or waive compliance with the terms of Section 16.1(h), (i) or (j) of the Lease; or</w:t>
      </w:r>
    </w:p>
    <w:p>
      <w:pPr>
        <w:spacing w:after="0" w:line="225" w:lineRule="exact"/>
        <w:rPr>
          <w:rFonts w:ascii="Arial" w:cs="Arial" w:eastAsia="Arial" w:hAnsi="Arial"/>
          <w:sz w:val="18"/>
          <w:szCs w:val="18"/>
          <w:color w:val="auto"/>
        </w:rPr>
      </w:pPr>
    </w:p>
    <w:p>
      <w:pPr>
        <w:ind w:left="1960" w:hanging="541"/>
        <w:spacing w:after="0"/>
        <w:tabs>
          <w:tab w:leader="none" w:pos="1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increase the Aggregate Commitment Amount without the consent of each Participant.</w:t>
      </w:r>
    </w:p>
    <w:p>
      <w:pPr>
        <w:spacing w:after="0" w:line="225" w:lineRule="exact"/>
        <w:rPr>
          <w:sz w:val="20"/>
          <w:szCs w:val="20"/>
          <w:color w:val="auto"/>
        </w:rPr>
      </w:pPr>
    </w:p>
    <w:p>
      <w:pPr>
        <w:ind w:left="660" w:right="100"/>
        <w:spacing w:after="0" w:line="272" w:lineRule="auto"/>
        <w:rPr>
          <w:sz w:val="20"/>
          <w:szCs w:val="20"/>
          <w:color w:val="auto"/>
        </w:rPr>
      </w:pPr>
      <w:r>
        <w:rPr>
          <w:rFonts w:ascii="Arial" w:cs="Arial" w:eastAsia="Arial" w:hAnsi="Arial"/>
          <w:sz w:val="17"/>
          <w:szCs w:val="17"/>
          <w:color w:val="auto"/>
        </w:rPr>
        <w:t>Without limiting the foregoing, (1) no increase in the Commitment of any Participant shall occur without the consent of such Participant and (2) no amendment, supplement, waiver or modification to the Operative Documents (A) shall be effective with respect to the definitions of “Excepted Rights” and “Excepted Payments”, the Loan Agreement, the Assignment of Leases, Articles VI, IX, X, XI, XIII, XIX or XX of the Lease, Article XII of this Participation Agreement or any definitions used therein, unless Lessor has agreed to such amendment, supplement, waiver or modification or (B) which increases the Lessor’s obligations under the Operative Documents or adversely affect the Lessor’s rights or its interest under the Operative Documents or the Leased Property, without the Lessor’s prior written consent. Notwithstanding anything to the contrary in this Section 15.5, any amendment or modification of the financial covenants in this Participation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Agreement (or defined terms used in the financial covenants in this Participation Agreement) shall not constitute a reduction in the rate of interest or fees for purposes of this Section 15.5 even if the effect of such amendment or modification would be to reduce the rate of Interest or Yield or to reduce any fee payable under any of the Operative Documents.</w:t>
      </w:r>
    </w:p>
    <w:p>
      <w:pPr>
        <w:spacing w:after="0" w:line="181" w:lineRule="exact"/>
        <w:rPr>
          <w:sz w:val="20"/>
          <w:szCs w:val="20"/>
          <w:color w:val="auto"/>
        </w:rPr>
      </w:pPr>
    </w:p>
    <w:p>
      <w:pPr>
        <w:jc w:val="both"/>
        <w:ind w:firstLine="592"/>
        <w:spacing w:after="0" w:line="264" w:lineRule="auto"/>
        <w:rPr>
          <w:sz w:val="20"/>
          <w:szCs w:val="20"/>
          <w:color w:val="auto"/>
        </w:rPr>
      </w:pPr>
      <w:r>
        <w:rPr>
          <w:rFonts w:ascii="Arial" w:cs="Arial" w:eastAsia="Arial" w:hAnsi="Arial"/>
          <w:sz w:val="18"/>
          <w:szCs w:val="18"/>
          <w:i w:val="1"/>
          <w:iCs w:val="1"/>
          <w:color w:val="auto"/>
        </w:rPr>
        <w:t>Section 15.6. Obligations</w:t>
      </w:r>
      <w:r>
        <w:rPr>
          <w:rFonts w:ascii="Arial" w:cs="Arial" w:eastAsia="Arial" w:hAnsi="Arial"/>
          <w:sz w:val="18"/>
          <w:szCs w:val="18"/>
          <w:color w:val="auto"/>
        </w:rPr>
        <w:t>. The Lessee shall pay, as Supplemental Rent, when due, all costs, expenses and other amounts (other than the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and Interest on the Loans which are payable to the extent otherwise required by the Operative Documents) required to be paid by the Lessor to or on behalf of the Administrative Agent or the Lenders under the Loan Agreement and any Security Instrument.</w:t>
      </w:r>
    </w:p>
    <w:p>
      <w:pPr>
        <w:spacing w:after="0" w:line="181" w:lineRule="exact"/>
        <w:rPr>
          <w:sz w:val="20"/>
          <w:szCs w:val="20"/>
          <w:color w:val="auto"/>
        </w:rPr>
      </w:pPr>
    </w:p>
    <w:p>
      <w:pPr>
        <w:ind w:right="300" w:firstLine="592"/>
        <w:spacing w:after="0" w:line="277" w:lineRule="auto"/>
        <w:rPr>
          <w:sz w:val="20"/>
          <w:szCs w:val="20"/>
          <w:color w:val="auto"/>
        </w:rPr>
      </w:pPr>
      <w:r>
        <w:rPr>
          <w:rFonts w:ascii="Arial" w:cs="Arial" w:eastAsia="Arial" w:hAnsi="Arial"/>
          <w:sz w:val="18"/>
          <w:szCs w:val="18"/>
          <w:i w:val="1"/>
          <w:iCs w:val="1"/>
          <w:color w:val="auto"/>
        </w:rPr>
        <w:t>Section 15.7. Headings, Etc</w:t>
      </w:r>
      <w:r>
        <w:rPr>
          <w:rFonts w:ascii="Arial" w:cs="Arial" w:eastAsia="Arial" w:hAnsi="Arial"/>
          <w:sz w:val="18"/>
          <w:szCs w:val="18"/>
          <w:color w:val="auto"/>
        </w:rPr>
        <w:t>. The Table of Contents and headings of the various Articles and Sections of this Participation Agreement are for</w:t>
      </w:r>
      <w:r>
        <w:rPr>
          <w:rFonts w:ascii="Arial" w:cs="Arial" w:eastAsia="Arial" w:hAnsi="Arial"/>
          <w:sz w:val="18"/>
          <w:szCs w:val="18"/>
          <w:i w:val="1"/>
          <w:iCs w:val="1"/>
          <w:color w:val="auto"/>
        </w:rPr>
        <w:t xml:space="preserve"> </w:t>
      </w:r>
      <w:r>
        <w:rPr>
          <w:rFonts w:ascii="Arial" w:cs="Arial" w:eastAsia="Arial" w:hAnsi="Arial"/>
          <w:sz w:val="18"/>
          <w:szCs w:val="18"/>
          <w:color w:val="auto"/>
        </w:rPr>
        <w:t>convenience of reference only and shall not modify, define, expand or limit any of the terms or provisions hereof.</w:t>
      </w:r>
    </w:p>
    <w:p>
      <w:pPr>
        <w:spacing w:after="0" w:line="170" w:lineRule="exact"/>
        <w:rPr>
          <w:sz w:val="20"/>
          <w:szCs w:val="20"/>
          <w:color w:val="auto"/>
        </w:rPr>
      </w:pPr>
    </w:p>
    <w:p>
      <w:pPr>
        <w:ind w:right="120" w:firstLine="592"/>
        <w:spacing w:after="0" w:line="259" w:lineRule="auto"/>
        <w:rPr>
          <w:sz w:val="20"/>
          <w:szCs w:val="20"/>
          <w:color w:val="auto"/>
        </w:rPr>
      </w:pPr>
      <w:r>
        <w:rPr>
          <w:rFonts w:ascii="Arial" w:cs="Arial" w:eastAsia="Arial" w:hAnsi="Arial"/>
          <w:sz w:val="18"/>
          <w:szCs w:val="18"/>
          <w:i w:val="1"/>
          <w:iCs w:val="1"/>
          <w:color w:val="auto"/>
        </w:rPr>
        <w:t>Section 15.8. Parties in Interest</w:t>
      </w:r>
      <w:r>
        <w:rPr>
          <w:rFonts w:ascii="Arial" w:cs="Arial" w:eastAsia="Arial" w:hAnsi="Arial"/>
          <w:sz w:val="18"/>
          <w:szCs w:val="18"/>
          <w:color w:val="auto"/>
        </w:rPr>
        <w:t>. Except as provided in Section 15.19 and as otherwise expressly provided herein, none of the provisions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Agreement is intended for the benefit of any Person except the parties hereto. Except as otherwise specifically provided for in an Operative Document, the Lessee shall not assign or transfer any of its rights or obligations under the Operative Documents without the prior written consent of the Required Participants.</w:t>
      </w:r>
    </w:p>
    <w:p>
      <w:pPr>
        <w:spacing w:after="0" w:line="187" w:lineRule="exact"/>
        <w:rPr>
          <w:sz w:val="20"/>
          <w:szCs w:val="20"/>
          <w:color w:val="auto"/>
        </w:rPr>
      </w:pPr>
    </w:p>
    <w:p>
      <w:pPr>
        <w:ind w:right="120" w:firstLine="394"/>
        <w:spacing w:after="0" w:line="272" w:lineRule="auto"/>
        <w:rPr>
          <w:sz w:val="20"/>
          <w:szCs w:val="20"/>
          <w:color w:val="auto"/>
        </w:rPr>
      </w:pPr>
      <w:r>
        <w:rPr>
          <w:rFonts w:ascii="Arial" w:cs="Arial" w:eastAsia="Arial" w:hAnsi="Arial"/>
          <w:sz w:val="17"/>
          <w:szCs w:val="17"/>
          <w:i w:val="1"/>
          <w:iCs w:val="1"/>
          <w:color w:val="auto"/>
        </w:rPr>
        <w:t>SECTION 15.9. GOVERNING LAW</w:t>
      </w:r>
      <w:r>
        <w:rPr>
          <w:rFonts w:ascii="Arial" w:cs="Arial" w:eastAsia="Arial" w:hAnsi="Arial"/>
          <w:sz w:val="17"/>
          <w:szCs w:val="17"/>
          <w:color w:val="auto"/>
        </w:rPr>
        <w:t>. THIS PARTICIPATION AGREEMENT SHALL IN ALL RESPECTS, EXCEPT AS SET FORTH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PROVISO, BE GOVERNED BY THE INTERNAL LAW OF THE STATE OF NEW YORK AS TO ALL MATTERS OF CONSTRUCTION, VALIDITY AND PERFORMANCE, WITHOUT REGARD TO CONFLICTS OF LAW PRINCIPLES, EXCEPT TITLE 14 OF ARTICLE 5 OF THE NEW YORK GENERAL OBLIGATIONS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WITH RESPECT TO THE CREATION, PERFECTION, EFFECT OF PERFECTION, PRIORITY AND ENFORCEMENT OF SECURITY INTERESTS AND LIENS IN THE LEASED PROPERTY AND COLLATERAL, SUCH MATTERS SHALL BE GOVERNED BY THE LAWS OF THE STATE OF NEW YORK AND, TO THE EXTENT APPLICABLE, THE UNIFORM COMMERCIAL CODE OF SUCH STATE (INCLUDING THE CHOICE OF LAW RULES UNDER SUCH UNIFORM COMMERCIAL CODE).</w:t>
      </w:r>
    </w:p>
    <w:p>
      <w:pPr>
        <w:spacing w:after="0" w:line="178" w:lineRule="exact"/>
        <w:rPr>
          <w:sz w:val="20"/>
          <w:szCs w:val="20"/>
          <w:color w:val="auto"/>
        </w:rPr>
      </w:pPr>
    </w:p>
    <w:p>
      <w:pPr>
        <w:jc w:val="both"/>
        <w:ind w:right="40" w:firstLine="508"/>
        <w:spacing w:after="0" w:line="264" w:lineRule="auto"/>
        <w:rPr>
          <w:sz w:val="20"/>
          <w:szCs w:val="20"/>
          <w:color w:val="auto"/>
        </w:rPr>
      </w:pPr>
      <w:r>
        <w:rPr>
          <w:rFonts w:ascii="Arial" w:cs="Arial" w:eastAsia="Arial" w:hAnsi="Arial"/>
          <w:sz w:val="18"/>
          <w:szCs w:val="18"/>
          <w:i w:val="1"/>
          <w:iCs w:val="1"/>
          <w:color w:val="auto"/>
        </w:rPr>
        <w:t>Section 15.10. Severability</w:t>
      </w:r>
      <w:r>
        <w:rPr>
          <w:rFonts w:ascii="Arial" w:cs="Arial" w:eastAsia="Arial" w:hAnsi="Arial"/>
          <w:sz w:val="18"/>
          <w:szCs w:val="18"/>
          <w:color w:val="auto"/>
        </w:rPr>
        <w:t>. Any provision of this Participation Agreement that is prohibited or unenforceable in any jurisdiction shall, as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1" w:lineRule="exact"/>
        <w:rPr>
          <w:sz w:val="20"/>
          <w:szCs w:val="20"/>
          <w:color w:val="auto"/>
        </w:rPr>
      </w:pPr>
    </w:p>
    <w:p>
      <w:pPr>
        <w:ind w:right="40" w:firstLine="508"/>
        <w:spacing w:after="0" w:line="257" w:lineRule="auto"/>
        <w:rPr>
          <w:sz w:val="20"/>
          <w:szCs w:val="20"/>
          <w:color w:val="auto"/>
        </w:rPr>
      </w:pPr>
      <w:r>
        <w:rPr>
          <w:rFonts w:ascii="Arial" w:cs="Arial" w:eastAsia="Arial" w:hAnsi="Arial"/>
          <w:sz w:val="18"/>
          <w:szCs w:val="18"/>
          <w:i w:val="1"/>
          <w:iCs w:val="1"/>
          <w:color w:val="auto"/>
        </w:rPr>
        <w:t>Section 15.11. Further Assurances</w:t>
      </w:r>
      <w:r>
        <w:rPr>
          <w:rFonts w:ascii="Arial" w:cs="Arial" w:eastAsia="Arial" w:hAnsi="Arial"/>
          <w:sz w:val="18"/>
          <w:szCs w:val="18"/>
          <w:color w:val="auto"/>
        </w:rPr>
        <w:t>. The parties hereto shall promptly cause to be taken, executed, acknowledged or delivered, at the reasonable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the Lessee, all such further acts, conveyances, documents and assurances as the other parties may from time to time reasonably request in writing in order to carry out more effectively the intent and purposes of this Participation Agreement and the other Operative Documents and the Overall Transaction, including, without limitation, to establish, preserve, protect and perfect the right, title and interest of Lessor and Administrative Agent in the Leased Property, the Lien of Lessor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Administrative Agent in the other Collateral, and/or any Participant’s rights under this Participation Agreement and the other Operative Documents (including, without limitation, the preparation, execution and filing of any and all UCC Financing Statements (including precautionary financing statements) and other filings or registrations which the parties hereto may from time to time reasonably request in writing to be filed or effected). The Lessee, at its own expense and without the need of any prior request from any other party, shall take such action as may be necessary (including any action specified in the preceding sentence), or (if the Lessor shall so request) as so requested, in order to maintain and protect all Liens and security interests provided for hereunder or under any other Operative Document.</w:t>
      </w:r>
    </w:p>
    <w:p>
      <w:pPr>
        <w:sectPr>
          <w:pgSz w:w="11900" w:h="16906" w:orient="portrait"/>
          <w:cols w:equalWidth="0" w:num="1">
            <w:col w:w="11420"/>
          </w:cols>
          <w:pgMar w:left="240" w:top="125" w:right="239" w:bottom="0" w:gutter="0" w:footer="0" w:header="0"/>
        </w:sectPr>
      </w:pPr>
    </w:p>
    <w:bookmarkStart w:id="29" w:name="page30"/>
    <w:bookmarkEnd w:id="29"/>
    <w:p>
      <w:pPr>
        <w:spacing w:after="0" w:line="96" w:lineRule="exact"/>
        <w:rPr>
          <w:sz w:val="20"/>
          <w:szCs w:val="20"/>
          <w:color w:val="auto"/>
        </w:rPr>
      </w:pPr>
    </w:p>
    <w:p>
      <w:pPr>
        <w:ind w:left="520"/>
        <w:spacing w:after="0"/>
        <w:tabs>
          <w:tab w:leader="none" w:pos="1900" w:val="left"/>
        </w:tabs>
        <w:rPr>
          <w:sz w:val="20"/>
          <w:szCs w:val="20"/>
          <w:color w:val="auto"/>
        </w:rPr>
      </w:pPr>
      <w:r>
        <w:rPr>
          <w:rFonts w:ascii="Arial" w:cs="Arial" w:eastAsia="Arial" w:hAnsi="Arial"/>
          <w:sz w:val="18"/>
          <w:szCs w:val="18"/>
          <w:i w:val="1"/>
          <w:iCs w:val="1"/>
          <w:color w:val="auto"/>
        </w:rPr>
        <w:t>Section 15.12.</w:t>
      </w:r>
      <w:r>
        <w:rPr>
          <w:sz w:val="20"/>
          <w:szCs w:val="20"/>
          <w:color w:val="auto"/>
        </w:rPr>
        <w:tab/>
      </w:r>
      <w:r>
        <w:rPr>
          <w:rFonts w:ascii="Arial" w:cs="Arial" w:eastAsia="Arial" w:hAnsi="Arial"/>
          <w:sz w:val="16"/>
          <w:szCs w:val="16"/>
          <w:i w:val="1"/>
          <w:iCs w:val="1"/>
          <w:color w:val="auto"/>
        </w:rPr>
        <w:t>Submission to Jurisdiction</w:t>
      </w:r>
      <w:r>
        <w:rPr>
          <w:rFonts w:ascii="Arial" w:cs="Arial" w:eastAsia="Arial" w:hAnsi="Arial"/>
          <w:sz w:val="16"/>
          <w:szCs w:val="16"/>
          <w:color w:val="auto"/>
        </w:rPr>
        <w:t>. Each party hereto irrevocably and unconditionally:</w:t>
      </w:r>
    </w:p>
    <w:p>
      <w:pPr>
        <w:spacing w:after="0" w:line="225" w:lineRule="exact"/>
        <w:rPr>
          <w:sz w:val="20"/>
          <w:szCs w:val="20"/>
          <w:color w:val="auto"/>
        </w:rPr>
      </w:pPr>
    </w:p>
    <w:p>
      <w:pPr>
        <w:ind w:left="660" w:right="80" w:firstLine="769"/>
        <w:spacing w:after="0" w:line="259" w:lineRule="auto"/>
        <w:tabs>
          <w:tab w:leader="none" w:pos="1956"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Participation Agreement or any other Operative Document, or for recognition and enforcement of any judgment in respect thereof, to the exclusive general jurisdiction of the United States District Court for the Southern District of New York and of any New York state court sitting in the borough of Manhattan, and appellate courts from any thereof;</w:t>
      </w:r>
    </w:p>
    <w:p>
      <w:pPr>
        <w:spacing w:after="0" w:line="186" w:lineRule="exact"/>
        <w:rPr>
          <w:rFonts w:ascii="Arial" w:cs="Arial" w:eastAsia="Arial" w:hAnsi="Arial"/>
          <w:sz w:val="18"/>
          <w:szCs w:val="18"/>
          <w:color w:val="auto"/>
        </w:rPr>
      </w:pPr>
    </w:p>
    <w:p>
      <w:pPr>
        <w:ind w:left="660" w:right="40" w:firstLine="759"/>
        <w:spacing w:after="0" w:line="264" w:lineRule="auto"/>
        <w:tabs>
          <w:tab w:leader="none" w:pos="197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consents that any such action or proceedings may be brought to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81" w:lineRule="exact"/>
        <w:rPr>
          <w:rFonts w:ascii="Arial" w:cs="Arial" w:eastAsia="Arial" w:hAnsi="Arial"/>
          <w:sz w:val="18"/>
          <w:szCs w:val="18"/>
          <w:color w:val="auto"/>
        </w:rPr>
      </w:pPr>
    </w:p>
    <w:p>
      <w:pPr>
        <w:ind w:left="660" w:right="40" w:firstLine="769"/>
        <w:spacing w:after="0" w:line="264" w:lineRule="auto"/>
        <w:tabs>
          <w:tab w:leader="none" w:pos="197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such party at its address set forth on Schedule III or at such other address of which the other parties hereto shall have been notified pursuant to Section 15.3; and</w:t>
      </w:r>
    </w:p>
    <w:p>
      <w:pPr>
        <w:spacing w:after="0" w:line="181" w:lineRule="exact"/>
        <w:rPr>
          <w:rFonts w:ascii="Arial" w:cs="Arial" w:eastAsia="Arial" w:hAnsi="Arial"/>
          <w:sz w:val="18"/>
          <w:szCs w:val="18"/>
          <w:color w:val="auto"/>
        </w:rPr>
      </w:pPr>
    </w:p>
    <w:p>
      <w:pPr>
        <w:ind w:left="660" w:right="60" w:firstLine="759"/>
        <w:spacing w:after="0" w:line="277" w:lineRule="auto"/>
        <w:tabs>
          <w:tab w:leader="none" w:pos="197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affect the right that any Participant or the Administrative Agent may otherwise have to sue in any other jurisdiction.</w:t>
      </w:r>
    </w:p>
    <w:p>
      <w:pPr>
        <w:spacing w:after="0" w:line="16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SECTION 15.13. WAIVER OF JURY TRIAL</w:t>
      </w:r>
      <w:r>
        <w:rPr>
          <w:rFonts w:ascii="Arial" w:cs="Arial" w:eastAsia="Arial" w:hAnsi="Arial"/>
          <w:sz w:val="18"/>
          <w:szCs w:val="18"/>
          <w:b w:val="1"/>
          <w:bCs w:val="1"/>
          <w:color w:val="auto"/>
        </w:rPr>
        <w:t>. THE PARTIES HERETO VOLUNTARILY AND INTENTIONALLY WAIVE ANY RIGHTS THEY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MAY HAVE TO A TRIAL BY JURY IN RESPECT OF ANY LITIGATION BASED HEREON, OR ARISING OUT OF, UNDER, OR IN CONNECTION WITH, THIS PARTICIPATION AGREEMENT OR ANY OTHER OPERATIVE DOCUMENT, OR ANY COURSE OF CONDUCT, COURSE OF DEALING, STATEMENTS (WHETHER VERBAL OR WRITTEN) OR ACTIONS OF ANY OF THE PARTIES HERETO AND THERETO. THE PARTIES HERETO HEREBY AGREE THAT THEY WILL NOT SEEK TO CONSOLIDATE ANY SUCH LITIGATION WITH ANY OTHER LITIGATION IN WHICH A JURY TRIAL HAS NOT OR CANNOT BE WAIVED. THE PROVISIONS OF THIS SECTION 15.13 HAVE BEEN FULLY NEGOTIATED BY THE PARTIES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color w:val="auto"/>
        </w:rPr>
        <w:t>HERETO AND SHALL BE SUBJECT TO NO EXCEPTIONS. EACH PARTY ACKNOWLEDGES AND AGREES THAT IT HAS RECEIVED FULL AND SUFFICIENT CONSIDERATION FOR THIS PROVISION (AND EACH OTHER PROVISION OF EACH OTHER OPERATIVE DOCUMENT TO WHICH IT IS A PARTY) AND THAT THIS PROVISION IS A MATERIAL INDUCEMENT FOR EACH OTHER PARTY ENTERING INTO THIS PARTICIPATION AGREEMENT AND EACH OTHER OPERATIVE DOCUMENT.</w:t>
      </w:r>
    </w:p>
    <w:p>
      <w:pPr>
        <w:spacing w:after="0" w:line="184" w:lineRule="exact"/>
        <w:rPr>
          <w:sz w:val="20"/>
          <w:szCs w:val="20"/>
          <w:color w:val="auto"/>
        </w:rPr>
      </w:pPr>
    </w:p>
    <w:p>
      <w:pPr>
        <w:ind w:firstLine="508"/>
        <w:spacing w:after="0" w:line="287" w:lineRule="auto"/>
        <w:rPr>
          <w:sz w:val="20"/>
          <w:szCs w:val="20"/>
          <w:color w:val="auto"/>
        </w:rPr>
      </w:pPr>
      <w:r>
        <w:rPr>
          <w:rFonts w:ascii="Arial" w:cs="Arial" w:eastAsia="Arial" w:hAnsi="Arial"/>
          <w:sz w:val="16"/>
          <w:szCs w:val="16"/>
          <w:i w:val="1"/>
          <w:iCs w:val="1"/>
          <w:color w:val="auto"/>
        </w:rPr>
        <w:t>Section 15.14. Confidentiality</w:t>
      </w:r>
      <w:r>
        <w:rPr>
          <w:rFonts w:ascii="Arial" w:cs="Arial" w:eastAsia="Arial" w:hAnsi="Arial"/>
          <w:sz w:val="16"/>
          <w:szCs w:val="16"/>
          <w:color w:val="auto"/>
        </w:rPr>
        <w:t>. Each of the Participants, the Arranger and the Administrative Agent shall keep confidential, and shall not disclose,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any information (other than information (a) publicly available other than as a result of a breach of this Section or (b) that becomes available to the Participants, the Arranger or the Administrative Agent on a non-confidential basis from a source other than a party hereto or Lessee, any Guarantor or any of their respective Related Parties) that it obtains about the Lessee, the Guarantors or their respective Affiliates or securities or the books and records of Lessee, the Guarantors or their respective Affiliates or relating to the Leased Property, except that such party may disclose such information (i) to the extent required by Applicable Laws, (ii) to its Affiliates and its and such Affiliates’ respective attorneys, auditors, accountants and other professional advisors (it being understood that the Persons to whom such disclosure is made will be informed of the confidential nature of such Information and instructed to keep such information confidential);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disclosing Administrative Agent or Participant, as applicable, shall be responsible for compliance by such Persons with the provisions of this Section 15.14, (iii) in connection with the enforcement of its rights or remedies under the Operative Documents, (iv) to any participant, transferee, potential participant or potential transferee of such disclosing party’s interests permitted by the Operative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participant, transferee, potential participant or potential transferee agrees to the terms of this Section 15.14, and (v) to any federal or state banking authority or other regulatory authority having jurisdiction over such Participant, the Arranger or Administrative Agent or any of their respective Affiliates.</w:t>
      </w:r>
    </w:p>
    <w:p>
      <w:pPr>
        <w:spacing w:after="0" w:line="16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EACH OF THE ADMINISTRATIVE AGENT AND EACH PARTICIPANT ACKNOWLEDGES THAT SUCH INFORMATION REFERRED TO ABOVE FURNISHED TO IT PURSUANT TO ANY OF THE OPERATIVE DOCUMENTS MAY INCLUDE MATERIAL NON-PUBLIC INFORMATION CONCERNING THE LESSEE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ALL INFORMATION, INCLUDING REQUESTS FOR WAIVERS AND AMENDMENTS, FURNISHED BY THE LESSEE OR THE ADMINISTRATIVE AGENT PURSUANT TO, OR IN THE COURSE OF ADMINISTERING, ANY OF THE OPERATIVE DOCUMENTS WILL BE SYNDICATE-LEVEL INFORMATION, WHICH MAY CONTAIN MATERIAL NON-PUBLIC INFORMATION ABOUT THE LESSEE, THE GUARANTORS AND THEIR RELATED PARTIES OR THEIR RESPECTIVE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color w:val="auto"/>
        </w:rPr>
        <w:t>SECURITIES. ACCORDINGLY, EACH PARTICIPANT REPRESENTS TO THE LESSEE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84" w:lineRule="exact"/>
        <w:rPr>
          <w:sz w:val="20"/>
          <w:szCs w:val="20"/>
          <w:color w:val="auto"/>
        </w:rPr>
      </w:pPr>
    </w:p>
    <w:p>
      <w:pPr>
        <w:ind w:right="20" w:firstLine="508"/>
        <w:spacing w:after="0" w:line="293" w:lineRule="auto"/>
        <w:rPr>
          <w:sz w:val="20"/>
          <w:szCs w:val="20"/>
          <w:color w:val="auto"/>
        </w:rPr>
      </w:pPr>
      <w:r>
        <w:rPr>
          <w:rFonts w:ascii="Arial" w:cs="Arial" w:eastAsia="Arial" w:hAnsi="Arial"/>
          <w:sz w:val="16"/>
          <w:szCs w:val="16"/>
          <w:i w:val="1"/>
          <w:iCs w:val="1"/>
          <w:color w:val="auto"/>
        </w:rPr>
        <w:t>Section 15.15. Limited Liability of Lessor</w:t>
      </w:r>
      <w:r>
        <w:rPr>
          <w:rFonts w:ascii="Arial" w:cs="Arial" w:eastAsia="Arial" w:hAnsi="Arial"/>
          <w:sz w:val="16"/>
          <w:szCs w:val="16"/>
          <w:color w:val="auto"/>
        </w:rPr>
        <w:t>. The parties hereto agree that the Lessor shall have no personal liability whatsoever to Lessee,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Lenders, Administrative Agent or any of their respective successors and assigns for any Claim based on or in respect of this Participation Agreement or any of the other Operative Documents or arising in any way from the Overall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Lessor shall be liable in its individual capacity: (a) for its own willful misconduct or gross negligence (or negligence in the handling of funds), (b) for liabilities that may result from the inaccuracy or incorrectness of any representation or warranty made by it in this Participation Agreement or in any certificate or document delivered pursuant hereto, or from the failure of the Lessor to perform the covenants and agreements set forth in Section 10.1 hereof or any other breach by the Lessor of any of its other</w:t>
      </w:r>
    </w:p>
    <w:p>
      <w:pPr>
        <w:sectPr>
          <w:pgSz w:w="11900" w:h="16934" w:orient="portrait"/>
          <w:cols w:equalWidth="0" w:num="1">
            <w:col w:w="11400"/>
          </w:cols>
          <w:pgMar w:left="240" w:top="341" w:right="259" w:bottom="0" w:gutter="0" w:footer="0" w:header="0"/>
        </w:sectPr>
      </w:pPr>
    </w:p>
    <w:bookmarkStart w:id="30" w:name="page31"/>
    <w:bookmarkEnd w:id="30"/>
    <w:p>
      <w:pPr>
        <w:ind w:right="120"/>
        <w:spacing w:after="0" w:line="257" w:lineRule="auto"/>
        <w:rPr>
          <w:sz w:val="20"/>
          <w:szCs w:val="20"/>
          <w:color w:val="auto"/>
        </w:rPr>
      </w:pPr>
      <w:r>
        <w:rPr>
          <w:rFonts w:ascii="Arial" w:cs="Arial" w:eastAsia="Arial" w:hAnsi="Arial"/>
          <w:sz w:val="18"/>
          <w:szCs w:val="18"/>
          <w:color w:val="auto"/>
        </w:rPr>
        <w:t xml:space="preserve">covenants or obligations hereunder or under any of the other Operative Documents, (c) any Lessor Lien attributable to it, (d) for any Tax based on, with respect to or measured by any income, fees, commission, compensation or other amounts received by it as compensation for services (including for acting as Lessor) or otherwise under, or as contemplated by, the Operative Documents and (e) as otherwise expressly provided in the Operative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in no event shall Lessor’s liability exceed its interest in the Facility (except that, notwithstanding this proviso, Lessor shall remain liable for actual</w:t>
      </w:r>
      <w:r>
        <w:rPr>
          <w:rFonts w:ascii="Arial" w:cs="Arial" w:eastAsia="Arial" w:hAnsi="Arial"/>
          <w:sz w:val="18"/>
          <w:szCs w:val="18"/>
          <w:i w:val="1"/>
          <w:iCs w:val="1"/>
          <w:color w:val="auto"/>
        </w:rPr>
        <w:t xml:space="preserve"> </w:t>
      </w:r>
      <w:r>
        <w:rPr>
          <w:rFonts w:ascii="Arial" w:cs="Arial" w:eastAsia="Arial" w:hAnsi="Arial"/>
          <w:sz w:val="18"/>
          <w:szCs w:val="18"/>
          <w:color w:val="auto"/>
        </w:rPr>
        <w:t>damages caused by its gross negligence or willful misconduct).</w:t>
      </w:r>
    </w:p>
    <w:p>
      <w:pPr>
        <w:spacing w:after="0" w:line="188" w:lineRule="exact"/>
        <w:rPr>
          <w:sz w:val="20"/>
          <w:szCs w:val="20"/>
          <w:color w:val="auto"/>
        </w:rPr>
      </w:pPr>
    </w:p>
    <w:p>
      <w:pPr>
        <w:ind w:right="40" w:firstLine="508"/>
        <w:spacing w:after="0" w:line="288" w:lineRule="auto"/>
        <w:rPr>
          <w:sz w:val="20"/>
          <w:szCs w:val="20"/>
          <w:color w:val="auto"/>
        </w:rPr>
      </w:pPr>
      <w:r>
        <w:rPr>
          <w:rFonts w:ascii="Arial" w:cs="Arial" w:eastAsia="Arial" w:hAnsi="Arial"/>
          <w:sz w:val="16"/>
          <w:szCs w:val="16"/>
          <w:i w:val="1"/>
          <w:iCs w:val="1"/>
          <w:color w:val="auto"/>
        </w:rPr>
        <w:t>Section 15.16. Limited Liability of Administrative Agent</w:t>
      </w:r>
      <w:r>
        <w:rPr>
          <w:rFonts w:ascii="Arial" w:cs="Arial" w:eastAsia="Arial" w:hAnsi="Arial"/>
          <w:sz w:val="16"/>
          <w:szCs w:val="16"/>
          <w:color w:val="auto"/>
        </w:rPr>
        <w:t>. The parties hereto agree that Administrative Agent, in its individual capacity, shall have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 personal liability whatsoever to Lessee, Lessor, the Lenders or any of their respective successors and assigns for any Claim based on or in respect of this Participation Agreement or any of the other Operative Documents or arising in any way from the Overall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Administrative Agent shall be liable in its individual capacity: (a) for its own willful misconduct or gross negligence (or, to the extent Administrative Agent receives funds from any party hereto or any Guarantor, its negligence in the handling of funds) and, to each Participant for the breach of its obligations to such Participant in respect of the Operative Documents and the Leased Property, (b) for liabilities that may result from the incorrectness of any representation or warranty expressly made by it in this Participation Agreement or from its failure to perform the covenants and agreements set forth in this Participation Agreement or any other Operative Document, or (c) for any Tax based on or measured by any fees, commission or compensation received by it for actions contemplated by the Operative Documents. It is understood and agreed that, except as provided in the preceding proviso, Administrative Agent shall have no personal liability under any of the Operative Documents as a result of acting pursuant to and consistent with any of the Operative Documents.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0"/>
        <w:spacing w:after="0"/>
        <w:tabs>
          <w:tab w:leader="none" w:pos="1900" w:val="left"/>
        </w:tabs>
        <w:rPr>
          <w:sz w:val="20"/>
          <w:szCs w:val="20"/>
          <w:color w:val="auto"/>
        </w:rPr>
      </w:pPr>
      <w:r>
        <w:rPr>
          <w:rFonts w:ascii="Arial" w:cs="Arial" w:eastAsia="Arial" w:hAnsi="Arial"/>
          <w:sz w:val="18"/>
          <w:szCs w:val="18"/>
          <w:i w:val="1"/>
          <w:iCs w:val="1"/>
          <w:color w:val="auto"/>
        </w:rPr>
        <w:t>Section 15.17.</w:t>
      </w:r>
      <w:r>
        <w:rPr>
          <w:sz w:val="20"/>
          <w:szCs w:val="20"/>
          <w:color w:val="auto"/>
        </w:rPr>
        <w:tab/>
      </w:r>
      <w:r>
        <w:rPr>
          <w:rFonts w:ascii="Arial" w:cs="Arial" w:eastAsia="Arial" w:hAnsi="Arial"/>
          <w:sz w:val="16"/>
          <w:szCs w:val="16"/>
          <w:i w:val="1"/>
          <w:iCs w:val="1"/>
          <w:color w:val="auto"/>
        </w:rPr>
        <w:t>Payment of Transaction Expenses and Other Costs</w:t>
      </w:r>
      <w:r>
        <w:rPr>
          <w:rFonts w:ascii="Arial" w:cs="Arial" w:eastAsia="Arial" w:hAnsi="Arial"/>
          <w:sz w:val="16"/>
          <w:szCs w:val="16"/>
          <w:color w:val="auto"/>
        </w:rPr>
        <w:t>.</w:t>
      </w:r>
    </w:p>
    <w:p>
      <w:pPr>
        <w:spacing w:after="0" w:line="225" w:lineRule="exact"/>
        <w:rPr>
          <w:sz w:val="20"/>
          <w:szCs w:val="20"/>
          <w:color w:val="auto"/>
        </w:rPr>
      </w:pPr>
    </w:p>
    <w:p>
      <w:pPr>
        <w:jc w:val="both"/>
        <w:ind w:right="180" w:firstLine="651"/>
        <w:spacing w:after="0" w:line="312" w:lineRule="auto"/>
        <w:tabs>
          <w:tab w:leader="none" w:pos="1288" w:val="left"/>
        </w:tabs>
        <w:numPr>
          <w:ilvl w:val="1"/>
          <w:numId w:val="84"/>
        </w:numPr>
        <w:rPr>
          <w:rFonts w:ascii="Arial" w:cs="Arial" w:eastAsia="Arial" w:hAnsi="Arial"/>
          <w:sz w:val="16"/>
          <w:szCs w:val="16"/>
          <w:color w:val="auto"/>
        </w:rPr>
      </w:pPr>
      <w:r>
        <w:rPr>
          <w:rFonts w:ascii="Arial" w:cs="Arial" w:eastAsia="Arial" w:hAnsi="Arial"/>
          <w:sz w:val="16"/>
          <w:szCs w:val="16"/>
          <w:i w:val="1"/>
          <w:iCs w:val="1"/>
          <w:color w:val="auto"/>
        </w:rPr>
        <w:t>Transaction Expenses and Continuing Expenses</w:t>
      </w:r>
      <w:r>
        <w:rPr>
          <w:rFonts w:ascii="Arial" w:cs="Arial" w:eastAsia="Arial" w:hAnsi="Arial"/>
          <w:sz w:val="16"/>
          <w:szCs w:val="16"/>
          <w:color w:val="auto"/>
        </w:rPr>
        <w:t>. Subject to clause (b) below, as and when any portion of Transaction Expenses becomes</w:t>
      </w:r>
      <w:r>
        <w:rPr>
          <w:rFonts w:ascii="Arial" w:cs="Arial" w:eastAsia="Arial" w:hAnsi="Arial"/>
          <w:sz w:val="16"/>
          <w:szCs w:val="16"/>
          <w:i w:val="1"/>
          <w:iCs w:val="1"/>
          <w:color w:val="auto"/>
        </w:rPr>
        <w:t xml:space="preserve"> </w:t>
      </w:r>
      <w:r>
        <w:rPr>
          <w:rFonts w:ascii="Arial" w:cs="Arial" w:eastAsia="Arial" w:hAnsi="Arial"/>
          <w:sz w:val="16"/>
          <w:szCs w:val="16"/>
          <w:color w:val="auto"/>
        </w:rPr>
        <w:t>due and payable, including the continuing fees, expenses and disbursements (including reasonable and documented counsel fees) of Lessor, as Lessor under the Lease and Administrative Agent under the Operative Documents, such Transaction Expenses shall be paid by Lessee as Supplemental Rent.</w:t>
      </w:r>
    </w:p>
    <w:p>
      <w:pPr>
        <w:spacing w:after="0" w:line="146" w:lineRule="exact"/>
        <w:rPr>
          <w:rFonts w:ascii="Arial" w:cs="Arial" w:eastAsia="Arial" w:hAnsi="Arial"/>
          <w:sz w:val="16"/>
          <w:szCs w:val="16"/>
          <w:color w:val="auto"/>
        </w:rPr>
      </w:pPr>
    </w:p>
    <w:p>
      <w:pPr>
        <w:ind w:right="100" w:firstLine="641"/>
        <w:spacing w:after="0" w:line="286" w:lineRule="auto"/>
        <w:tabs>
          <w:tab w:leader="none" w:pos="1302" w:val="left"/>
        </w:tabs>
        <w:numPr>
          <w:ilvl w:val="1"/>
          <w:numId w:val="84"/>
        </w:numPr>
        <w:rPr>
          <w:rFonts w:ascii="Arial" w:cs="Arial" w:eastAsia="Arial" w:hAnsi="Arial"/>
          <w:sz w:val="16"/>
          <w:szCs w:val="16"/>
          <w:color w:val="auto"/>
        </w:rPr>
      </w:pPr>
      <w:r>
        <w:rPr>
          <w:rFonts w:ascii="Arial" w:cs="Arial" w:eastAsia="Arial" w:hAnsi="Arial"/>
          <w:sz w:val="16"/>
          <w:szCs w:val="16"/>
          <w:i w:val="1"/>
          <w:iCs w:val="1"/>
          <w:color w:val="auto"/>
        </w:rPr>
        <w:t>Amendments, Supplements and Appraisal</w:t>
      </w:r>
      <w:r>
        <w:rPr>
          <w:rFonts w:ascii="Arial" w:cs="Arial" w:eastAsia="Arial" w:hAnsi="Arial"/>
          <w:sz w:val="16"/>
          <w:szCs w:val="16"/>
          <w:color w:val="auto"/>
        </w:rPr>
        <w:t>. Without limitation of the foregoing, Lessee agrees to pay to the Participants and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Agent all reasonable and documented out-of-pocket costs and expenses (limited, in the case of legal fees, to reasonable and documented legal fees and expenses of special counsel to Administrative Agent and Lessor) incurred by any of them in connection with: (i) the considering, evaluating, investigating, negotiating and entering into or giving or withholding of any amendments or supplements or waivers or consents with respect to any Operative Document;</w:t>
      </w:r>
    </w:p>
    <w:p>
      <w:pPr>
        <w:spacing w:after="0" w:line="1" w:lineRule="exact"/>
        <w:rPr>
          <w:rFonts w:ascii="Arial" w:cs="Arial" w:eastAsia="Arial" w:hAnsi="Arial"/>
          <w:sz w:val="16"/>
          <w:szCs w:val="16"/>
          <w:color w:val="auto"/>
        </w:rPr>
      </w:pPr>
    </w:p>
    <w:p>
      <w:pPr>
        <w:ind w:right="120" w:firstLine="8"/>
        <w:spacing w:after="0" w:line="254" w:lineRule="auto"/>
        <w:tabs>
          <w:tab w:leader="none" w:pos="26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Event of Loss, Specified Significant Environmental Event or termination of the Lease or any other Operative Document; (iii) the negotiation and documentation of any restructuring or “workout”, whether or not consummated, of any Operative Document; (iv) the enforcement of the rights or remedies under the Operative Documents; or (v) any transfer by Lessor or a Participant of any interest in the Operative Documents during the continuance of an Event of Default.</w:t>
      </w:r>
    </w:p>
    <w:p>
      <w:pPr>
        <w:spacing w:after="0" w:line="190" w:lineRule="exact"/>
        <w:rPr>
          <w:sz w:val="20"/>
          <w:szCs w:val="20"/>
          <w:color w:val="auto"/>
        </w:rPr>
      </w:pPr>
    </w:p>
    <w:p>
      <w:pPr>
        <w:ind w:right="60" w:firstLine="508"/>
        <w:spacing w:after="0" w:line="288" w:lineRule="auto"/>
        <w:rPr>
          <w:sz w:val="20"/>
          <w:szCs w:val="20"/>
          <w:color w:val="auto"/>
        </w:rPr>
      </w:pPr>
      <w:r>
        <w:rPr>
          <w:rFonts w:ascii="Arial" w:cs="Arial" w:eastAsia="Arial" w:hAnsi="Arial"/>
          <w:sz w:val="16"/>
          <w:szCs w:val="16"/>
          <w:i w:val="1"/>
          <w:iCs w:val="1"/>
          <w:color w:val="auto"/>
        </w:rPr>
        <w:t>Section 15.18. Reproduction of Documents</w:t>
      </w:r>
      <w:r>
        <w:rPr>
          <w:rFonts w:ascii="Arial" w:cs="Arial" w:eastAsia="Arial" w:hAnsi="Arial"/>
          <w:sz w:val="16"/>
          <w:szCs w:val="16"/>
          <w:color w:val="auto"/>
        </w:rPr>
        <w:t>. This Participation Agreement, all documents constituting an Appendix, Schedule or Exhibit hereto,</w:t>
      </w:r>
      <w:r>
        <w:rPr>
          <w:rFonts w:ascii="Arial" w:cs="Arial" w:eastAsia="Arial" w:hAnsi="Arial"/>
          <w:sz w:val="16"/>
          <w:szCs w:val="16"/>
          <w:i w:val="1"/>
          <w:iCs w:val="1"/>
          <w:color w:val="auto"/>
        </w:rPr>
        <w:t xml:space="preserve"> </w:t>
      </w:r>
      <w:r>
        <w:rPr>
          <w:rFonts w:ascii="Arial" w:cs="Arial" w:eastAsia="Arial" w:hAnsi="Arial"/>
          <w:sz w:val="16"/>
          <w:szCs w:val="16"/>
          <w:color w:val="auto"/>
        </w:rPr>
        <w:t>and all documents relating hereto received by a party hereto, including, without limitation: (a) consents, waivers and modifications that may hereafter be executed; (b) documents received by the Participants or Lessor in connection with the receipt and/or acquisition of the Leased Property; and (c) financial statements, certificates, and other information previously or hereafter furnished to Lessor, Administrative Agent or any Participant may be reproduced by the party receiving the same by any photographic, photostatic, microfilm, micro-card, miniature photographic or other similar process. Each of the parties hereto agrees and stipulates that, to the extent permitted by law, any such reproduction shall be admissible in evidence as the original itself in any judicial or administrative proceeding (whether or not the original is in existence and whether or not such reproduction was made by such party in the regular course of business) and that, to the extent permitted by law, any enlargement, facsimile or further reproduction of such reproduction shall likewise be admissible in evidence. This Section 15.18 shall not prohibit the Lessee, the Guarantors or any other party hereto from contesting any such reproduction to the same extent that it could contest the original, or from introducing evidence to demonstrate the inaccuracy of any such reproduction.</w:t>
      </w:r>
    </w:p>
    <w:p>
      <w:pPr>
        <w:spacing w:after="0" w:line="169" w:lineRule="exact"/>
        <w:rPr>
          <w:sz w:val="20"/>
          <w:szCs w:val="20"/>
          <w:color w:val="auto"/>
        </w:rPr>
      </w:pPr>
    </w:p>
    <w:p>
      <w:pPr>
        <w:ind w:firstLine="508"/>
        <w:spacing w:after="0" w:line="255" w:lineRule="auto"/>
        <w:rPr>
          <w:sz w:val="20"/>
          <w:szCs w:val="20"/>
          <w:color w:val="auto"/>
        </w:rPr>
      </w:pPr>
      <w:r>
        <w:rPr>
          <w:rFonts w:ascii="Arial" w:cs="Arial" w:eastAsia="Arial" w:hAnsi="Arial"/>
          <w:sz w:val="18"/>
          <w:szCs w:val="18"/>
          <w:i w:val="1"/>
          <w:iCs w:val="1"/>
          <w:color w:val="auto"/>
        </w:rPr>
        <w:t>Section 15.19. Role of Arranger</w:t>
      </w:r>
      <w:r>
        <w:rPr>
          <w:rFonts w:ascii="Arial" w:cs="Arial" w:eastAsia="Arial" w:hAnsi="Arial"/>
          <w:sz w:val="18"/>
          <w:szCs w:val="18"/>
          <w:color w:val="auto"/>
        </w:rPr>
        <w:t>. Each party hereto acknowledges hereby that it is aware of the fact that Banc of America Leasing &amp; Capital, LLC</w:t>
      </w:r>
      <w:r>
        <w:rPr>
          <w:rFonts w:ascii="Arial" w:cs="Arial" w:eastAsia="Arial" w:hAnsi="Arial"/>
          <w:sz w:val="18"/>
          <w:szCs w:val="18"/>
          <w:i w:val="1"/>
          <w:iCs w:val="1"/>
          <w:color w:val="auto"/>
        </w:rPr>
        <w:t xml:space="preserve"> </w:t>
      </w:r>
      <w:r>
        <w:rPr>
          <w:rFonts w:ascii="Arial" w:cs="Arial" w:eastAsia="Arial" w:hAnsi="Arial"/>
          <w:sz w:val="18"/>
          <w:szCs w:val="18"/>
          <w:color w:val="auto"/>
        </w:rPr>
        <w:t>has acted as an “Arranger” with respect to the Overall Transaction. The parties hereto acknowledge and agree that Arranger and its Affiliates, including Bank of America, N.A., have not made any representations or warranties concerning, and that they have not relied upon the Arranger as to, the tax, accounting or legal characterization or validity of (i) the Operative Documents or (ii) any aspect of the Overall Transaction. The parties hereto acknowledge and agree that the Arranger has no duties, express or implied, under the Operative Documents in its capacity as Arranger. The parties hereto further agree that Section 5.1, Section 15.2, Section 15.17(a) and this Section 15.19 are for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express benefit of the Arranger, and the Arranger shall be entitled to rely thereon as if it were a party hereto.</w:t>
      </w:r>
    </w:p>
    <w:p>
      <w:pPr>
        <w:spacing w:after="0" w:line="225" w:lineRule="exact"/>
        <w:rPr>
          <w:sz w:val="20"/>
          <w:szCs w:val="20"/>
          <w:color w:val="auto"/>
        </w:rPr>
      </w:pPr>
    </w:p>
    <w:p>
      <w:pPr>
        <w:ind w:right="40" w:firstLine="508"/>
        <w:spacing w:after="0" w:line="259" w:lineRule="auto"/>
        <w:rPr>
          <w:sz w:val="20"/>
          <w:szCs w:val="20"/>
          <w:color w:val="auto"/>
        </w:rPr>
      </w:pPr>
      <w:r>
        <w:rPr>
          <w:rFonts w:ascii="Arial" w:cs="Arial" w:eastAsia="Arial" w:hAnsi="Arial"/>
          <w:sz w:val="18"/>
          <w:szCs w:val="18"/>
          <w:i w:val="1"/>
          <w:iCs w:val="1"/>
          <w:color w:val="auto"/>
        </w:rPr>
        <w:t>Section 15.20. Retention of Consultants</w:t>
      </w:r>
      <w:r>
        <w:rPr>
          <w:rFonts w:ascii="Arial" w:cs="Arial" w:eastAsia="Arial" w:hAnsi="Arial"/>
          <w:sz w:val="18"/>
          <w:szCs w:val="18"/>
          <w:color w:val="auto"/>
        </w:rPr>
        <w:t>. In connection with any matters to be determined or resolved by an independent engineer, an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consultant or other third party expert, Administrative Agent is hereby authorized to retain any such third party consultant reasonably acceptable to Lessee, at Lessee’s reasonable cost and expense, in accordance with the terms of the Operative Document calling for or requiring the appointment of such third party consultant.</w:t>
      </w:r>
    </w:p>
    <w:p>
      <w:pPr>
        <w:spacing w:after="0" w:line="187" w:lineRule="exact"/>
        <w:rPr>
          <w:sz w:val="20"/>
          <w:szCs w:val="20"/>
          <w:color w:val="auto"/>
        </w:rPr>
      </w:pPr>
    </w:p>
    <w:p>
      <w:pPr>
        <w:ind w:right="160" w:firstLine="508"/>
        <w:spacing w:after="0" w:line="259" w:lineRule="auto"/>
        <w:rPr>
          <w:sz w:val="20"/>
          <w:szCs w:val="20"/>
          <w:color w:val="auto"/>
        </w:rPr>
      </w:pPr>
      <w:r>
        <w:rPr>
          <w:rFonts w:ascii="Arial" w:cs="Arial" w:eastAsia="Arial" w:hAnsi="Arial"/>
          <w:sz w:val="18"/>
          <w:szCs w:val="18"/>
          <w:i w:val="1"/>
          <w:iCs w:val="1"/>
          <w:color w:val="auto"/>
        </w:rPr>
        <w:t>Section 15.21. Liability Limited</w:t>
      </w:r>
      <w:r>
        <w:rPr>
          <w:rFonts w:ascii="Arial" w:cs="Arial" w:eastAsia="Arial" w:hAnsi="Arial"/>
          <w:sz w:val="18"/>
          <w:szCs w:val="18"/>
          <w:color w:val="auto"/>
        </w:rPr>
        <w:t>. No Participant shall have any obligation to any other Participant or to the Lessee, the Lessor or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with respect to the Overall Transaction, except those obligations of such Participant expressly set forth in the Operative Documents or except as set forth in the instruments delivered in connection therewith, and no Participant shall be liable for performance by any other party hereto of such other party’s obligations under the Operative Documents, except as otherwise so set forth.</w:t>
      </w:r>
    </w:p>
    <w:p>
      <w:pPr>
        <w:spacing w:after="0" w:line="187" w:lineRule="exact"/>
        <w:rPr>
          <w:sz w:val="20"/>
          <w:szCs w:val="20"/>
          <w:color w:val="auto"/>
        </w:rPr>
      </w:pPr>
    </w:p>
    <w:p>
      <w:pPr>
        <w:ind w:right="200" w:firstLine="508"/>
        <w:spacing w:after="0" w:line="302" w:lineRule="auto"/>
        <w:rPr>
          <w:sz w:val="20"/>
          <w:szCs w:val="20"/>
          <w:color w:val="auto"/>
        </w:rPr>
      </w:pPr>
      <w:r>
        <w:rPr>
          <w:rFonts w:ascii="Arial" w:cs="Arial" w:eastAsia="Arial" w:hAnsi="Arial"/>
          <w:sz w:val="16"/>
          <w:szCs w:val="16"/>
          <w:i w:val="1"/>
          <w:iCs w:val="1"/>
          <w:color w:val="auto"/>
        </w:rPr>
        <w:t>Section 15.22. Deliveries to Participants</w:t>
      </w:r>
      <w:r>
        <w:rPr>
          <w:rFonts w:ascii="Arial" w:cs="Arial" w:eastAsia="Arial" w:hAnsi="Arial"/>
          <w:sz w:val="16"/>
          <w:szCs w:val="16"/>
          <w:color w:val="auto"/>
        </w:rPr>
        <w:t>. Lessee may fulfill its obligations hereunder and under each of the other Operative Documents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any item (other than any notices) to any Participant by providing sufficient copies of such item directly to the Administrative Agent, along with the costs of postage, with instructions to the Administrative Agent to deliver such item to such Participant; provided that this Section 15.22 shall not apply with respect to notices and other communications made pursuant to Section 15.3(b) hereof or the last paragraph of Section 8(a) or 8(b) of the Guaranty.</w:t>
      </w:r>
    </w:p>
    <w:p>
      <w:pPr>
        <w:sectPr>
          <w:pgSz w:w="11900" w:h="16838" w:orient="portrait"/>
          <w:cols w:equalWidth="0" w:num="1">
            <w:col w:w="11420"/>
          </w:cols>
          <w:pgMar w:left="240" w:top="125" w:right="239" w:bottom="0" w:gutter="0" w:footer="0" w:header="0"/>
        </w:sectPr>
      </w:pPr>
    </w:p>
    <w:bookmarkStart w:id="31" w:name="page32"/>
    <w:bookmarkEnd w:id="31"/>
    <w:p>
      <w:pPr>
        <w:spacing w:after="0" w:line="94" w:lineRule="exact"/>
        <w:rPr>
          <w:sz w:val="20"/>
          <w:szCs w:val="20"/>
          <w:color w:val="auto"/>
        </w:rPr>
      </w:pPr>
    </w:p>
    <w:p>
      <w:pPr>
        <w:ind w:right="100" w:firstLine="508"/>
        <w:spacing w:after="0" w:line="259" w:lineRule="auto"/>
        <w:rPr>
          <w:sz w:val="20"/>
          <w:szCs w:val="20"/>
          <w:color w:val="auto"/>
        </w:rPr>
      </w:pPr>
      <w:r>
        <w:rPr>
          <w:rFonts w:ascii="Arial" w:cs="Arial" w:eastAsia="Arial" w:hAnsi="Arial"/>
          <w:sz w:val="18"/>
          <w:szCs w:val="18"/>
          <w:i w:val="1"/>
          <w:iCs w:val="1"/>
          <w:color w:val="auto"/>
        </w:rPr>
        <w:t>Section 15.23. USA Patriot Act Notice</w:t>
      </w:r>
      <w:r>
        <w:rPr>
          <w:rFonts w:ascii="Arial" w:cs="Arial" w:eastAsia="Arial" w:hAnsi="Arial"/>
          <w:sz w:val="18"/>
          <w:szCs w:val="18"/>
          <w:color w:val="auto"/>
        </w:rPr>
        <w:t>. Each Participant that is subject to the Patriot Act hereby notifies Lessee, the Guarantors and Lessor that</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requirements of the Patriot Act, it is required to obtain, verify and record information that identifies Lessee, the Guarantors and Lessor, which information includes the name and address of Lessee, the Guarantors and Lessor and other information that will allow such Participant, as applicable, to identify Lessee and Lessor, as applicable, in accordance with the Patriot Act.</w:t>
      </w:r>
    </w:p>
    <w:p>
      <w:pPr>
        <w:spacing w:after="0" w:line="187" w:lineRule="exact"/>
        <w:rPr>
          <w:sz w:val="20"/>
          <w:szCs w:val="20"/>
          <w:color w:val="auto"/>
        </w:rPr>
      </w:pPr>
    </w:p>
    <w:p>
      <w:pPr>
        <w:ind w:right="380" w:firstLine="508"/>
        <w:spacing w:after="0" w:line="291" w:lineRule="auto"/>
        <w:rPr>
          <w:sz w:val="20"/>
          <w:szCs w:val="20"/>
          <w:color w:val="auto"/>
        </w:rPr>
      </w:pPr>
      <w:r>
        <w:rPr>
          <w:rFonts w:ascii="Arial" w:cs="Arial" w:eastAsia="Arial" w:hAnsi="Arial"/>
          <w:sz w:val="16"/>
          <w:szCs w:val="16"/>
          <w:i w:val="1"/>
          <w:iCs w:val="1"/>
          <w:color w:val="auto"/>
        </w:rPr>
        <w:t>Section 15.24. No Advisory or Fiduciary Responsibility</w:t>
      </w:r>
      <w:r>
        <w:rPr>
          <w:rFonts w:ascii="Arial" w:cs="Arial" w:eastAsia="Arial" w:hAnsi="Arial"/>
          <w:sz w:val="16"/>
          <w:szCs w:val="16"/>
          <w:color w:val="auto"/>
        </w:rPr>
        <w:t>. In connection with all aspects of each transaction contemplated hereby (including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any amendment, waiver or other modification hereof or of any other Operative Document), the Lessee acknowledges and agrees that:</w:t>
      </w:r>
    </w:p>
    <w:p>
      <w:pPr>
        <w:ind w:right="40" w:firstLine="8"/>
        <w:spacing w:after="0" w:line="288" w:lineRule="auto"/>
        <w:tabs>
          <w:tab w:leader="none" w:pos="215"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the services regarding this Participation Agreement provided by the Administrative Agent and the Participants are arm’s-length commercial transactions between the Lessee, on the one hand, and the Administrative Agent and the Participants, on the other hand, (B) Lessee has consulted its own legal, accounting, regulatory and tax advisors to the extent it has deemed appropriate, and (C) the Lessee is capable of evaluating, and understands and accepts, the terms, risks and conditions of the transactions contemplated hereby and by the other Operative Documents; (ii) (A) the Administrative Agent and each Participant is and has been acting solely as a principal and, except as expressly agreed in writing by the relevant parties, has not been, is not, and will not be acting as an advisor, agent or fiduciary for the Lessee or any other Person and (B) neither the Administrative Agent nor any Participant has any obligation to the Lessee or any of its Affiliates with respect to the transactions contemplated hereby except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those obligations expressly set forth herein and in the other Operative Documents; and (iii) the Administrative Agent and the Participants and their respective Affiliates may be engaged in a broad range of transactions that involve interests that differ from those of the Lessee and its Affiliates, and neither the Administrative Agent, nor any Participant has any obligation to disclose any of such interests to the Lessee or any of its Affiliates. To the fullest extent permitted by law, the Lessee hereby waives and releases any claims that it may have against the Administrative Agent, or any Participant with respect to any breach or alleged breach of agency or fiduciary duty in connection with any aspect of any transaction contemplated hereby.</w:t>
      </w:r>
    </w:p>
    <w:p>
      <w:pPr>
        <w:spacing w:after="0" w:line="173" w:lineRule="exact"/>
        <w:rPr>
          <w:sz w:val="20"/>
          <w:szCs w:val="20"/>
          <w:color w:val="auto"/>
        </w:rPr>
      </w:pPr>
    </w:p>
    <w:p>
      <w:pPr>
        <w:ind w:right="60" w:firstLine="508"/>
        <w:spacing w:after="0" w:line="271" w:lineRule="auto"/>
        <w:rPr>
          <w:sz w:val="20"/>
          <w:szCs w:val="20"/>
          <w:color w:val="auto"/>
        </w:rPr>
      </w:pPr>
      <w:r>
        <w:rPr>
          <w:rFonts w:ascii="Arial" w:cs="Arial" w:eastAsia="Arial" w:hAnsi="Arial"/>
          <w:sz w:val="17"/>
          <w:szCs w:val="17"/>
          <w:i w:val="1"/>
          <w:iCs w:val="1"/>
          <w:color w:val="auto"/>
        </w:rPr>
        <w:t>Section 15.25. Certain Confidentiality Obligations of Lessee</w:t>
      </w:r>
      <w:r>
        <w:rPr>
          <w:rFonts w:ascii="Arial" w:cs="Arial" w:eastAsia="Arial" w:hAnsi="Arial"/>
          <w:sz w:val="17"/>
          <w:szCs w:val="17"/>
          <w:color w:val="auto"/>
        </w:rPr>
        <w:t>. Lessee shall keep confidential, and shall not disclose, any information (other than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information publicly available other than as a result of a breach of this Section) that it obtains about the Lessor pursuant to Section 10.1(i), except that Lessee may disclose such information (i) to the extent required by Applicable Laws, (ii) to its Affiliates and its and such Affiliates’ respective attorneys, auditors, accountants and other professional advisors (it being understood that the Persons to whom such disclosure is made will be informed of the confidential nature of such Information and instructed to keep such information confidential);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Lessee shall be responsible for compliance by such Persons with the provisions of this Section 15.25, (iii) in connection with the enforcement of its rights or remedies under the Operative Documents, (iv) to any assignee or potential assignee of Lessee’s interests permitted by the Operative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assignee or potential assignee agrees to the terms of this Section 15.25, and (v) to any regulatory authority having jurisdiction over Lessee or any of its Affiliates.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ADMINISTRATIVE AGENT</w:t>
      </w:r>
    </w:p>
    <w:p>
      <w:pPr>
        <w:spacing w:after="0" w:line="211" w:lineRule="exact"/>
        <w:rPr>
          <w:sz w:val="20"/>
          <w:szCs w:val="20"/>
          <w:color w:val="auto"/>
        </w:rPr>
      </w:pPr>
    </w:p>
    <w:p>
      <w:pPr>
        <w:ind w:firstLine="592"/>
        <w:spacing w:after="0" w:line="253" w:lineRule="auto"/>
        <w:rPr>
          <w:sz w:val="20"/>
          <w:szCs w:val="20"/>
          <w:color w:val="auto"/>
        </w:rPr>
      </w:pPr>
      <w:r>
        <w:rPr>
          <w:rFonts w:ascii="Arial" w:cs="Arial" w:eastAsia="Arial" w:hAnsi="Arial"/>
          <w:sz w:val="18"/>
          <w:szCs w:val="18"/>
          <w:i w:val="1"/>
          <w:iCs w:val="1"/>
          <w:color w:val="auto"/>
        </w:rPr>
        <w:t>Section 16.1. Appointment</w:t>
      </w:r>
      <w:r>
        <w:rPr>
          <w:rFonts w:ascii="Arial" w:cs="Arial" w:eastAsia="Arial" w:hAnsi="Arial"/>
          <w:sz w:val="18"/>
          <w:szCs w:val="18"/>
          <w:color w:val="auto"/>
        </w:rPr>
        <w:t>. Each Participant hereby irrevocably designates and appoints the Administrative Agent as its agent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Agreement and the other Operative Documents, and each such Participant irrevocably authorizes the Administrative Agent, in such capacity, to take such action on its behalf under the provisions of this Participation Agreement and the other Operative Documents and to exercise such powers and perform such duties as are expressly delegated to the Administrative Agent by the terms of this Participation Agreement and the other Operative Documents, together with such other powers as are reasonably incidental thereto. Notwithstanding any provision to the contrary elsewhere in this Participation Agreement, the Administrative Agent shall not have any duties or responsibilities, except those expressly set forth herein and in the other Operative Documents, or any fiduciary relationship with any Participant or any other party to the Operative Documents, and no implied covenants, functions, responsibilities, duties, obligations or liabilities shall be read into this Participation Agreement or any other Operative Document or otherwise exist against the Administrative Agent.</w:t>
      </w:r>
    </w:p>
    <w:p>
      <w:pPr>
        <w:spacing w:after="0" w:line="197" w:lineRule="exact"/>
        <w:rPr>
          <w:sz w:val="20"/>
          <w:szCs w:val="20"/>
          <w:color w:val="auto"/>
        </w:rPr>
      </w:pPr>
    </w:p>
    <w:p>
      <w:pPr>
        <w:ind w:right="80" w:firstLine="592"/>
        <w:spacing w:after="0" w:line="312" w:lineRule="auto"/>
        <w:rPr>
          <w:sz w:val="20"/>
          <w:szCs w:val="20"/>
          <w:color w:val="auto"/>
        </w:rPr>
      </w:pPr>
      <w:r>
        <w:rPr>
          <w:rFonts w:ascii="Arial" w:cs="Arial" w:eastAsia="Arial" w:hAnsi="Arial"/>
          <w:sz w:val="16"/>
          <w:szCs w:val="16"/>
          <w:i w:val="1"/>
          <w:iCs w:val="1"/>
          <w:color w:val="auto"/>
        </w:rPr>
        <w:t>Section 16.2. Delegation of Duties</w:t>
      </w:r>
      <w:r>
        <w:rPr>
          <w:rFonts w:ascii="Arial" w:cs="Arial" w:eastAsia="Arial" w:hAnsi="Arial"/>
          <w:sz w:val="16"/>
          <w:szCs w:val="16"/>
          <w:color w:val="auto"/>
        </w:rPr>
        <w:t>. The Administrative Agent may execute any of its duties under this Participation Agreement and the other</w:t>
      </w:r>
      <w:r>
        <w:rPr>
          <w:rFonts w:ascii="Arial" w:cs="Arial" w:eastAsia="Arial" w:hAnsi="Arial"/>
          <w:sz w:val="16"/>
          <w:szCs w:val="16"/>
          <w:i w:val="1"/>
          <w:iCs w:val="1"/>
          <w:color w:val="auto"/>
        </w:rPr>
        <w:t xml:space="preserve"> </w:t>
      </w:r>
      <w:r>
        <w:rPr>
          <w:rFonts w:ascii="Arial" w:cs="Arial" w:eastAsia="Arial" w:hAnsi="Arial"/>
          <w:sz w:val="16"/>
          <w:szCs w:val="16"/>
          <w:color w:val="auto"/>
        </w:rPr>
        <w:t>Operative Documents by or through agents or attorneys-in-fact and shall be entitled to advice of counsel concerning all matters pertaining to such duties. The Administrative Agent shall not be responsible for the negligence or misconduct of agents or attorneys-in-fact selected by it with reasonable care.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592"/>
        <w:spacing w:after="0" w:line="287" w:lineRule="auto"/>
        <w:rPr>
          <w:sz w:val="20"/>
          <w:szCs w:val="20"/>
          <w:color w:val="auto"/>
        </w:rPr>
      </w:pPr>
      <w:r>
        <w:rPr>
          <w:rFonts w:ascii="Arial" w:cs="Arial" w:eastAsia="Arial" w:hAnsi="Arial"/>
          <w:sz w:val="16"/>
          <w:szCs w:val="16"/>
          <w:i w:val="1"/>
          <w:iCs w:val="1"/>
          <w:color w:val="auto"/>
        </w:rPr>
        <w:t>Section 16.3. Exculpatory Provisions</w:t>
      </w:r>
      <w:r>
        <w:rPr>
          <w:rFonts w:ascii="Arial" w:cs="Arial" w:eastAsia="Arial" w:hAnsi="Arial"/>
          <w:sz w:val="16"/>
          <w:szCs w:val="16"/>
          <w:color w:val="auto"/>
        </w:rPr>
        <w:t>. Neither the Administrative Agent (in its capacity as such) nor any of its officers, directors,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agents, attorneys-in-fact or Affiliates shall be (a) liable for any action lawfully taken or omitted to be taken by it or such Person under or in connection with this Participation Agreement or any other Operative Document, except for its or such Person’s own willful misconduct or gross negligence (or negligence in the handling of funds) or (b) responsible in any manner to any Participant or any other party to the Operative Documents for any recitals, statements, representations or warranties made by the Lessor or the Lessee or the Guarantors or any officer thereof contained in this Participation Agreement or any other Operative Document or in any certificate, report, statement or other document referred to or provided for in, or received by the Administrative Agent under or in connection with, this Participation Agreement or any other Operative Document, or for the value, validity, effectiveness, genuineness, enforceability or sufficiency of this Participation Agreement or any other Operative Document or for any failure of the Lessor or the Lessee or the Guarantors to perform their respective obligations hereunder or thereunder. The Administrative Agent shall not be under any obligation to any Participant or any other party to the Operative Documents to ascertain or to inquire as to the observance or performance of any of the agreements contained in, or conditions of, this Participation Agreement or any other Operative Document, or to inspect the properties, books or records of the Lessor, the Guarantors or the Lessee.</w:t>
      </w:r>
    </w:p>
    <w:p>
      <w:pPr>
        <w:spacing w:after="0" w:line="173" w:lineRule="exact"/>
        <w:rPr>
          <w:sz w:val="20"/>
          <w:szCs w:val="20"/>
          <w:color w:val="auto"/>
        </w:rPr>
      </w:pPr>
    </w:p>
    <w:p>
      <w:pPr>
        <w:ind w:right="40" w:firstLine="592"/>
        <w:spacing w:after="0" w:line="289" w:lineRule="auto"/>
        <w:rPr>
          <w:sz w:val="20"/>
          <w:szCs w:val="20"/>
          <w:color w:val="auto"/>
        </w:rPr>
      </w:pPr>
      <w:r>
        <w:rPr>
          <w:rFonts w:ascii="Arial" w:cs="Arial" w:eastAsia="Arial" w:hAnsi="Arial"/>
          <w:sz w:val="16"/>
          <w:szCs w:val="16"/>
          <w:i w:val="1"/>
          <w:iCs w:val="1"/>
          <w:color w:val="auto"/>
        </w:rPr>
        <w:t>Section 16.4. Reliance by Administrative Agent</w:t>
      </w:r>
      <w:r>
        <w:rPr>
          <w:rFonts w:ascii="Arial" w:cs="Arial" w:eastAsia="Arial" w:hAnsi="Arial"/>
          <w:sz w:val="16"/>
          <w:szCs w:val="16"/>
          <w:color w:val="auto"/>
        </w:rPr>
        <w:t>. The Administrative Agent shall be entitled to rely, and shall be fully protected in relying, upon</w:t>
      </w:r>
      <w:r>
        <w:rPr>
          <w:rFonts w:ascii="Arial" w:cs="Arial" w:eastAsia="Arial" w:hAnsi="Arial"/>
          <w:sz w:val="16"/>
          <w:szCs w:val="16"/>
          <w:i w:val="1"/>
          <w:iCs w:val="1"/>
          <w:color w:val="auto"/>
        </w:rPr>
        <w:t xml:space="preserve"> </w:t>
      </w:r>
      <w:r>
        <w:rPr>
          <w:rFonts w:ascii="Arial" w:cs="Arial" w:eastAsia="Arial" w:hAnsi="Arial"/>
          <w:sz w:val="16"/>
          <w:szCs w:val="16"/>
          <w:color w:val="auto"/>
        </w:rPr>
        <w:t>any Note, Lessor Amount, writing, resolution, notice, consent, certificate, affidavit, letter, facsimile message, statement, order or other document or other written communication believed by it to be genuine and correct and to have been signed, sent or made by the proper Person or Persons and upon advice and statements of legal counsel (including, without limitation, counsel to the Lessor or the Lessee), independent accountants and other experts selected by the Administrative Agent. The Administrative Agent may deem and treat the payee of any Note or Lessor Amount as the owner thereof for all purposes unless a written notice of assignment, negotiation or transfer thereof shall have been filed with the Administrative Agent, in accordance with the Loan Agreement or this Participation Agreement, as applicable. The Administrative Agent shall be fully justified in failing or refusing to take any action under this Participation Agreement or any other Operative Document unless it shall first receive the advice or concurrence of the Required Participants, or it shall first be indemnified to its reasonable satisfaction by the applicable Participants against any and all liability and expense which may be incurred by it by reason of taking or</w:t>
      </w:r>
    </w:p>
    <w:p>
      <w:pPr>
        <w:sectPr>
          <w:pgSz w:w="11900" w:h="16932" w:orient="portrait"/>
          <w:cols w:equalWidth="0" w:num="1">
            <w:col w:w="11420"/>
          </w:cols>
          <w:pgMar w:left="240" w:top="125" w:right="239" w:bottom="0" w:gutter="0" w:footer="0" w:header="0"/>
        </w:sectPr>
      </w:pPr>
    </w:p>
    <w:bookmarkStart w:id="32" w:name="page33"/>
    <w:bookmarkEnd w:id="32"/>
    <w:p>
      <w:pPr>
        <w:ind w:right="80"/>
        <w:spacing w:after="0" w:line="257" w:lineRule="auto"/>
        <w:rPr>
          <w:sz w:val="20"/>
          <w:szCs w:val="20"/>
          <w:color w:val="auto"/>
        </w:rPr>
      </w:pPr>
      <w:r>
        <w:rPr>
          <w:rFonts w:ascii="Arial" w:cs="Arial" w:eastAsia="Arial" w:hAnsi="Arial"/>
          <w:sz w:val="18"/>
          <w:szCs w:val="18"/>
          <w:color w:val="auto"/>
        </w:rPr>
        <w:t>continuing to take any such action. The Administrative Agent shall in all cases be fully protected in acting, or in refraining from acting, under this Participation Agreement and the other Operative Documents in accordance with a request of the Required Participants, and such request and any action taken or failure to act pursuant thereto shall be binding upon all the Participants and all future transferees. Wherever in the Operative Documents the consent or approval of the Administrative Agent is required, in giving any such consent or approval the Administrative Agent may rely upon, or make its approval subject to, the directions of or consent or approval from the Required Participants.</w:t>
      </w:r>
    </w:p>
    <w:p>
      <w:pPr>
        <w:spacing w:after="0" w:line="188" w:lineRule="exact"/>
        <w:rPr>
          <w:sz w:val="20"/>
          <w:szCs w:val="20"/>
          <w:color w:val="auto"/>
        </w:rPr>
      </w:pPr>
    </w:p>
    <w:p>
      <w:pPr>
        <w:ind w:right="100" w:firstLine="592"/>
        <w:spacing w:after="0" w:line="277" w:lineRule="auto"/>
        <w:rPr>
          <w:sz w:val="20"/>
          <w:szCs w:val="20"/>
          <w:color w:val="auto"/>
        </w:rPr>
      </w:pPr>
      <w:r>
        <w:rPr>
          <w:rFonts w:ascii="Arial" w:cs="Arial" w:eastAsia="Arial" w:hAnsi="Arial"/>
          <w:sz w:val="18"/>
          <w:szCs w:val="18"/>
          <w:i w:val="1"/>
          <w:iCs w:val="1"/>
          <w:color w:val="auto"/>
        </w:rPr>
        <w:t>Section 16.5. Notice of Default</w:t>
      </w:r>
      <w:r>
        <w:rPr>
          <w:rFonts w:ascii="Arial" w:cs="Arial" w:eastAsia="Arial" w:hAnsi="Arial"/>
          <w:sz w:val="18"/>
          <w:szCs w:val="18"/>
          <w:color w:val="auto"/>
        </w:rPr>
        <w:t>. The Administrative Agent shall not be deemed to have knowledge or notice of the occurrence of any Default or</w:t>
      </w:r>
      <w:r>
        <w:rPr>
          <w:rFonts w:ascii="Arial" w:cs="Arial" w:eastAsia="Arial" w:hAnsi="Arial"/>
          <w:sz w:val="18"/>
          <w:szCs w:val="18"/>
          <w:i w:val="1"/>
          <w:iCs w:val="1"/>
          <w:color w:val="auto"/>
        </w:rPr>
        <w:t xml:space="preserve"> </w:t>
      </w:r>
      <w:r>
        <w:rPr>
          <w:rFonts w:ascii="Arial" w:cs="Arial" w:eastAsia="Arial" w:hAnsi="Arial"/>
          <w:sz w:val="18"/>
          <w:szCs w:val="18"/>
          <w:color w:val="auto"/>
        </w:rPr>
        <w:t>Event of Default unless the Administrative Agent has received written notice from a Participant referring to this Participation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Agreement, describing such Default or Event of Default and stating that such notice is a “notice of default”. In the event that the Administrative Agent receives such a notice, the Administrative Agent shall promptly give notice thereof to the Participants, Lessor and the Lessee. The Administrative Agent shall take such action with respect to such Default or Event of Default as shall be directed by the Required Participants;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Participants, subject to any applicable terms of the Operative Documents.</w:t>
      </w:r>
    </w:p>
    <w:p>
      <w:pPr>
        <w:spacing w:after="0" w:line="193" w:lineRule="exact"/>
        <w:rPr>
          <w:sz w:val="20"/>
          <w:szCs w:val="20"/>
          <w:color w:val="auto"/>
        </w:rPr>
      </w:pPr>
    </w:p>
    <w:p>
      <w:pPr>
        <w:ind w:left="600"/>
        <w:spacing w:after="0"/>
        <w:tabs>
          <w:tab w:leader="none" w:pos="1900" w:val="left"/>
        </w:tabs>
        <w:rPr>
          <w:sz w:val="20"/>
          <w:szCs w:val="20"/>
          <w:color w:val="auto"/>
        </w:rPr>
      </w:pPr>
      <w:r>
        <w:rPr>
          <w:rFonts w:ascii="Arial" w:cs="Arial" w:eastAsia="Arial" w:hAnsi="Arial"/>
          <w:sz w:val="18"/>
          <w:szCs w:val="18"/>
          <w:i w:val="1"/>
          <w:iCs w:val="1"/>
          <w:color w:val="auto"/>
        </w:rPr>
        <w:t>Section 16.6.</w:t>
      </w:r>
      <w:r>
        <w:rPr>
          <w:sz w:val="20"/>
          <w:szCs w:val="20"/>
          <w:color w:val="auto"/>
        </w:rPr>
        <w:tab/>
      </w:r>
      <w:r>
        <w:rPr>
          <w:rFonts w:ascii="Arial" w:cs="Arial" w:eastAsia="Arial" w:hAnsi="Arial"/>
          <w:sz w:val="16"/>
          <w:szCs w:val="16"/>
          <w:i w:val="1"/>
          <w:iCs w:val="1"/>
          <w:color w:val="auto"/>
        </w:rPr>
        <w:t>[Reserved]</w:t>
      </w:r>
      <w:r>
        <w:rPr>
          <w:rFonts w:ascii="Arial" w:cs="Arial" w:eastAsia="Arial" w:hAnsi="Arial"/>
          <w:sz w:val="16"/>
          <w:szCs w:val="16"/>
          <w:color w:val="auto"/>
        </w:rPr>
        <w:t>.</w:t>
      </w:r>
    </w:p>
    <w:p>
      <w:pPr>
        <w:spacing w:after="0" w:line="225" w:lineRule="exact"/>
        <w:rPr>
          <w:sz w:val="20"/>
          <w:szCs w:val="20"/>
          <w:color w:val="auto"/>
        </w:rPr>
      </w:pPr>
    </w:p>
    <w:p>
      <w:pPr>
        <w:ind w:right="60" w:firstLine="592"/>
        <w:spacing w:after="0" w:line="291" w:lineRule="auto"/>
        <w:rPr>
          <w:sz w:val="20"/>
          <w:szCs w:val="20"/>
          <w:color w:val="auto"/>
        </w:rPr>
      </w:pPr>
      <w:r>
        <w:rPr>
          <w:rFonts w:ascii="Arial" w:cs="Arial" w:eastAsia="Arial" w:hAnsi="Arial"/>
          <w:sz w:val="16"/>
          <w:szCs w:val="16"/>
          <w:i w:val="1"/>
          <w:iCs w:val="1"/>
          <w:color w:val="auto"/>
        </w:rPr>
        <w:t>Section 16.7. Administrative Agent in Its Individual Capacity</w:t>
      </w:r>
      <w:r>
        <w:rPr>
          <w:rFonts w:ascii="Arial" w:cs="Arial" w:eastAsia="Arial" w:hAnsi="Arial"/>
          <w:sz w:val="16"/>
          <w:szCs w:val="16"/>
          <w:color w:val="auto"/>
        </w:rPr>
        <w:t>. Each Participant acknowledges that Bank of America, N.A. is acting as</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Agent hereunder. Bank of America, N.A. and its Affiliates may make loans to, issue letters of credit for the account of, accept deposits from, acquire equity interests in and generally engage in any kind of banking, trust, financial advisory, underwriting or other business with the Lessor, the Lessee and their Affiliates as though it was not the Administrative Agent hereunder and under the other Operative Documents and without notice to or consent of the Participants. Each Participant acknowledges that, pursuant to such activities, Bank of America, N.A. or its Affiliates may receive information regarding the Lessee, the Guarantors, Lessor or their respective Affiliates (including information that may be subject to confidentiality obligations in favor of the Lessee, Lessor or their respective Affiliates) and acknowledges that such Persons shall be under no obligation to provide such information to them.</w:t>
      </w:r>
    </w:p>
    <w:p>
      <w:pPr>
        <w:spacing w:after="0" w:line="167" w:lineRule="exact"/>
        <w:rPr>
          <w:sz w:val="20"/>
          <w:szCs w:val="20"/>
          <w:color w:val="auto"/>
        </w:rPr>
      </w:pPr>
    </w:p>
    <w:p>
      <w:pPr>
        <w:ind w:firstLine="592"/>
        <w:spacing w:after="0" w:line="286" w:lineRule="auto"/>
        <w:rPr>
          <w:sz w:val="20"/>
          <w:szCs w:val="20"/>
          <w:color w:val="auto"/>
        </w:rPr>
      </w:pPr>
      <w:r>
        <w:rPr>
          <w:rFonts w:ascii="Arial" w:cs="Arial" w:eastAsia="Arial" w:hAnsi="Arial"/>
          <w:sz w:val="16"/>
          <w:szCs w:val="16"/>
          <w:i w:val="1"/>
          <w:iCs w:val="1"/>
          <w:color w:val="auto"/>
        </w:rPr>
        <w:t>Section 16.8. Successor Administrative Agent</w:t>
      </w:r>
      <w:r>
        <w:rPr>
          <w:rFonts w:ascii="Arial" w:cs="Arial" w:eastAsia="Arial" w:hAnsi="Arial"/>
          <w:sz w:val="16"/>
          <w:szCs w:val="16"/>
          <w:color w:val="auto"/>
        </w:rPr>
        <w:t>. The Administrative Agent may resign at any time by giving thirty (30) days prior written notice</w:t>
      </w:r>
      <w:r>
        <w:rPr>
          <w:rFonts w:ascii="Arial" w:cs="Arial" w:eastAsia="Arial" w:hAnsi="Arial"/>
          <w:sz w:val="16"/>
          <w:szCs w:val="16"/>
          <w:i w:val="1"/>
          <w:iCs w:val="1"/>
          <w:color w:val="auto"/>
        </w:rPr>
        <w:t xml:space="preserve"> </w:t>
      </w:r>
      <w:r>
        <w:rPr>
          <w:rFonts w:ascii="Arial" w:cs="Arial" w:eastAsia="Arial" w:hAnsi="Arial"/>
          <w:sz w:val="16"/>
          <w:szCs w:val="16"/>
          <w:color w:val="auto"/>
        </w:rPr>
        <w:t>thereof to the Participants and the Lessee and may be removed at any time with or without cause by the Required Participants. Upon any such resignation or removal, the Required Participants shall have the right to appoint a successor Administrative Agent. If no successor Administrative Agent shall have been so appointed by the Required Participants, and shall have accepted such appointment, within thirty (30) days after the retiring Administrative Agent’s giving of notice of resignation or the Required Participants’ removal of the retiring Administrative Agent, then the retiring Administrative Agent may, on behalf of the Participants, appoint a successor Administrative Agent, which shall be a commercial bank described in clause (i) or (ii) of the definition of Eligible Assignee with an office in New York, New York (or an Affiliate of any such bank) and have a combined capital and surplus of at least $150,000,000.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Participation Agreement. After any retiring Administrative Agent’s resignation or removal hereunder as Administrative Agent, the provisions of this Article XVI shall inure to its benefit as to any actions taken or omitted to be taken by it while it was Administrative Agent under this Participation Agreement. Notwithstanding the foregoing if no Event of Default shall have occurred and be continuing, then no successor Administrative Agent shall be appointed under this Section 16.8 without the prior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written consent of the Lessee, which consent shall not be unreasonably withheld or delayed.</w:t>
      </w:r>
    </w:p>
    <w:p>
      <w:pPr>
        <w:spacing w:after="0" w:line="225" w:lineRule="exact"/>
        <w:rPr>
          <w:sz w:val="20"/>
          <w:szCs w:val="20"/>
          <w:color w:val="auto"/>
        </w:rPr>
      </w:pPr>
    </w:p>
    <w:p>
      <w:pPr>
        <w:ind w:right="200" w:firstLine="592"/>
        <w:spacing w:after="0" w:line="273" w:lineRule="auto"/>
        <w:rPr>
          <w:sz w:val="20"/>
          <w:szCs w:val="20"/>
          <w:color w:val="auto"/>
        </w:rPr>
      </w:pPr>
      <w:r>
        <w:rPr>
          <w:rFonts w:ascii="Arial" w:cs="Arial" w:eastAsia="Arial" w:hAnsi="Arial"/>
          <w:sz w:val="17"/>
          <w:szCs w:val="17"/>
          <w:i w:val="1"/>
          <w:iCs w:val="1"/>
          <w:color w:val="auto"/>
        </w:rPr>
        <w:t>Section 16.9. Non-Reliance on Administrative Agent</w:t>
      </w:r>
      <w:r>
        <w:rPr>
          <w:rFonts w:ascii="Arial" w:cs="Arial" w:eastAsia="Arial" w:hAnsi="Arial"/>
          <w:sz w:val="17"/>
          <w:szCs w:val="17"/>
          <w:color w:val="auto"/>
        </w:rPr>
        <w:t>. Each Participant acknowledges that it has, independently and without reliance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Agent or any of its Related Parties and based on such documents and information as it has deemed appropriate, made its own credit analysis and decision to enter into this Participation Agreement. Each Participant also acknowledges that it will, independently and without reliance upon the Administrative Agent or any of its Related Parties and based on such documents and information as it shall from time to time deem appropriate, continue to make its own decisions in taking or not taking action under or based upon this Participation Agreement, any other Operative Document or any related agreement or any document furnished hereunder or thereunder.</w:t>
      </w:r>
    </w:p>
    <w:p>
      <w:pPr>
        <w:spacing w:after="0" w:line="178" w:lineRule="exact"/>
        <w:rPr>
          <w:sz w:val="20"/>
          <w:szCs w:val="20"/>
          <w:color w:val="auto"/>
        </w:rPr>
      </w:pPr>
    </w:p>
    <w:p>
      <w:pPr>
        <w:ind w:right="180" w:firstLine="508"/>
        <w:spacing w:after="0" w:line="342" w:lineRule="auto"/>
        <w:rPr>
          <w:sz w:val="20"/>
          <w:szCs w:val="20"/>
          <w:color w:val="auto"/>
        </w:rPr>
      </w:pPr>
      <w:r>
        <w:rPr>
          <w:rFonts w:ascii="Arial" w:cs="Arial" w:eastAsia="Arial" w:hAnsi="Arial"/>
          <w:sz w:val="16"/>
          <w:szCs w:val="16"/>
          <w:i w:val="1"/>
          <w:iCs w:val="1"/>
          <w:color w:val="auto"/>
        </w:rPr>
        <w:t>Section 16.10. Release of Collateral and Guarantors</w:t>
      </w:r>
      <w:r>
        <w:rPr>
          <w:rFonts w:ascii="Arial" w:cs="Arial" w:eastAsia="Arial" w:hAnsi="Arial"/>
          <w:sz w:val="16"/>
          <w:szCs w:val="16"/>
          <w:color w:val="auto"/>
        </w:rPr>
        <w:t>. Administrative Agent and the Participants acknowledge and agree that Lessee shall be a</w:t>
      </w:r>
      <w:r>
        <w:rPr>
          <w:rFonts w:ascii="Arial" w:cs="Arial" w:eastAsia="Arial" w:hAnsi="Arial"/>
          <w:sz w:val="16"/>
          <w:szCs w:val="16"/>
          <w:i w:val="1"/>
          <w:iCs w:val="1"/>
          <w:color w:val="auto"/>
        </w:rPr>
        <w:t xml:space="preserve"> </w:t>
      </w:r>
      <w:r>
        <w:rPr>
          <w:rFonts w:ascii="Arial" w:cs="Arial" w:eastAsia="Arial" w:hAnsi="Arial"/>
          <w:sz w:val="16"/>
          <w:szCs w:val="16"/>
          <w:color w:val="auto"/>
        </w:rPr>
        <w:t>third party beneficiary of Section 6.2 of the Loan Agreement with respect to the provisions set forth therein regarding the release of Liens and the Guaranty.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 OF PAGE]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IN WITNESS WHEREOF, the parties hereto have caused this Participation Agreement to be duly executed by their respective officers or other authorized signatories thereunto duly authorized as of the day and year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OLD SAW MILL HOLDINGS LLC., as Lessee</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Dominick Agron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Dominick Agron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33" w:name="page34"/>
    <w:bookmarkEnd w:id="33"/>
    <w:p>
      <w:pPr>
        <w:ind w:left="5549"/>
        <w:spacing w:after="0"/>
        <w:rPr>
          <w:sz w:val="20"/>
          <w:szCs w:val="20"/>
          <w:color w:val="auto"/>
        </w:rPr>
      </w:pPr>
      <w:r>
        <w:rPr>
          <w:rFonts w:ascii="Arial" w:cs="Arial" w:eastAsia="Arial" w:hAnsi="Arial"/>
          <w:sz w:val="18"/>
          <w:szCs w:val="18"/>
          <w:color w:val="auto"/>
        </w:rPr>
        <w:t>Title: Treasurer</w:t>
      </w:r>
    </w:p>
    <w:p>
      <w:pPr>
        <w:spacing w:after="0" w:line="225" w:lineRule="exact"/>
        <w:rPr>
          <w:sz w:val="20"/>
          <w:szCs w:val="20"/>
          <w:color w:val="auto"/>
        </w:rPr>
      </w:pPr>
    </w:p>
    <w:p>
      <w:pPr>
        <w:ind w:left="3469"/>
        <w:spacing w:after="0"/>
        <w:rPr>
          <w:sz w:val="20"/>
          <w:szCs w:val="20"/>
          <w:color w:val="auto"/>
        </w:rPr>
      </w:pPr>
      <w:r>
        <w:rPr>
          <w:rFonts w:ascii="Arial" w:cs="Arial" w:eastAsia="Arial" w:hAnsi="Arial"/>
          <w:sz w:val="18"/>
          <w:szCs w:val="18"/>
          <w:color w:val="auto"/>
        </w:rPr>
        <w:t>[Signature Page to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218440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069"/>
        <w:spacing w:after="0"/>
        <w:rPr>
          <w:sz w:val="20"/>
          <w:szCs w:val="20"/>
          <w:color w:val="auto"/>
        </w:rPr>
      </w:pPr>
      <w:r>
        <w:rPr>
          <w:rFonts w:ascii="Arial" w:cs="Arial" w:eastAsia="Arial" w:hAnsi="Arial"/>
          <w:sz w:val="18"/>
          <w:szCs w:val="18"/>
          <w:color w:val="auto"/>
        </w:rPr>
        <w:t>BA LEASING BSC, LLC, as Lessor</w:t>
      </w:r>
    </w:p>
    <w:p>
      <w:pPr>
        <w:spacing w:after="0" w:line="200" w:lineRule="exact"/>
        <w:rPr>
          <w:sz w:val="20"/>
          <w:szCs w:val="20"/>
          <w:color w:val="auto"/>
        </w:rPr>
      </w:pPr>
    </w:p>
    <w:p>
      <w:pPr>
        <w:spacing w:after="0" w:line="241" w:lineRule="exact"/>
        <w:rPr>
          <w:sz w:val="20"/>
          <w:szCs w:val="20"/>
          <w:color w:val="auto"/>
        </w:rPr>
      </w:pPr>
    </w:p>
    <w:p>
      <w:pPr>
        <w:ind w:left="5069"/>
        <w:spacing w:after="0"/>
        <w:tabs>
          <w:tab w:leader="none" w:pos="5529" w:val="left"/>
        </w:tabs>
        <w:rPr>
          <w:sz w:val="20"/>
          <w:szCs w:val="20"/>
          <w:color w:val="auto"/>
        </w:rPr>
      </w:pPr>
      <w:r>
        <w:rPr>
          <w:rFonts w:ascii="Arial" w:cs="Arial" w:eastAsia="Arial" w:hAnsi="Arial"/>
          <w:sz w:val="18"/>
          <w:szCs w:val="18"/>
          <w:color w:val="auto"/>
        </w:rPr>
        <w:t>By:</w:t>
        <w:tab/>
        <w:t>/s/ Terri J. Preston</w:t>
      </w:r>
    </w:p>
    <w:p>
      <w:pPr>
        <w:spacing w:after="0" w:line="23" w:lineRule="exact"/>
        <w:rPr>
          <w:sz w:val="20"/>
          <w:szCs w:val="20"/>
          <w:color w:val="auto"/>
        </w:rPr>
      </w:pPr>
    </w:p>
    <w:p>
      <w:pPr>
        <w:ind w:left="5549"/>
        <w:spacing w:after="0"/>
        <w:rPr>
          <w:sz w:val="20"/>
          <w:szCs w:val="20"/>
          <w:color w:val="auto"/>
        </w:rPr>
      </w:pPr>
      <w:r>
        <w:rPr>
          <w:rFonts w:ascii="Arial" w:cs="Arial" w:eastAsia="Arial" w:hAnsi="Arial"/>
          <w:sz w:val="18"/>
          <w:szCs w:val="18"/>
          <w:color w:val="auto"/>
        </w:rPr>
        <w:t>Name: Terri J.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-130810</wp:posOffset>
            </wp:positionV>
            <wp:extent cx="33191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549"/>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3469"/>
        <w:spacing w:after="0"/>
        <w:rPr>
          <w:sz w:val="20"/>
          <w:szCs w:val="20"/>
          <w:color w:val="auto"/>
        </w:rPr>
      </w:pPr>
      <w:r>
        <w:rPr>
          <w:rFonts w:ascii="Arial" w:cs="Arial" w:eastAsia="Arial" w:hAnsi="Arial"/>
          <w:sz w:val="18"/>
          <w:szCs w:val="18"/>
          <w:color w:val="auto"/>
        </w:rPr>
        <w:t>[Signature Page to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218440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069"/>
        <w:spacing w:after="0"/>
        <w:rPr>
          <w:sz w:val="20"/>
          <w:szCs w:val="20"/>
          <w:color w:val="auto"/>
        </w:rPr>
      </w:pPr>
      <w:r>
        <w:rPr>
          <w:rFonts w:ascii="Arial" w:cs="Arial" w:eastAsia="Arial" w:hAnsi="Arial"/>
          <w:sz w:val="18"/>
          <w:szCs w:val="18"/>
          <w:color w:val="auto"/>
        </w:rPr>
        <w:t>BANK OF AMERICA, N.A., not in its individual capacity, except as</w:t>
      </w:r>
    </w:p>
    <w:p>
      <w:pPr>
        <w:spacing w:after="0" w:line="23" w:lineRule="exact"/>
        <w:rPr>
          <w:sz w:val="20"/>
          <w:szCs w:val="20"/>
          <w:color w:val="auto"/>
        </w:rPr>
      </w:pPr>
    </w:p>
    <w:p>
      <w:pPr>
        <w:ind w:left="5209"/>
        <w:spacing w:after="0"/>
        <w:rPr>
          <w:sz w:val="20"/>
          <w:szCs w:val="20"/>
          <w:color w:val="auto"/>
        </w:rPr>
      </w:pPr>
      <w:r>
        <w:rPr>
          <w:rFonts w:ascii="Arial" w:cs="Arial" w:eastAsia="Arial" w:hAnsi="Arial"/>
          <w:sz w:val="18"/>
          <w:szCs w:val="18"/>
          <w:color w:val="auto"/>
        </w:rPr>
        <w:t>expressly stated herein, but solely as Administrative Agent</w:t>
      </w:r>
    </w:p>
    <w:p>
      <w:pPr>
        <w:spacing w:after="0" w:line="200" w:lineRule="exact"/>
        <w:rPr>
          <w:sz w:val="20"/>
          <w:szCs w:val="20"/>
          <w:color w:val="auto"/>
        </w:rPr>
      </w:pPr>
    </w:p>
    <w:p>
      <w:pPr>
        <w:spacing w:after="0" w:line="227" w:lineRule="exact"/>
        <w:rPr>
          <w:sz w:val="20"/>
          <w:szCs w:val="20"/>
          <w:color w:val="auto"/>
        </w:rPr>
      </w:pPr>
    </w:p>
    <w:p>
      <w:pPr>
        <w:ind w:left="5069"/>
        <w:spacing w:after="0"/>
        <w:tabs>
          <w:tab w:leader="none" w:pos="5569" w:val="left"/>
        </w:tabs>
        <w:rPr>
          <w:sz w:val="20"/>
          <w:szCs w:val="20"/>
          <w:color w:val="auto"/>
        </w:rPr>
      </w:pPr>
      <w:r>
        <w:rPr>
          <w:rFonts w:ascii="Arial" w:cs="Arial" w:eastAsia="Arial" w:hAnsi="Arial"/>
          <w:sz w:val="18"/>
          <w:szCs w:val="18"/>
          <w:color w:val="auto"/>
        </w:rPr>
        <w:t>By:</w:t>
        <w:tab/>
        <w:t>/s/ Aamir Saleem</w:t>
      </w:r>
    </w:p>
    <w:p>
      <w:pPr>
        <w:spacing w:after="0" w:line="23" w:lineRule="exact"/>
        <w:rPr>
          <w:sz w:val="20"/>
          <w:szCs w:val="20"/>
          <w:color w:val="auto"/>
        </w:rPr>
      </w:pPr>
    </w:p>
    <w:p>
      <w:pPr>
        <w:ind w:left="5589"/>
        <w:spacing w:after="0"/>
        <w:rPr>
          <w:sz w:val="20"/>
          <w:szCs w:val="20"/>
          <w:color w:val="auto"/>
        </w:rPr>
      </w:pPr>
      <w:r>
        <w:rPr>
          <w:rFonts w:ascii="Arial" w:cs="Arial" w:eastAsia="Arial" w:hAnsi="Arial"/>
          <w:sz w:val="18"/>
          <w:szCs w:val="18"/>
          <w:color w:val="auto"/>
        </w:rPr>
        <w:t>Name: Aamir Saleem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-130810</wp:posOffset>
            </wp:positionV>
            <wp:extent cx="32848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5589"/>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909"/>
        <w:spacing w:after="0"/>
        <w:rPr>
          <w:sz w:val="20"/>
          <w:szCs w:val="20"/>
          <w:color w:val="auto"/>
        </w:rPr>
      </w:pPr>
      <w:r>
        <w:rPr>
          <w:rFonts w:ascii="Arial" w:cs="Arial" w:eastAsia="Arial" w:hAnsi="Arial"/>
          <w:sz w:val="18"/>
          <w:szCs w:val="18"/>
          <w:b w:val="1"/>
          <w:bCs w:val="1"/>
          <w:i w:val="1"/>
          <w:iCs w:val="1"/>
          <w:color w:val="auto"/>
        </w:rPr>
        <w:t>[Lenders’ signature pages to the Participation Agreement</w:t>
      </w:r>
    </w:p>
    <w:p>
      <w:pPr>
        <w:spacing w:after="0" w:line="23" w:lineRule="exact"/>
        <w:rPr>
          <w:sz w:val="20"/>
          <w:szCs w:val="20"/>
          <w:color w:val="auto"/>
        </w:rPr>
      </w:pPr>
    </w:p>
    <w:p>
      <w:pPr>
        <w:ind w:left="2949"/>
        <w:spacing w:after="0"/>
        <w:rPr>
          <w:sz w:val="20"/>
          <w:szCs w:val="20"/>
          <w:color w:val="auto"/>
        </w:rPr>
      </w:pPr>
      <w:r>
        <w:rPr>
          <w:rFonts w:ascii="Arial" w:cs="Arial" w:eastAsia="Arial" w:hAnsi="Arial"/>
          <w:sz w:val="18"/>
          <w:szCs w:val="18"/>
          <w:b w:val="1"/>
          <w:bCs w:val="1"/>
          <w:i w:val="1"/>
          <w:iCs w:val="1"/>
          <w:color w:val="auto"/>
        </w:rPr>
        <w:t>are on file with the Lessee and the Administrative Agent]</w:t>
      </w:r>
    </w:p>
    <w:p>
      <w:pPr>
        <w:spacing w:after="0" w:line="211" w:lineRule="exact"/>
        <w:rPr>
          <w:sz w:val="20"/>
          <w:szCs w:val="20"/>
          <w:color w:val="auto"/>
        </w:rPr>
      </w:pPr>
    </w:p>
    <w:p>
      <w:pPr>
        <w:ind w:left="3469"/>
        <w:spacing w:after="0"/>
        <w:rPr>
          <w:sz w:val="20"/>
          <w:szCs w:val="20"/>
          <w:color w:val="auto"/>
        </w:rPr>
      </w:pPr>
      <w:r>
        <w:rPr>
          <w:rFonts w:ascii="Arial" w:cs="Arial" w:eastAsia="Arial" w:hAnsi="Arial"/>
          <w:sz w:val="18"/>
          <w:szCs w:val="18"/>
          <w:color w:val="auto"/>
        </w:rPr>
        <w:t>[Signature Page to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218440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429"/>
        <w:spacing w:after="0"/>
        <w:rPr>
          <w:sz w:val="20"/>
          <w:szCs w:val="20"/>
          <w:color w:val="auto"/>
        </w:rPr>
      </w:pPr>
      <w:r>
        <w:rPr>
          <w:rFonts w:ascii="Arial" w:cs="Arial" w:eastAsia="Arial" w:hAnsi="Arial"/>
          <w:sz w:val="18"/>
          <w:szCs w:val="18"/>
          <w:b w:val="1"/>
          <w:bCs w:val="1"/>
          <w:color w:val="auto"/>
        </w:rPr>
        <w:t>DEFINITIONS AND INTERPRETATION</w:t>
      </w:r>
    </w:p>
    <w:p>
      <w:pPr>
        <w:spacing w:after="0" w:line="229" w:lineRule="exact"/>
        <w:rPr>
          <w:sz w:val="20"/>
          <w:szCs w:val="20"/>
          <w:color w:val="auto"/>
        </w:rPr>
      </w:pPr>
    </w:p>
    <w:p>
      <w:pPr>
        <w:ind w:left="649" w:hanging="649"/>
        <w:spacing w:after="0"/>
        <w:tabs>
          <w:tab w:leader="none" w:pos="649"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Interpretation</w:t>
      </w:r>
      <w:r>
        <w:rPr>
          <w:rFonts w:ascii="Arial" w:cs="Arial" w:eastAsia="Arial" w:hAnsi="Arial"/>
          <w:sz w:val="18"/>
          <w:szCs w:val="18"/>
          <w:color w:val="auto"/>
        </w:rPr>
        <w:t>. In each Operative Document, unless a clear contrary intention appears:</w:t>
      </w:r>
    </w:p>
    <w:p>
      <w:pPr>
        <w:spacing w:after="0" w:line="225" w:lineRule="exact"/>
        <w:rPr>
          <w:rFonts w:ascii="Arial" w:cs="Arial" w:eastAsia="Arial" w:hAnsi="Arial"/>
          <w:sz w:val="18"/>
          <w:szCs w:val="18"/>
          <w:color w:val="auto"/>
        </w:rPr>
      </w:pPr>
    </w:p>
    <w:p>
      <w:pPr>
        <w:ind w:left="1309" w:hanging="500"/>
        <w:spacing w:after="0"/>
        <w:tabs>
          <w:tab w:leader="none" w:pos="1309" w:val="left"/>
        </w:tabs>
        <w:numPr>
          <w:ilvl w:val="2"/>
          <w:numId w:val="87"/>
        </w:numPr>
        <w:rPr>
          <w:rFonts w:ascii="Arial" w:cs="Arial" w:eastAsia="Arial" w:hAnsi="Arial"/>
          <w:sz w:val="17"/>
          <w:szCs w:val="17"/>
          <w:color w:val="auto"/>
        </w:rPr>
      </w:pPr>
      <w:r>
        <w:rPr>
          <w:rFonts w:ascii="Arial" w:cs="Arial" w:eastAsia="Arial" w:hAnsi="Arial"/>
          <w:sz w:val="17"/>
          <w:szCs w:val="17"/>
          <w:color w:val="auto"/>
        </w:rPr>
        <w:t>the definitions of terms herein or in any Operative Document shall apply equally to the singular and plural forms of the terms</w:t>
      </w:r>
    </w:p>
    <w:p>
      <w:pPr>
        <w:spacing w:after="0" w:line="34" w:lineRule="exact"/>
        <w:rPr>
          <w:rFonts w:ascii="Arial" w:cs="Arial" w:eastAsia="Arial" w:hAnsi="Arial"/>
          <w:sz w:val="17"/>
          <w:szCs w:val="17"/>
          <w:color w:val="auto"/>
        </w:rPr>
      </w:pPr>
    </w:p>
    <w:p>
      <w:pPr>
        <w:ind w:left="9"/>
        <w:spacing w:after="0"/>
        <w:rPr>
          <w:rFonts w:ascii="Arial" w:cs="Arial" w:eastAsia="Arial" w:hAnsi="Arial"/>
          <w:sz w:val="17"/>
          <w:szCs w:val="17"/>
          <w:color w:val="auto"/>
        </w:rPr>
      </w:pPr>
      <w:r>
        <w:rPr>
          <w:rFonts w:ascii="Arial" w:cs="Arial" w:eastAsia="Arial" w:hAnsi="Arial"/>
          <w:sz w:val="18"/>
          <w:szCs w:val="18"/>
          <w:color w:val="auto"/>
        </w:rPr>
        <w:t>defined;</w:t>
      </w:r>
    </w:p>
    <w:p>
      <w:pPr>
        <w:spacing w:after="0" w:line="210" w:lineRule="exact"/>
        <w:rPr>
          <w:rFonts w:ascii="Arial" w:cs="Arial" w:eastAsia="Arial" w:hAnsi="Arial"/>
          <w:sz w:val="17"/>
          <w:szCs w:val="17"/>
          <w:color w:val="auto"/>
        </w:rPr>
      </w:pPr>
    </w:p>
    <w:p>
      <w:pPr>
        <w:ind w:left="9" w:right="20" w:firstLine="748"/>
        <w:spacing w:after="0" w:line="259" w:lineRule="auto"/>
        <w:tabs>
          <w:tab w:leader="none" w:pos="1332" w:val="left"/>
        </w:tabs>
        <w:numPr>
          <w:ilvl w:val="2"/>
          <w:numId w:val="87"/>
        </w:numPr>
        <w:rPr>
          <w:rFonts w:ascii="Arial" w:cs="Arial" w:eastAsia="Arial" w:hAnsi="Arial"/>
          <w:sz w:val="18"/>
          <w:szCs w:val="18"/>
          <w:color w:val="auto"/>
        </w:rPr>
      </w:pPr>
      <w:r>
        <w:rPr>
          <w:rFonts w:ascii="Arial" w:cs="Arial" w:eastAsia="Arial" w:hAnsi="Arial"/>
          <w:sz w:val="18"/>
          <w:szCs w:val="18"/>
          <w:color w:val="auto"/>
        </w:rPr>
        <w:t>any reference herein to any Person shall be construed to include such Person’s successors and assigns (subject to any applicable restrictions on assignment set forth in the Operative Documents) and, in the case of any Governmental Authority, any other Governmental Authority that shall have succeeded to any or all functions thereof, and any reference to a Person in a particular capacity excludes such Person in any other capacity or individually;</w:t>
      </w:r>
    </w:p>
    <w:p>
      <w:pPr>
        <w:spacing w:after="0" w:line="186" w:lineRule="exact"/>
        <w:rPr>
          <w:rFonts w:ascii="Arial" w:cs="Arial" w:eastAsia="Arial" w:hAnsi="Arial"/>
          <w:sz w:val="18"/>
          <w:szCs w:val="18"/>
          <w:color w:val="auto"/>
        </w:rPr>
      </w:pPr>
    </w:p>
    <w:p>
      <w:pPr>
        <w:ind w:left="1349" w:hanging="643"/>
        <w:spacing w:after="0"/>
        <w:tabs>
          <w:tab w:leader="none" w:pos="1349" w:val="left"/>
        </w:tabs>
        <w:numPr>
          <w:ilvl w:val="2"/>
          <w:numId w:val="87"/>
        </w:numPr>
        <w:rPr>
          <w:rFonts w:ascii="Arial" w:cs="Arial" w:eastAsia="Arial" w:hAnsi="Arial"/>
          <w:sz w:val="17"/>
          <w:szCs w:val="17"/>
          <w:color w:val="auto"/>
        </w:rPr>
      </w:pPr>
      <w:r>
        <w:rPr>
          <w:rFonts w:ascii="Arial" w:cs="Arial" w:eastAsia="Arial" w:hAnsi="Arial"/>
          <w:sz w:val="17"/>
          <w:szCs w:val="17"/>
          <w:color w:val="auto"/>
        </w:rPr>
        <w:t>whenever the context may require, any pronoun shall include the corresponding masculine, feminine and neuter forms;</w:t>
      </w:r>
    </w:p>
    <w:p>
      <w:pPr>
        <w:spacing w:after="0" w:line="236" w:lineRule="exact"/>
        <w:rPr>
          <w:rFonts w:ascii="Arial" w:cs="Arial" w:eastAsia="Arial" w:hAnsi="Arial"/>
          <w:sz w:val="17"/>
          <w:szCs w:val="17"/>
          <w:color w:val="auto"/>
        </w:rPr>
      </w:pPr>
    </w:p>
    <w:p>
      <w:pPr>
        <w:ind w:left="9" w:right="340" w:firstLine="707"/>
        <w:spacing w:after="0" w:line="259" w:lineRule="auto"/>
        <w:tabs>
          <w:tab w:leader="none" w:pos="1317" w:val="left"/>
        </w:tabs>
        <w:numPr>
          <w:ilvl w:val="2"/>
          <w:numId w:val="87"/>
        </w:numPr>
        <w:rPr>
          <w:rFonts w:ascii="Arial" w:cs="Arial" w:eastAsia="Arial" w:hAnsi="Arial"/>
          <w:sz w:val="18"/>
          <w:szCs w:val="18"/>
          <w:color w:val="auto"/>
        </w:rPr>
      </w:pPr>
      <w:r>
        <w:rPr>
          <w:rFonts w:ascii="Arial" w:cs="Arial" w:eastAsia="Arial" w:hAnsi="Arial"/>
          <w:sz w:val="18"/>
          <w:szCs w:val="18"/>
          <w:color w:val="auto"/>
        </w:rPr>
        <w:t>any definition of or reference to any agreement (including any Operative Document), instrument or other document in any Operative Document shall be construed as referring to such agreement, instrument or other document as from time to time amended, restated, supplemented or otherwise modified (subject to any applicable restrictions on such amendments, restatements, supplements or modifications set forth in the Operative Documents);</w:t>
      </w:r>
    </w:p>
    <w:p>
      <w:pPr>
        <w:spacing w:after="0" w:line="186" w:lineRule="exact"/>
        <w:rPr>
          <w:rFonts w:ascii="Arial" w:cs="Arial" w:eastAsia="Arial" w:hAnsi="Arial"/>
          <w:sz w:val="18"/>
          <w:szCs w:val="18"/>
          <w:color w:val="auto"/>
        </w:rPr>
      </w:pPr>
    </w:p>
    <w:p>
      <w:pPr>
        <w:ind w:left="9" w:right="80" w:firstLine="759"/>
        <w:spacing w:after="0" w:line="308" w:lineRule="auto"/>
        <w:tabs>
          <w:tab w:leader="none" w:pos="1319" w:val="left"/>
        </w:tabs>
        <w:numPr>
          <w:ilvl w:val="2"/>
          <w:numId w:val="87"/>
        </w:numPr>
        <w:rPr>
          <w:rFonts w:ascii="Arial" w:cs="Arial" w:eastAsia="Arial" w:hAnsi="Arial"/>
          <w:sz w:val="17"/>
          <w:szCs w:val="17"/>
          <w:color w:val="auto"/>
        </w:rPr>
      </w:pPr>
      <w:r>
        <w:rPr>
          <w:rFonts w:ascii="Arial" w:cs="Arial" w:eastAsia="Arial" w:hAnsi="Arial"/>
          <w:sz w:val="17"/>
          <w:szCs w:val="17"/>
          <w:color w:val="auto"/>
        </w:rPr>
        <w:t>any definition of or reference to any statute, rule or regulation or any other Applicable Law shall be construed as referring thereto as from time to time amended, supplemented or otherwise modified (including by succession of comparable successor laws);</w:t>
      </w:r>
    </w:p>
    <w:p>
      <w:pPr>
        <w:spacing w:after="0" w:line="146" w:lineRule="exact"/>
        <w:rPr>
          <w:rFonts w:ascii="Arial" w:cs="Arial" w:eastAsia="Arial" w:hAnsi="Arial"/>
          <w:sz w:val="17"/>
          <w:szCs w:val="17"/>
          <w:color w:val="auto"/>
        </w:rPr>
      </w:pPr>
    </w:p>
    <w:p>
      <w:pPr>
        <w:ind w:left="9" w:right="320" w:firstLine="707"/>
        <w:spacing w:after="0" w:line="277" w:lineRule="auto"/>
        <w:tabs>
          <w:tab w:leader="none" w:pos="1317" w:val="left"/>
        </w:tabs>
        <w:numPr>
          <w:ilvl w:val="2"/>
          <w:numId w:val="87"/>
        </w:numPr>
        <w:rPr>
          <w:rFonts w:ascii="Arial" w:cs="Arial" w:eastAsia="Arial" w:hAnsi="Arial"/>
          <w:sz w:val="18"/>
          <w:szCs w:val="18"/>
          <w:color w:val="auto"/>
        </w:rPr>
      </w:pPr>
      <w:r>
        <w:rPr>
          <w:rFonts w:ascii="Arial" w:cs="Arial" w:eastAsia="Arial" w:hAnsi="Arial"/>
          <w:sz w:val="18"/>
          <w:szCs w:val="18"/>
          <w:color w:val="auto"/>
        </w:rPr>
        <w:t>reference in any Operative Document to any Article, Section, Appendix, Schedule or Exhibit means such Article or Section of such Operative Document or Appendix, Schedule or Exhibit to such Operative Document;</w:t>
      </w:r>
    </w:p>
    <w:p>
      <w:pPr>
        <w:spacing w:after="0" w:line="170" w:lineRule="exact"/>
        <w:rPr>
          <w:rFonts w:ascii="Arial" w:cs="Arial" w:eastAsia="Arial" w:hAnsi="Arial"/>
          <w:sz w:val="18"/>
          <w:szCs w:val="18"/>
          <w:color w:val="auto"/>
        </w:rPr>
      </w:pPr>
    </w:p>
    <w:p>
      <w:pPr>
        <w:ind w:left="9" w:firstLine="655"/>
        <w:spacing w:after="0" w:line="277" w:lineRule="auto"/>
        <w:tabs>
          <w:tab w:leader="none" w:pos="1329" w:val="left"/>
        </w:tabs>
        <w:numPr>
          <w:ilvl w:val="2"/>
          <w:numId w:val="87"/>
        </w:numPr>
        <w:rPr>
          <w:rFonts w:ascii="Arial" w:cs="Arial" w:eastAsia="Arial" w:hAnsi="Arial"/>
          <w:sz w:val="18"/>
          <w:szCs w:val="18"/>
          <w:color w:val="auto"/>
        </w:rPr>
      </w:pPr>
      <w:r>
        <w:rPr>
          <w:rFonts w:ascii="Arial" w:cs="Arial" w:eastAsia="Arial" w:hAnsi="Arial"/>
          <w:sz w:val="18"/>
          <w:szCs w:val="18"/>
          <w:color w:val="auto"/>
        </w:rPr>
        <w:t>the words “herein”, “hereof” and “hereunder”, and words of similar import in any Operative Document, shall be construed to refer to such Operative Document in its entirety and not to any particular provision of such Operative Document;</w:t>
      </w:r>
    </w:p>
    <w:p>
      <w:pPr>
        <w:spacing w:after="0" w:line="170" w:lineRule="exact"/>
        <w:rPr>
          <w:rFonts w:ascii="Arial" w:cs="Arial" w:eastAsia="Arial" w:hAnsi="Arial"/>
          <w:sz w:val="18"/>
          <w:szCs w:val="18"/>
          <w:color w:val="auto"/>
        </w:rPr>
      </w:pPr>
    </w:p>
    <w:p>
      <w:pPr>
        <w:ind w:left="1329" w:hanging="707"/>
        <w:spacing w:after="0"/>
        <w:tabs>
          <w:tab w:leader="none" w:pos="1329" w:val="left"/>
        </w:tabs>
        <w:numPr>
          <w:ilvl w:val="2"/>
          <w:numId w:val="87"/>
        </w:numPr>
        <w:rPr>
          <w:rFonts w:ascii="Arial" w:cs="Arial" w:eastAsia="Arial" w:hAnsi="Arial"/>
          <w:sz w:val="18"/>
          <w:szCs w:val="18"/>
          <w:color w:val="auto"/>
        </w:rPr>
      </w:pPr>
      <w:r>
        <w:rPr>
          <w:rFonts w:ascii="Arial" w:cs="Arial" w:eastAsia="Arial" w:hAnsi="Arial"/>
          <w:sz w:val="18"/>
          <w:szCs w:val="18"/>
          <w:color w:val="auto"/>
        </w:rPr>
        <w:t>the words “include”, “includes” and “including” shall be deemed to be followed by the phrase “without limitation”;</w:t>
      </w:r>
    </w:p>
    <w:p>
      <w:pPr>
        <w:spacing w:after="0" w:line="225" w:lineRule="exact"/>
        <w:rPr>
          <w:rFonts w:ascii="Arial" w:cs="Arial" w:eastAsia="Arial" w:hAnsi="Arial"/>
          <w:sz w:val="18"/>
          <w:szCs w:val="18"/>
          <w:color w:val="auto"/>
        </w:rPr>
      </w:pPr>
    </w:p>
    <w:p>
      <w:pPr>
        <w:ind w:left="1309" w:hanging="593"/>
        <w:spacing w:after="0"/>
        <w:tabs>
          <w:tab w:leader="none" w:pos="1309" w:val="left"/>
        </w:tabs>
        <w:numPr>
          <w:ilvl w:val="2"/>
          <w:numId w:val="87"/>
        </w:numPr>
        <w:rPr>
          <w:rFonts w:ascii="Arial" w:cs="Arial" w:eastAsia="Arial" w:hAnsi="Arial"/>
          <w:sz w:val="17"/>
          <w:szCs w:val="17"/>
          <w:color w:val="auto"/>
        </w:rPr>
      </w:pPr>
      <w:r>
        <w:rPr>
          <w:rFonts w:ascii="Arial" w:cs="Arial" w:eastAsia="Arial" w:hAnsi="Arial"/>
          <w:sz w:val="17"/>
          <w:szCs w:val="17"/>
          <w:color w:val="auto"/>
        </w:rPr>
        <w:t>relative to the determination of any period of time, “from” means “from and including” and “to”, “until” and “through” means “to</w:t>
      </w:r>
    </w:p>
    <w:p>
      <w:pPr>
        <w:spacing w:after="0" w:line="34" w:lineRule="exact"/>
        <w:rPr>
          <w:rFonts w:ascii="Arial" w:cs="Arial" w:eastAsia="Arial" w:hAnsi="Arial"/>
          <w:sz w:val="17"/>
          <w:szCs w:val="17"/>
          <w:color w:val="auto"/>
        </w:rPr>
      </w:pPr>
    </w:p>
    <w:p>
      <w:pPr>
        <w:ind w:left="9"/>
        <w:spacing w:after="0"/>
        <w:rPr>
          <w:rFonts w:ascii="Arial" w:cs="Arial" w:eastAsia="Arial" w:hAnsi="Arial"/>
          <w:sz w:val="17"/>
          <w:szCs w:val="17"/>
          <w:color w:val="auto"/>
        </w:rPr>
      </w:pPr>
      <w:r>
        <w:rPr>
          <w:rFonts w:ascii="Arial" w:cs="Arial" w:eastAsia="Arial" w:hAnsi="Arial"/>
          <w:sz w:val="18"/>
          <w:szCs w:val="18"/>
          <w:color w:val="auto"/>
        </w:rPr>
        <w:t>but excluding”;</w:t>
      </w:r>
    </w:p>
    <w:p>
      <w:pPr>
        <w:spacing w:after="0" w:line="210" w:lineRule="exact"/>
        <w:rPr>
          <w:rFonts w:ascii="Arial" w:cs="Arial" w:eastAsia="Arial" w:hAnsi="Arial"/>
          <w:sz w:val="17"/>
          <w:szCs w:val="17"/>
          <w:color w:val="auto"/>
        </w:rPr>
      </w:pPr>
    </w:p>
    <w:p>
      <w:pPr>
        <w:ind w:left="1309" w:hanging="655"/>
        <w:spacing w:after="0"/>
        <w:tabs>
          <w:tab w:leader="none" w:pos="1309"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word “law” shall be construed as referring to all statutes, rules, regulations, codes and other laws (including official rulings and</w:t>
      </w:r>
    </w:p>
    <w:p>
      <w:pPr>
        <w:spacing w:after="0" w:line="46" w:lineRule="exact"/>
        <w:rPr>
          <w:rFonts w:ascii="Arial" w:cs="Arial" w:eastAsia="Arial" w:hAnsi="Arial"/>
          <w:sz w:val="16"/>
          <w:szCs w:val="16"/>
          <w:color w:val="auto"/>
        </w:rPr>
      </w:pPr>
    </w:p>
    <w:p>
      <w:pPr>
        <w:ind w:left="9"/>
        <w:spacing w:after="0"/>
        <w:rPr>
          <w:rFonts w:ascii="Arial" w:cs="Arial" w:eastAsia="Arial" w:hAnsi="Arial"/>
          <w:sz w:val="16"/>
          <w:szCs w:val="16"/>
          <w:color w:val="auto"/>
        </w:rPr>
      </w:pPr>
      <w:r>
        <w:rPr>
          <w:rFonts w:ascii="Arial" w:cs="Arial" w:eastAsia="Arial" w:hAnsi="Arial"/>
          <w:sz w:val="18"/>
          <w:szCs w:val="18"/>
          <w:color w:val="auto"/>
        </w:rPr>
        <w:t>interpretations</w:t>
      </w:r>
    </w:p>
    <w:p>
      <w:pPr>
        <w:spacing w:after="0" w:line="211" w:lineRule="exact"/>
        <w:rPr>
          <w:sz w:val="20"/>
          <w:szCs w:val="20"/>
          <w:color w:val="auto"/>
        </w:rPr>
      </w:pPr>
    </w:p>
    <w:p>
      <w:pPr>
        <w:jc w:val="center"/>
        <w:ind w:right="591"/>
        <w:spacing w:after="0"/>
        <w:rPr>
          <w:sz w:val="20"/>
          <w:szCs w:val="20"/>
          <w:color w:val="auto"/>
        </w:rPr>
      </w:pPr>
      <w:r>
        <w:rPr>
          <w:rFonts w:ascii="Arial" w:cs="Arial" w:eastAsia="Arial" w:hAnsi="Arial"/>
          <w:sz w:val="18"/>
          <w:szCs w:val="18"/>
          <w:color w:val="auto"/>
        </w:rPr>
        <w:t>APPENDIX 1</w:t>
      </w:r>
    </w:p>
    <w:p>
      <w:pPr>
        <w:spacing w:after="0" w:line="23" w:lineRule="exact"/>
        <w:rPr>
          <w:sz w:val="20"/>
          <w:szCs w:val="20"/>
          <w:color w:val="auto"/>
        </w:rPr>
      </w:pPr>
    </w:p>
    <w:p>
      <w:pPr>
        <w:jc w:val="center"/>
        <w:ind w:right="591"/>
        <w:spacing w:after="0"/>
        <w:rPr>
          <w:sz w:val="20"/>
          <w:szCs w:val="20"/>
          <w:color w:val="auto"/>
        </w:rPr>
      </w:pPr>
      <w:r>
        <w:rPr>
          <w:rFonts w:ascii="Arial" w:cs="Arial" w:eastAsia="Arial" w:hAnsi="Arial"/>
          <w:sz w:val="18"/>
          <w:szCs w:val="18"/>
          <w:color w:val="auto"/>
        </w:rPr>
        <w:t>(to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209550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9"/>
          </w:cols>
          <w:pgMar w:left="891" w:top="125" w:right="279" w:bottom="139" w:gutter="0" w:footer="0" w:header="0"/>
        </w:sectPr>
      </w:pPr>
    </w:p>
    <w:bookmarkStart w:id="34" w:name="page35"/>
    <w:bookmarkEnd w:id="34"/>
    <w:p>
      <w:pPr>
        <w:ind w:left="660" w:right="140"/>
        <w:spacing w:after="0" w:line="277" w:lineRule="auto"/>
        <w:rPr>
          <w:sz w:val="20"/>
          <w:szCs w:val="20"/>
          <w:color w:val="auto"/>
        </w:rPr>
      </w:pPr>
      <w:r>
        <w:rPr>
          <w:rFonts w:ascii="Arial" w:cs="Arial" w:eastAsia="Arial" w:hAnsi="Arial"/>
          <w:sz w:val="18"/>
          <w:szCs w:val="18"/>
          <w:color w:val="auto"/>
        </w:rPr>
        <w:t>thereunder having the force of law or with which affected Persons customarily comply), and all judgments, orders and decrees, of all Governmental Authorities; and</w:t>
      </w:r>
    </w:p>
    <w:p>
      <w:pPr>
        <w:spacing w:after="0" w:line="170" w:lineRule="exact"/>
        <w:rPr>
          <w:sz w:val="20"/>
          <w:szCs w:val="20"/>
          <w:color w:val="auto"/>
        </w:rPr>
      </w:pPr>
    </w:p>
    <w:p>
      <w:pPr>
        <w:ind w:left="1960" w:hanging="655"/>
        <w:spacing w:after="0"/>
        <w:tabs>
          <w:tab w:leader="none" w:pos="19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word “will” shall be construed to have the same meaning and effect as the word “shall”.</w:t>
      </w:r>
    </w:p>
    <w:p>
      <w:pPr>
        <w:spacing w:after="0" w:line="225" w:lineRule="exact"/>
        <w:rPr>
          <w:rFonts w:ascii="Arial" w:cs="Arial" w:eastAsia="Arial" w:hAnsi="Arial"/>
          <w:sz w:val="18"/>
          <w:szCs w:val="18"/>
          <w:color w:val="auto"/>
        </w:rPr>
      </w:pPr>
    </w:p>
    <w:p>
      <w:pPr>
        <w:ind w:left="1300" w:hanging="659"/>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Accounting Terms; GAAP; Pro Forma Calculations.</w:t>
      </w:r>
    </w:p>
    <w:p>
      <w:pPr>
        <w:spacing w:after="0" w:line="225" w:lineRule="exact"/>
        <w:rPr>
          <w:rFonts w:ascii="Arial" w:cs="Arial" w:eastAsia="Arial" w:hAnsi="Arial"/>
          <w:sz w:val="18"/>
          <w:szCs w:val="18"/>
          <w:color w:val="auto"/>
        </w:rPr>
      </w:pPr>
    </w:p>
    <w:p>
      <w:pPr>
        <w:ind w:left="660" w:right="20" w:firstLine="645"/>
        <w:spacing w:after="0" w:line="284" w:lineRule="auto"/>
        <w:tabs>
          <w:tab w:leader="none" w:pos="1978"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Except as otherwise expressly provided in any Operative Document, all terms of an accounting or financial nature shall be construed in accordance with GAAP, as in effect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Parent Guarantor or Lessee notifies the Administrative Agent that the Lessee requests an amendment to any provision of any Operative Document to eliminate the effect of any change occurring after the Document Closing Date in GAAP or in the application thereof on the operation of such provision (or if the Administrative Agent notifies the Lessee that the Required Participants request an amendment to any provision of any Operative Document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in any Operative Document, (x) all terms of an accounting or financial nature used in any Operative Document shall be construed, and all computations of amounts and ratios referred to in any Operative Document shall be made (1) without giving effect to any election under Accounting Standards Codification 825-10-25 (or any other Accounting Standards Codification or Financial Accounting Standard having a similar result or effect) to value any Indebtedness or other liabilities of the Parent Guarantor or Lessee or any Subsidiary at “fair value”, as defined therein, and (2)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(y) notwithstanding any modification or interpretative change to GAAP after the Bank Credit Agreement Effective Date (including without giving effect to any treatment of leases under Accounting Standards Codification 842 (or any other Accounting Standards Codification or Financial Accounting Standard having a similar result or effect)), any obligations relating to (1) a lease that was or would have been accounted for by such Person as an operating lease as of the Bank Credit Agreement Effective Date, (2) any Specified Lease Arrangements of such Person or (3) any lease or arrangement similar to any of the foregoing entered into after the Bank Credit Agreement Effective Date by such Person or an Affiliate thereof, in each case of the foregoing, shall be deemed to be obligations relating to an operating lease and shall not constitute Capital Lease Obligations under the Operative Documents.</w:t>
      </w:r>
    </w:p>
    <w:p>
      <w:pPr>
        <w:spacing w:after="0" w:line="181" w:lineRule="exact"/>
        <w:rPr>
          <w:rFonts w:ascii="Arial" w:cs="Arial" w:eastAsia="Arial" w:hAnsi="Arial"/>
          <w:sz w:val="16"/>
          <w:szCs w:val="16"/>
          <w:color w:val="auto"/>
        </w:rPr>
      </w:pPr>
    </w:p>
    <w:p>
      <w:pPr>
        <w:ind w:left="660" w:right="40" w:firstLine="645"/>
        <w:spacing w:after="0" w:line="277" w:lineRule="auto"/>
        <w:tabs>
          <w:tab w:leader="none" w:pos="1987" w:val="left"/>
        </w:tabs>
        <w:numPr>
          <w:ilvl w:val="1"/>
          <w:numId w:val="89"/>
        </w:numPr>
        <w:rPr>
          <w:rFonts w:ascii="Arial" w:cs="Arial" w:eastAsia="Arial" w:hAnsi="Arial"/>
          <w:sz w:val="18"/>
          <w:szCs w:val="18"/>
          <w:color w:val="auto"/>
        </w:rPr>
      </w:pPr>
      <w:r>
        <w:rPr>
          <w:rFonts w:ascii="Arial" w:cs="Arial" w:eastAsia="Arial" w:hAnsi="Arial"/>
          <w:sz w:val="18"/>
          <w:szCs w:val="18"/>
          <w:color w:val="auto"/>
        </w:rPr>
        <w:t>All pro forma computations required to be made under any Operative Document giving effect to any Acquisition or disposition, or issuance, incurrence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 xml:space="preserve">assumption of Indebtedness, or other transaction shall in each case be calculated after giving pro forma effect thereto (and, in the case of any pro forma computation </w:t>
      </w:r>
      <w:r>
        <w:rPr>
          <w:rFonts w:ascii="Arial" w:cs="Arial" w:eastAsia="Arial" w:hAnsi="Arial"/>
          <w:sz w:val="15"/>
          <w:szCs w:val="15"/>
          <w:color w:val="auto"/>
        </w:rPr>
        <w:t>made</w:t>
      </w:r>
      <w:r>
        <w:rPr>
          <w:rFonts w:ascii="Arial" w:cs="Arial" w:eastAsia="Arial" w:hAnsi="Arial"/>
          <w:sz w:val="16"/>
          <w:szCs w:val="16"/>
          <w:color w:val="auto"/>
        </w:rPr>
        <w:t xml:space="preserve"> under any Operative Document, to determine whether such Acquisition, disposition or issuance, incurrence or assumption of Indebtedness or other transaction is permitted to be consummated under the Participation Agreement or Guaranty) immediately after giving effect to such Acquisition, disposition or issuance, incurrence or assumption of Indebtedness (and to any other such transaction consummated since the first day of the period for which such pro forma computation is being made and on or prior to the date of such computation) as if such transaction had occurred on the first day of the period of four consecutive fiscal quarters ending with the most recent fiscal quarter for which financial statements shall have been delivered pursuant to Section 8(a)(i) or 8(a)(ii) of the Guaranty (or, prior to the delivery of any such financial statements, ending with the last fiscal quarter included in the financial statements delivered pursuant to Section 6.1(xviii) of the Participation Agreement), and, to the extent applicable, to the historical earnings and cash flows associated with the assets acquired or disposed of, any related incurrence or reduction of Indebtedness and any related cost savings, operating expense reductions and synergies, all in accordance with (and, in the case of cost savings, operating expense reductions and synergies, to the extent permitted by) Article 11 of Regulation S-X under the Securities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pro forma computation required to be made under any Operative Document shall make or result in any pro forma adjustment to Consolidated EBITDA for any Drug Acquisition or Exclusive License.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w:t>
      </w:r>
    </w:p>
    <w:p>
      <w:pPr>
        <w:spacing w:after="0" w:line="169" w:lineRule="exact"/>
        <w:rPr>
          <w:sz w:val="20"/>
          <w:szCs w:val="20"/>
          <w:color w:val="auto"/>
        </w:rPr>
      </w:pPr>
    </w:p>
    <w:p>
      <w:pPr>
        <w:jc w:val="both"/>
        <w:ind w:right="40" w:firstLine="651"/>
        <w:spacing w:after="0" w:line="259" w:lineRule="auto"/>
        <w:tabs>
          <w:tab w:leader="none" w:pos="1302"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Conflict in Operative Documents</w:t>
      </w:r>
      <w:r>
        <w:rPr>
          <w:rFonts w:ascii="Arial" w:cs="Arial" w:eastAsia="Arial" w:hAnsi="Arial"/>
          <w:sz w:val="18"/>
          <w:szCs w:val="18"/>
          <w:color w:val="auto"/>
        </w:rPr>
        <w:t>. If there is any conflict between any Operative Documents, such Operative Document shall be interpreted</w:t>
      </w:r>
      <w:r>
        <w:rPr>
          <w:rFonts w:ascii="Arial" w:cs="Arial" w:eastAsia="Arial" w:hAnsi="Arial"/>
          <w:sz w:val="18"/>
          <w:szCs w:val="18"/>
          <w:i w:val="1"/>
          <w:iCs w:val="1"/>
          <w:color w:val="auto"/>
        </w:rPr>
        <w:t xml:space="preserve"> </w:t>
      </w:r>
      <w:r>
        <w:rPr>
          <w:rFonts w:ascii="Arial" w:cs="Arial" w:eastAsia="Arial" w:hAnsi="Arial"/>
          <w:sz w:val="18"/>
          <w:szCs w:val="18"/>
          <w:color w:val="auto"/>
        </w:rPr>
        <w:t>and construed, if possible, so as to avoid or minimize such conflict, but, to the extent (and only to the extent) of such conflict, (i) the Participation Agreement shall prevail and control or (ii) if such conflict is between the Lease and any other Operative Document other than the Participation Agreement, the Lease shall prevail and control.</w:t>
      </w:r>
    </w:p>
    <w:p>
      <w:pPr>
        <w:spacing w:after="0" w:line="186" w:lineRule="exact"/>
        <w:rPr>
          <w:rFonts w:ascii="Arial" w:cs="Arial" w:eastAsia="Arial" w:hAnsi="Arial"/>
          <w:sz w:val="18"/>
          <w:szCs w:val="18"/>
          <w:color w:val="auto"/>
        </w:rPr>
      </w:pPr>
    </w:p>
    <w:p>
      <w:pPr>
        <w:jc w:val="both"/>
        <w:ind w:right="180" w:firstLine="641"/>
        <w:spacing w:after="0" w:line="264" w:lineRule="auto"/>
        <w:tabs>
          <w:tab w:leader="none" w:pos="1302"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Legal Representation of the Parties</w:t>
      </w:r>
      <w:r>
        <w:rPr>
          <w:rFonts w:ascii="Arial" w:cs="Arial" w:eastAsia="Arial" w:hAnsi="Arial"/>
          <w:sz w:val="18"/>
          <w:szCs w:val="18"/>
          <w:color w:val="auto"/>
        </w:rPr>
        <w:t>. The Operative Documents were negotiated by the parties with the benefit of legal representation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any rule of construction or interpretation otherwise requiring the Operative Document to be construed or interpreted against any party shall not apply to any construction or interpretation hereof or thereof.</w:t>
      </w:r>
    </w:p>
    <w:p>
      <w:pPr>
        <w:spacing w:after="0" w:line="181" w:lineRule="exact"/>
        <w:rPr>
          <w:rFonts w:ascii="Arial" w:cs="Arial" w:eastAsia="Arial" w:hAnsi="Arial"/>
          <w:sz w:val="18"/>
          <w:szCs w:val="18"/>
          <w:color w:val="auto"/>
        </w:rPr>
      </w:pPr>
    </w:p>
    <w:p>
      <w:pPr>
        <w:ind w:right="200" w:firstLine="651"/>
        <w:spacing w:after="0" w:line="277" w:lineRule="auto"/>
        <w:tabs>
          <w:tab w:leader="none" w:pos="1302"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Defined Terms</w:t>
      </w:r>
      <w:r>
        <w:rPr>
          <w:rFonts w:ascii="Arial" w:cs="Arial" w:eastAsia="Arial" w:hAnsi="Arial"/>
          <w:sz w:val="18"/>
          <w:szCs w:val="18"/>
          <w:color w:val="auto"/>
        </w:rPr>
        <w:t>. Unless a clear contrary intention appears, terms defined herein have the respective indicated meanings when used in each</w:t>
      </w:r>
      <w:r>
        <w:rPr>
          <w:rFonts w:ascii="Arial" w:cs="Arial" w:eastAsia="Arial" w:hAnsi="Arial"/>
          <w:sz w:val="18"/>
          <w:szCs w:val="18"/>
          <w:i w:val="1"/>
          <w:iCs w:val="1"/>
          <w:color w:val="auto"/>
        </w:rPr>
        <w:t xml:space="preserve"> </w:t>
      </w:r>
      <w:r>
        <w:rPr>
          <w:rFonts w:ascii="Arial" w:cs="Arial" w:eastAsia="Arial" w:hAnsi="Arial"/>
          <w:sz w:val="18"/>
          <w:szCs w:val="18"/>
          <w:color w:val="auto"/>
        </w:rPr>
        <w:t>Operative Document.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“Accelerated Lessor Rent Amount” </w:t>
      </w:r>
      <w:r>
        <w:rPr>
          <w:rFonts w:ascii="Arial" w:cs="Arial" w:eastAsia="Arial" w:hAnsi="Arial"/>
          <w:sz w:val="18"/>
          <w:szCs w:val="18"/>
          <w:color w:val="auto"/>
        </w:rPr>
        <w:t>is defined in Section 3.1(c)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“Acceleration” </w:t>
      </w:r>
      <w:r>
        <w:rPr>
          <w:rFonts w:ascii="Arial" w:cs="Arial" w:eastAsia="Arial" w:hAnsi="Arial"/>
          <w:sz w:val="18"/>
          <w:szCs w:val="18"/>
          <w:color w:val="auto"/>
        </w:rPr>
        <w:t>is defined in Section 5.2(a) of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i w:val="1"/>
          <w:iCs w:val="1"/>
          <w:color w:val="auto"/>
        </w:rPr>
        <w:t xml:space="preserve">“Acquisition” </w:t>
      </w:r>
      <w:r>
        <w:rPr>
          <w:rFonts w:ascii="Arial" w:cs="Arial" w:eastAsia="Arial" w:hAnsi="Arial"/>
          <w:sz w:val="16"/>
          <w:szCs w:val="16"/>
          <w:color w:val="auto"/>
        </w:rPr>
        <w:t>means (i) any acquisition (whether by purchase, merger, consolidation or otherwise) or series of related acquisitions by the Parent</w:t>
      </w:r>
      <w:r>
        <w:rPr>
          <w:rFonts w:ascii="Arial" w:cs="Arial" w:eastAsia="Arial" w:hAnsi="Arial"/>
          <w:sz w:val="16"/>
          <w:szCs w:val="16"/>
          <w:i w:val="1"/>
          <w:iCs w:val="1"/>
          <w:color w:val="auto"/>
        </w:rPr>
        <w:t xml:space="preserve"> </w:t>
      </w:r>
      <w:r>
        <w:rPr>
          <w:rFonts w:ascii="Arial" w:cs="Arial" w:eastAsia="Arial" w:hAnsi="Arial"/>
          <w:sz w:val="16"/>
          <w:szCs w:val="16"/>
          <w:color w:val="auto"/>
        </w:rPr>
        <w:t>Guarantor or any Subsidiary of (a) all or substantially all the assets of (or all or substantially all the assets constituting a business unit, division, product line (including rights in respect of any drug or other pharmaceutical product) or line of business of) any Person, or (b) all or substantially all the Equity Interests in</w:t>
      </w:r>
    </w:p>
    <w:p>
      <w:pPr>
        <w:sectPr>
          <w:pgSz w:w="11900" w:h="16838" w:orient="portrait"/>
          <w:cols w:equalWidth="0" w:num="1">
            <w:col w:w="11420"/>
          </w:cols>
          <w:pgMar w:left="240" w:top="584" w:right="239" w:bottom="0" w:gutter="0" w:footer="0" w:header="0"/>
        </w:sectPr>
      </w:pPr>
    </w:p>
    <w:bookmarkStart w:id="35" w:name="page36"/>
    <w:bookmarkEnd w:id="35"/>
    <w:p>
      <w:pPr>
        <w:ind w:right="20"/>
        <w:spacing w:after="0" w:line="277" w:lineRule="auto"/>
        <w:rPr>
          <w:sz w:val="20"/>
          <w:szCs w:val="20"/>
          <w:color w:val="auto"/>
        </w:rPr>
      </w:pPr>
      <w:r>
        <w:rPr>
          <w:rFonts w:ascii="Arial" w:cs="Arial" w:eastAsia="Arial" w:hAnsi="Arial"/>
          <w:sz w:val="18"/>
          <w:szCs w:val="18"/>
          <w:color w:val="auto"/>
        </w:rPr>
        <w:t>a Person or division or line of business of a Person, (ii) a Drug Acquisition or (iii) an Exclusive License to develop and commercialize a drug or other product line of any Person.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“Acquisition Holiday” </w:t>
      </w:r>
      <w:r>
        <w:rPr>
          <w:rFonts w:ascii="Arial" w:cs="Arial" w:eastAsia="Arial" w:hAnsi="Arial"/>
          <w:sz w:val="18"/>
          <w:szCs w:val="18"/>
          <w:color w:val="auto"/>
        </w:rPr>
        <w:t>is defined in Section 9(f) of the Guaranty.</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 xml:space="preserve">“Administrative Agent” </w:t>
      </w:r>
      <w:r>
        <w:rPr>
          <w:rFonts w:ascii="Arial" w:cs="Arial" w:eastAsia="Arial" w:hAnsi="Arial"/>
          <w:sz w:val="18"/>
          <w:szCs w:val="18"/>
          <w:color w:val="auto"/>
        </w:rPr>
        <w:t>means Bank of America, N.A., in its capacity as administrative agent under the Participation Agreement, or any successor</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pursuant to the terms of the Operative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Agent Fee Letter</w:t>
      </w:r>
      <w:r>
        <w:rPr>
          <w:rFonts w:ascii="Arial" w:cs="Arial" w:eastAsia="Arial" w:hAnsi="Arial"/>
          <w:sz w:val="18"/>
          <w:szCs w:val="18"/>
          <w:color w:val="auto"/>
        </w:rPr>
        <w:t>” means the fee letter dated March 3, 2017, between Lessee and Administrative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Agent’s Policy</w:t>
      </w:r>
      <w:r>
        <w:rPr>
          <w:rFonts w:ascii="Arial" w:cs="Arial" w:eastAsia="Arial" w:hAnsi="Arial"/>
          <w:sz w:val="18"/>
          <w:szCs w:val="18"/>
          <w:color w:val="auto"/>
        </w:rPr>
        <w:t>” is defined in Section 6.1(x) of the Participation Agreement.</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“Advance” </w:t>
      </w:r>
      <w:r>
        <w:rPr>
          <w:rFonts w:ascii="Arial" w:cs="Arial" w:eastAsia="Arial" w:hAnsi="Arial"/>
          <w:sz w:val="18"/>
          <w:szCs w:val="18"/>
          <w:color w:val="auto"/>
        </w:rPr>
        <w:t>means the advance by Lessor to the Administrative Agent for the benefit of the Lessee, of amounts Funded by the Participants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Article III of the Participation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Advance Request</w:t>
      </w:r>
      <w:r>
        <w:rPr>
          <w:rFonts w:ascii="Arial" w:cs="Arial" w:eastAsia="Arial" w:hAnsi="Arial"/>
          <w:sz w:val="18"/>
          <w:szCs w:val="18"/>
          <w:color w:val="auto"/>
        </w:rPr>
        <w:t>” is defined in Section 3.3 of the Participation Agreement.</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Transferee</w:t>
      </w:r>
      <w:r>
        <w:rPr>
          <w:rFonts w:ascii="Arial" w:cs="Arial" w:eastAsia="Arial" w:hAnsi="Arial"/>
          <w:sz w:val="18"/>
          <w:szCs w:val="18"/>
          <w:color w:val="auto"/>
        </w:rPr>
        <w:t xml:space="preserve">” is defined in Article VI </w:t>
      </w:r>
      <w:r>
        <w:rPr>
          <w:rFonts w:ascii="Arial" w:cs="Arial" w:eastAsia="Arial" w:hAnsi="Arial"/>
          <w:sz w:val="17"/>
          <w:szCs w:val="17"/>
          <w:color w:val="auto"/>
        </w:rPr>
        <w:t>of the</w:t>
      </w:r>
      <w:r>
        <w:rPr>
          <w:rFonts w:ascii="Arial" w:cs="Arial" w:eastAsia="Arial" w:hAnsi="Arial"/>
          <w:sz w:val="18"/>
          <w:szCs w:val="18"/>
          <w:color w:val="auto"/>
        </w:rPr>
        <w:t xml:space="preserve"> Lease.</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After Tax Basis</w:t>
      </w:r>
      <w:r>
        <w:rPr>
          <w:rFonts w:ascii="Arial" w:cs="Arial" w:eastAsia="Arial" w:hAnsi="Arial"/>
          <w:sz w:val="17"/>
          <w:szCs w:val="17"/>
          <w:color w:val="auto"/>
        </w:rPr>
        <w:t>” means, with respect to any payment to be received (to the extent the receipt of such payment constitutes taxable income to such recipient), the amount of such payment increased so that, after deduction of the amount of all Taxes (including any Taxes payable by reason of inclusion of such amount in income otherwise excluded by the definition of Impositions, and assuming for this purpose that the recipient of such payment is subject to taxation at the highest Federal and applicable state and local marginal rates applicable to such recipient for the year in which such income is taxable) required to be paid by the recipient (less any tax savings, credits, deductions or other quantifiable tax benefits that are reasonably expected to be realized, utilizing the same tax rate assumptions as set forth in the immediately preceding parenthetical phrase, and the present value of any tax savings projected, utilizing the same tax rate assumptions as set forth in the immediately preceding parenthetical phrase, that are reasonably expected to be realized by the recipient as a result of the payment of the indemnified amount) with respect to the receipt by the recipient of such amounts, such increased payment (as so reduced) is equal to the payment otherwise required to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“Aggregate Commitment Amount” </w:t>
      </w:r>
      <w:r>
        <w:rPr>
          <w:rFonts w:ascii="Arial" w:cs="Arial" w:eastAsia="Arial" w:hAnsi="Arial"/>
          <w:sz w:val="18"/>
          <w:szCs w:val="18"/>
          <w:color w:val="auto"/>
        </w:rPr>
        <w:t>means Seven Hundred Twenty Million Dollars ($720,000,000.00).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“ALTA” </w:t>
      </w:r>
      <w:r>
        <w:rPr>
          <w:rFonts w:ascii="Arial" w:cs="Arial" w:eastAsia="Arial" w:hAnsi="Arial"/>
          <w:sz w:val="18"/>
          <w:szCs w:val="18"/>
          <w:color w:val="auto"/>
        </w:rPr>
        <w:t>means the American Land Title Association or any successor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“Alternate Base Rate” </w:t>
      </w:r>
      <w:r>
        <w:rPr>
          <w:rFonts w:ascii="Arial" w:cs="Arial" w:eastAsia="Arial" w:hAnsi="Arial"/>
          <w:sz w:val="16"/>
          <w:szCs w:val="16"/>
          <w:color w:val="auto"/>
        </w:rPr>
        <w:t>means, on any date with respect to any Loan or Lessor Amount, a fluctuating rate of interest per annum equal to the higher of</w:t>
      </w:r>
    </w:p>
    <w:p>
      <w:pPr>
        <w:spacing w:after="0" w:line="46" w:lineRule="exact"/>
        <w:rPr>
          <w:sz w:val="20"/>
          <w:szCs w:val="20"/>
          <w:color w:val="auto"/>
        </w:rPr>
      </w:pPr>
    </w:p>
    <w:p>
      <w:pPr>
        <w:ind w:right="100" w:firstLine="8"/>
        <w:spacing w:after="0" w:line="252" w:lineRule="auto"/>
        <w:tabs>
          <w:tab w:leader="none" w:pos="29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rate of interest most recently announced by Bank of America, N.A. in the United States from time to time as its “prime rate”, and (B) the Federal Funds Effective Rate most recently determined by Administrative Agent plus .50% per annum, plus the Applicable Margin. If either of the aforesaid rates or their equivalent changes from time to time after the Document Closing Date, the Alternate Base Rate shall be automatically increased or decreased, if appropriate and as the case may be, without notice to Lessee or any Participant, effective from and including the effective date of such change. The “prime rate” is a rate set by Bank of America, N.A. based upon various factors including Bank of America, N.A.’s costs and desired return, general economic conditions and other factors, and is used as a reference point for pricing some loans, which may be priced at, above, or below such announced rate. Any change in such prime rate announced by Bank of America, N.A. shall take effect at the opening of business on the day specified in the public announcement of such change.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Modification Cap</w:t>
      </w:r>
      <w:r>
        <w:rPr>
          <w:rFonts w:ascii="Arial" w:cs="Arial" w:eastAsia="Arial" w:hAnsi="Arial"/>
          <w:sz w:val="18"/>
          <w:szCs w:val="18"/>
          <w:color w:val="auto"/>
        </w:rPr>
        <w:t>” is defined in Section 10.1(b) of the Lease.</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i w:val="1"/>
          <w:iCs w:val="1"/>
          <w:color w:val="auto"/>
        </w:rPr>
        <w:t xml:space="preserve">“Anti-Corruption Laws” </w:t>
      </w:r>
      <w:r>
        <w:rPr>
          <w:rFonts w:ascii="Arial" w:cs="Arial" w:eastAsia="Arial" w:hAnsi="Arial"/>
          <w:sz w:val="18"/>
          <w:szCs w:val="18"/>
          <w:color w:val="auto"/>
        </w:rPr>
        <w:t>means the Foreign Corrupt Practices Act of 1977, as amended, and the rules and regulations thereunder, and all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laws, rules, and regulations of any jurisdiction applicable to Parent Guarantor or its Subsidiaries from time to time concerning or relating to bribery or corruption.</w:t>
      </w:r>
    </w:p>
    <w:p>
      <w:pPr>
        <w:spacing w:after="0" w:line="18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i w:val="1"/>
          <w:iCs w:val="1"/>
          <w:color w:val="auto"/>
        </w:rPr>
        <w:t xml:space="preserve">“Applicable Laws” </w:t>
      </w:r>
      <w:r>
        <w:rPr>
          <w:rFonts w:ascii="Arial" w:cs="Arial" w:eastAsia="Arial" w:hAnsi="Arial"/>
          <w:sz w:val="18"/>
          <w:szCs w:val="18"/>
          <w:color w:val="auto"/>
        </w:rPr>
        <w:t>means, collectively, all international, foreign, Federal, state and local statutes, treaties, rules, guidelines, regulations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Laws), ordinances, codes and administrative or judicial precedents or authorities, including official rulings and interpretations thereof by any Governmental Authority charged with the enforcement, interpretation or administration thereof having the force of law or with which affected Persons customarily comply, and all applicable orders, judgments, directed duties, requests, licenses, authorizations and permits of, and agreements with, any Governmental Authority.</w:t>
      </w:r>
    </w:p>
    <w:p>
      <w:pPr>
        <w:spacing w:after="0" w:line="18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Lending Office</w:t>
      </w:r>
      <w:r>
        <w:rPr>
          <w:rFonts w:ascii="Arial" w:cs="Arial" w:eastAsia="Arial" w:hAnsi="Arial"/>
          <w:sz w:val="18"/>
          <w:szCs w:val="18"/>
          <w:color w:val="auto"/>
        </w:rPr>
        <w:t>” means, for each Participant, the office, branch, affiliate or correspondent bank of such Participant set forth as the Applicable Lending Office for such Participant on Schedule III to the Participation Agreement, as applicable, or such other office, branch, affiliate or correspondent bank of such Participant (or of an Affiliate of such Participant) as such Participant may from time to time specify to the Administrative Agent and Lessee by written notice as the office from which its Loans or Lessor Amount, as applicable, and accruing Interest or Yield, as applicable, at the LIBO Rate are made available and maintained.</w:t>
      </w:r>
    </w:p>
    <w:p>
      <w:pPr>
        <w:spacing w:after="0" w:line="18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 xml:space="preserve">“Applicable Margin” </w:t>
      </w:r>
      <w:r>
        <w:rPr>
          <w:rFonts w:ascii="Arial" w:cs="Arial" w:eastAsia="Arial" w:hAnsi="Arial"/>
          <w:sz w:val="18"/>
          <w:szCs w:val="18"/>
          <w:color w:val="auto"/>
        </w:rPr>
        <w:t>means, for any day, with respect to the Loans and the Lessor Amount, as the case may be, the applicable rate per annum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below under the caption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“Applicable Margin for Loans” or “Applicable Margin for Lessor Amount”, as the case may be, based upon the Pricing Level applicable on such date:</w:t>
      </w:r>
    </w:p>
    <w:p>
      <w:pPr>
        <w:sectPr>
          <w:pgSz w:w="11900" w:h="16838" w:orient="portrait"/>
          <w:cols w:equalWidth="0" w:num="1">
            <w:col w:w="11420"/>
          </w:cols>
          <w:pgMar w:left="240" w:top="125" w:right="239" w:bottom="0" w:gutter="0" w:footer="0" w:header="0"/>
        </w:sectPr>
      </w:pPr>
    </w:p>
    <w:p>
      <w:pPr>
        <w:spacing w:after="0" w:line="228" w:lineRule="exact"/>
        <w:rPr>
          <w:sz w:val="20"/>
          <w:szCs w:val="20"/>
          <w:color w:val="auto"/>
        </w:rPr>
      </w:pPr>
    </w:p>
    <w:p>
      <w:pPr>
        <w:ind w:left="1300"/>
        <w:spacing w:after="0"/>
        <w:tabs>
          <w:tab w:leader="none" w:pos="5300" w:val="left"/>
          <w:tab w:leader="none" w:pos="7520" w:val="left"/>
        </w:tabs>
        <w:rPr>
          <w:sz w:val="20"/>
          <w:szCs w:val="20"/>
          <w:color w:val="auto"/>
        </w:rPr>
      </w:pPr>
      <w:r>
        <w:rPr>
          <w:rFonts w:ascii="Arial" w:cs="Arial" w:eastAsia="Arial" w:hAnsi="Arial"/>
          <w:sz w:val="14"/>
          <w:szCs w:val="14"/>
          <w:b w:val="1"/>
          <w:bCs w:val="1"/>
          <w:color w:val="auto"/>
        </w:rPr>
        <w:t>PRICING LEVEL</w:t>
      </w:r>
      <w:r>
        <w:rPr>
          <w:sz w:val="20"/>
          <w:szCs w:val="20"/>
          <w:color w:val="auto"/>
        </w:rPr>
        <w:tab/>
      </w:r>
      <w:r>
        <w:rPr>
          <w:rFonts w:ascii="Arial" w:cs="Arial" w:eastAsia="Arial" w:hAnsi="Arial"/>
          <w:sz w:val="14"/>
          <w:szCs w:val="14"/>
          <w:b w:val="1"/>
          <w:bCs w:val="1"/>
          <w:color w:val="auto"/>
        </w:rPr>
        <w:t>APPLICABLE</w:t>
      </w:r>
      <w:r>
        <w:rPr>
          <w:sz w:val="20"/>
          <w:szCs w:val="20"/>
          <w:color w:val="auto"/>
        </w:rPr>
        <w:tab/>
      </w:r>
      <w:r>
        <w:rPr>
          <w:rFonts w:ascii="Arial" w:cs="Arial" w:eastAsia="Arial" w:hAnsi="Arial"/>
          <w:sz w:val="14"/>
          <w:szCs w:val="14"/>
          <w:b w:val="1"/>
          <w:bCs w:val="1"/>
          <w:color w:val="auto"/>
        </w:rPr>
        <w:t>APPLICABLE MARGIN</w:t>
      </w:r>
    </w:p>
    <w:p>
      <w:pPr>
        <w:sectPr>
          <w:pgSz w:w="11900" w:h="16838" w:orient="portrait"/>
          <w:cols w:equalWidth="0" w:num="1">
            <w:col w:w="11420"/>
          </w:cols>
          <w:pgMar w:left="240" w:top="125" w:right="239" w:bottom="0" w:gutter="0" w:footer="0" w:header="0"/>
          <w:type w:val="continuous"/>
        </w:sectPr>
      </w:pPr>
    </w:p>
    <w:bookmarkStart w:id="36" w:name="page37"/>
    <w:bookmarkEnd w:id="36"/>
    <w:tbl>
      <w:tblPr>
        <w:tblLayout w:type="fixed"/>
        <w:tblInd w:w="1300" w:type="dxa"/>
        <w:tblCellMar>
          <w:top w:w="0" w:type="dxa"/>
          <w:left w:w="0" w:type="dxa"/>
          <w:bottom w:w="0" w:type="dxa"/>
          <w:right w:w="0" w:type="dxa"/>
        </w:tblCellMar>
      </w:tblPr>
      <w:tr>
        <w:trPr>
          <w:trHeight w:val="171"/>
        </w:trPr>
        <w:tc>
          <w:tcPr>
            <w:tcW w:w="30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2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MARGIN FOR LOANS</w:t>
            </w:r>
          </w:p>
        </w:tc>
        <w:tc>
          <w:tcPr>
            <w:tcW w:w="280" w:type="dxa"/>
            <w:vAlign w:val="bottom"/>
            <w:tcBorders>
              <w:bottom w:val="single" w:sz="8" w:color="CCEEFF"/>
            </w:tcBorders>
          </w:tcPr>
          <w:p>
            <w:pPr>
              <w:spacing w:after="0"/>
              <w:rPr>
                <w:sz w:val="14"/>
                <w:szCs w:val="14"/>
                <w:color w:val="auto"/>
              </w:rPr>
            </w:pPr>
          </w:p>
        </w:tc>
        <w:tc>
          <w:tcPr>
            <w:tcW w:w="22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FOR LESSOR AMOUNT</w:t>
            </w:r>
          </w:p>
        </w:tc>
        <w:tc>
          <w:tcPr>
            <w:tcW w:w="160" w:type="dxa"/>
            <w:vAlign w:val="bottom"/>
            <w:tcBorders>
              <w:bottom w:val="single" w:sz="8" w:color="CCEEFF"/>
            </w:tcBorders>
          </w:tcPr>
          <w:p>
            <w:pPr>
              <w:spacing w:after="0"/>
              <w:rPr>
                <w:sz w:val="14"/>
                <w:szCs w:val="14"/>
                <w:color w:val="auto"/>
              </w:rPr>
            </w:pPr>
          </w:p>
        </w:tc>
      </w:tr>
      <w:tr>
        <w:trPr>
          <w:trHeight w:val="210"/>
        </w:trPr>
        <w:tc>
          <w:tcPr>
            <w:tcW w:w="3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I.</w:t>
            </w:r>
          </w:p>
        </w:tc>
        <w:tc>
          <w:tcPr>
            <w:tcW w:w="28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1.375%</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1.675%</w:t>
            </w:r>
          </w:p>
        </w:tc>
      </w:tr>
      <w:tr>
        <w:trPr>
          <w:trHeight w:val="216"/>
        </w:trPr>
        <w:tc>
          <w:tcPr>
            <w:tcW w:w="3360" w:type="dxa"/>
            <w:vAlign w:val="bottom"/>
            <w:gridSpan w:val="2"/>
          </w:tcPr>
          <w:p>
            <w:pPr>
              <w:jc w:val="center"/>
              <w:ind w:right="280"/>
              <w:spacing w:after="0"/>
              <w:rPr>
                <w:sz w:val="20"/>
                <w:szCs w:val="20"/>
                <w:color w:val="auto"/>
              </w:rPr>
            </w:pPr>
            <w:r>
              <w:rPr>
                <w:rFonts w:ascii="Arial" w:cs="Arial" w:eastAsia="Arial" w:hAnsi="Arial"/>
                <w:sz w:val="18"/>
                <w:szCs w:val="18"/>
                <w:color w:val="auto"/>
              </w:rPr>
              <w:t>II.</w:t>
            </w:r>
          </w:p>
        </w:tc>
        <w:tc>
          <w:tcPr>
            <w:tcW w:w="2540" w:type="dxa"/>
            <w:vAlign w:val="bottom"/>
            <w:gridSpan w:val="2"/>
          </w:tcPr>
          <w:p>
            <w:pPr>
              <w:jc w:val="right"/>
              <w:ind w:right="120"/>
              <w:spacing w:after="0"/>
              <w:rPr>
                <w:sz w:val="20"/>
                <w:szCs w:val="20"/>
                <w:color w:val="auto"/>
              </w:rPr>
            </w:pPr>
            <w:r>
              <w:rPr>
                <w:rFonts w:ascii="Arial" w:cs="Arial" w:eastAsia="Arial" w:hAnsi="Arial"/>
                <w:sz w:val="18"/>
                <w:szCs w:val="18"/>
                <w:color w:val="auto"/>
              </w:rPr>
              <w:t>1.500%</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1.800%</w:t>
            </w:r>
          </w:p>
        </w:tc>
      </w:tr>
      <w:tr>
        <w:trPr>
          <w:trHeight w:val="216"/>
        </w:trPr>
        <w:tc>
          <w:tcPr>
            <w:tcW w:w="33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rPr>
              <w:t>III.</w:t>
            </w:r>
          </w:p>
        </w:tc>
        <w:tc>
          <w:tcPr>
            <w:tcW w:w="2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1.625%</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1.925%</w:t>
            </w:r>
          </w:p>
        </w:tc>
      </w:tr>
      <w:tr>
        <w:trPr>
          <w:trHeight w:val="230"/>
        </w:trPr>
        <w:tc>
          <w:tcPr>
            <w:tcW w:w="336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IV.</w:t>
            </w:r>
          </w:p>
        </w:tc>
        <w:tc>
          <w:tcPr>
            <w:tcW w:w="2540" w:type="dxa"/>
            <w:vAlign w:val="bottom"/>
            <w:gridSpan w:val="2"/>
          </w:tcPr>
          <w:p>
            <w:pPr>
              <w:jc w:val="right"/>
              <w:ind w:right="120"/>
              <w:spacing w:after="0"/>
              <w:rPr>
                <w:sz w:val="20"/>
                <w:szCs w:val="20"/>
                <w:color w:val="auto"/>
              </w:rPr>
            </w:pPr>
            <w:r>
              <w:rPr>
                <w:rFonts w:ascii="Arial" w:cs="Arial" w:eastAsia="Arial" w:hAnsi="Arial"/>
                <w:sz w:val="18"/>
                <w:szCs w:val="18"/>
                <w:color w:val="auto"/>
              </w:rPr>
              <w:t>1.750%</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2.050%</w:t>
            </w:r>
          </w:p>
        </w:tc>
      </w:tr>
    </w:tbl>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purposes hereof: (i) Pricing Level I and Ratings Level A are equivalent and correspond to each other, and they are the highest levels for purposes of this definition, (ii) Pricing Level II, Leverage Level 2 and Ratings Level B are equivalent and correspond to each other, and they are the second highest levels for purposes of this definition, (iii) Pricing Level III, Leverage Level 3 and Ratings Level C are equivalent and correspond to each other, and they are the third highest levels for purposes of this definition and (iv) Pricing Level IV, Leverage Level 4 and Ratings Level D are equivalent and correspond to each other, and they are the lowest levels for purposes of this definition.</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any time of determination, the Pricing Level shall be determined by reference to the higher of the Leverage Level and the Ratings Level then in effect (or if Ratings Level A is then in effect, solely by reference to Ratings Level A).</w:t>
      </w:r>
    </w:p>
    <w:p>
      <w:pPr>
        <w:spacing w:after="0" w:line="153" w:lineRule="exact"/>
        <w:rPr>
          <w:sz w:val="20"/>
          <w:szCs w:val="20"/>
          <w:color w:val="auto"/>
        </w:rPr>
      </w:pPr>
    </w:p>
    <w:tbl>
      <w:tblPr>
        <w:tblLayout w:type="fixed"/>
        <w:tblInd w:w="196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Leverage Level Determination</w:t>
            </w:r>
          </w:p>
        </w:tc>
        <w:tc>
          <w:tcPr>
            <w:tcW w:w="0" w:type="dxa"/>
            <w:vAlign w:val="bottom"/>
          </w:tcPr>
          <w:p>
            <w:pPr>
              <w:spacing w:after="0"/>
              <w:rPr>
                <w:sz w:val="1"/>
                <w:szCs w:val="1"/>
                <w:color w:val="auto"/>
              </w:rPr>
            </w:pPr>
          </w:p>
        </w:tc>
      </w:tr>
      <w:tr>
        <w:trPr>
          <w:trHeight w:val="20"/>
        </w:trPr>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LEVERAGE</w:t>
            </w:r>
          </w:p>
        </w:tc>
        <w:tc>
          <w:tcPr>
            <w:tcW w:w="5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0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42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rPr>
              <w:t>TOTAL LEVERAGE RATIO</w:t>
            </w:r>
          </w:p>
        </w:tc>
        <w:tc>
          <w:tcPr>
            <w:tcW w:w="0" w:type="dxa"/>
            <w:vAlign w:val="bottom"/>
          </w:tcPr>
          <w:p>
            <w:pPr>
              <w:spacing w:after="0"/>
              <w:rPr>
                <w:sz w:val="1"/>
                <w:szCs w:val="1"/>
                <w:color w:val="auto"/>
              </w:rPr>
            </w:pPr>
          </w:p>
        </w:tc>
      </w:tr>
      <w:tr>
        <w:trPr>
          <w:trHeight w:val="171"/>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LEVEL</w:t>
            </w:r>
          </w:p>
        </w:tc>
        <w:tc>
          <w:tcPr>
            <w:tcW w:w="500" w:type="dxa"/>
            <w:vAlign w:val="bottom"/>
          </w:tcPr>
          <w:p>
            <w:pPr>
              <w:spacing w:after="0"/>
              <w:rPr>
                <w:sz w:val="14"/>
                <w:szCs w:val="14"/>
                <w:color w:val="auto"/>
              </w:rPr>
            </w:pPr>
          </w:p>
        </w:tc>
        <w:tc>
          <w:tcPr>
            <w:tcW w:w="4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20" w:type="dxa"/>
            <w:vAlign w:val="bottom"/>
            <w:tcBorders>
              <w:top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rPr>
              <w:t>1.</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260" w:type="dxa"/>
            <w:vAlign w:val="bottom"/>
            <w:tcBorders>
              <w:top w:val="single" w:sz="8" w:color="auto"/>
            </w:tcBorders>
            <w:gridSpan w:val="2"/>
            <w:shd w:val="clear" w:color="auto" w:fill="CCEEFF"/>
          </w:tcPr>
          <w:p>
            <w:pPr>
              <w:jc w:val="center"/>
              <w:ind w:right="5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1820" w:type="dxa"/>
            <w:vAlign w:val="bottom"/>
          </w:tcPr>
          <w:p>
            <w:pPr>
              <w:jc w:val="right"/>
              <w:ind w:right="756"/>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6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&lt; 1.00 to 1.00</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1"/>
              </w:rPr>
              <w:t>&gt; 1.00 to 1.00 but &lt; 2.00 to 1.00</w:t>
            </w:r>
          </w:p>
        </w:tc>
        <w:tc>
          <w:tcPr>
            <w:tcW w:w="0" w:type="dxa"/>
            <w:vAlign w:val="bottom"/>
          </w:tcPr>
          <w:p>
            <w:pPr>
              <w:spacing w:after="0"/>
              <w:rPr>
                <w:sz w:val="1"/>
                <w:szCs w:val="1"/>
                <w:color w:val="auto"/>
              </w:rPr>
            </w:pPr>
          </w:p>
        </w:tc>
      </w:tr>
      <w:tr>
        <w:trPr>
          <w:trHeight w:val="230"/>
        </w:trPr>
        <w:tc>
          <w:tcPr>
            <w:tcW w:w="1820" w:type="dxa"/>
            <w:vAlign w:val="bottom"/>
          </w:tcPr>
          <w:p>
            <w:pPr>
              <w:jc w:val="right"/>
              <w:ind w:right="756"/>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6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&gt; 2.00 to 1.00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Unless Ratings Level A is then in effect, if at any time the Parent Guarantor fails to deliver the Financials on or before the date such Financials are due pursuant to Section 8(a) of the Guaranty, Leverage Level 4 shall be deemed applicable for the period commencing three (3) Business Days after such required date of delivery and ending on the date which is three (3) Business Days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such Financials are actually delivered, after which the Leverage Level shall be determined in accordance with this definition, as applicable.</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Except as otherwise provided in the paragraph below or in the immediately preceding paragraph, adjustments, if any, to the Leverage Level then in effect shall be effective three (3) Business Days after the Administrative Agent has received the applicable Financials (it being understood and agreed that each change in Leverage Level shall apply during the period commencing on the effective date of such change and ending on the date immediately preceding the effective date of the next such change).</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Notwithstanding anything to the contrary set forth in this definition, Leverage Level 2 shall be deemed to be applicable until the Administrative Agent’s receipt of the applicable financial statements for the Parent Guarantor’s first full fiscal quarter ending after the Document Closing Date and adjustments to the Leverage Level then in effect shall thereafter be effected in accordance with the terms of this definition.</w:t>
      </w:r>
    </w:p>
    <w:p>
      <w:pPr>
        <w:spacing w:after="0" w:line="164" w:lineRule="exact"/>
        <w:rPr>
          <w:sz w:val="20"/>
          <w:szCs w:val="20"/>
          <w:color w:val="auto"/>
        </w:rPr>
      </w:pPr>
    </w:p>
    <w:tbl>
      <w:tblPr>
        <w:tblLayout w:type="fixed"/>
        <w:tblInd w:w="2600" w:type="dxa"/>
        <w:tblCellMar>
          <w:top w:w="0" w:type="dxa"/>
          <w:left w:w="0" w:type="dxa"/>
          <w:bottom w:w="0" w:type="dxa"/>
          <w:right w:w="0" w:type="dxa"/>
        </w:tblCellMar>
      </w:tblPr>
      <w:tr>
        <w:trPr>
          <w:trHeight w:val="207"/>
        </w:trPr>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Ratings Level Determination</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RATINGS LEVEL</w:t>
            </w:r>
          </w:p>
        </w:tc>
        <w:tc>
          <w:tcPr>
            <w:tcW w:w="3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INDEX DEBT RATING</w:t>
            </w: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3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(S&amp;P/MOODY’S)</w:t>
            </w:r>
          </w:p>
        </w:tc>
        <w:tc>
          <w:tcPr>
            <w:tcW w:w="0" w:type="dxa"/>
            <w:vAlign w:val="bottom"/>
          </w:tcPr>
          <w:p>
            <w:pPr>
              <w:spacing w:after="0"/>
              <w:rPr>
                <w:sz w:val="1"/>
                <w:szCs w:val="1"/>
                <w:color w:val="auto"/>
              </w:rPr>
            </w:pPr>
          </w:p>
        </w:tc>
      </w:tr>
      <w:tr>
        <w:trPr>
          <w:trHeight w:val="210"/>
        </w:trPr>
        <w:tc>
          <w:tcPr>
            <w:tcW w:w="18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A.</w:t>
            </w:r>
          </w:p>
        </w:tc>
        <w:tc>
          <w:tcPr>
            <w:tcW w:w="18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4"/>
              </w:rPr>
              <w:t>BBB+/Baa1 or higher</w:t>
            </w:r>
          </w:p>
        </w:tc>
        <w:tc>
          <w:tcPr>
            <w:tcW w:w="0" w:type="dxa"/>
            <w:vAlign w:val="bottom"/>
          </w:tcPr>
          <w:p>
            <w:pPr>
              <w:spacing w:after="0"/>
              <w:rPr>
                <w:sz w:val="1"/>
                <w:szCs w:val="1"/>
                <w:color w:val="auto"/>
              </w:rPr>
            </w:pPr>
          </w:p>
        </w:tc>
      </w:tr>
      <w:tr>
        <w:trPr>
          <w:trHeight w:val="216"/>
        </w:trPr>
        <w:tc>
          <w:tcPr>
            <w:tcW w:w="2000" w:type="dxa"/>
            <w:vAlign w:val="bottom"/>
            <w:gridSpan w:val="2"/>
          </w:tcPr>
          <w:p>
            <w:pPr>
              <w:ind w:left="820"/>
              <w:spacing w:after="0"/>
              <w:rPr>
                <w:sz w:val="20"/>
                <w:szCs w:val="20"/>
                <w:color w:val="auto"/>
              </w:rPr>
            </w:pPr>
            <w:r>
              <w:rPr>
                <w:rFonts w:ascii="Arial" w:cs="Arial" w:eastAsia="Arial" w:hAnsi="Arial"/>
                <w:sz w:val="18"/>
                <w:szCs w:val="18"/>
                <w:color w:val="auto"/>
              </w:rPr>
              <w:t>B.</w:t>
            </w:r>
          </w:p>
        </w:tc>
        <w:tc>
          <w:tcPr>
            <w:tcW w:w="3240" w:type="dxa"/>
            <w:vAlign w:val="bottom"/>
            <w:gridSpan w:val="2"/>
          </w:tcPr>
          <w:p>
            <w:pPr>
              <w:jc w:val="center"/>
              <w:spacing w:after="0"/>
              <w:rPr>
                <w:sz w:val="20"/>
                <w:szCs w:val="20"/>
                <w:color w:val="auto"/>
              </w:rPr>
            </w:pPr>
            <w:r>
              <w:rPr>
                <w:rFonts w:ascii="Arial" w:cs="Arial" w:eastAsia="Arial" w:hAnsi="Arial"/>
                <w:sz w:val="18"/>
                <w:szCs w:val="18"/>
                <w:color w:val="auto"/>
                <w:w w:val="93"/>
              </w:rPr>
              <w:t>BBB/Baa2</w:t>
            </w: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C.</w:t>
            </w:r>
          </w:p>
        </w:tc>
        <w:tc>
          <w:tcPr>
            <w:tcW w:w="3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BBB-/Baa3</w:t>
            </w:r>
          </w:p>
        </w:tc>
        <w:tc>
          <w:tcPr>
            <w:tcW w:w="0" w:type="dxa"/>
            <w:vAlign w:val="bottom"/>
          </w:tcPr>
          <w:p>
            <w:pPr>
              <w:spacing w:after="0"/>
              <w:rPr>
                <w:sz w:val="1"/>
                <w:szCs w:val="1"/>
                <w:color w:val="auto"/>
              </w:rPr>
            </w:pPr>
          </w:p>
        </w:tc>
      </w:tr>
      <w:tr>
        <w:trPr>
          <w:trHeight w:val="230"/>
        </w:trPr>
        <w:tc>
          <w:tcPr>
            <w:tcW w:w="2000" w:type="dxa"/>
            <w:vAlign w:val="bottom"/>
            <w:gridSpan w:val="2"/>
          </w:tcPr>
          <w:p>
            <w:pPr>
              <w:ind w:left="820"/>
              <w:spacing w:after="0"/>
              <w:rPr>
                <w:sz w:val="20"/>
                <w:szCs w:val="20"/>
                <w:color w:val="auto"/>
              </w:rPr>
            </w:pPr>
            <w:r>
              <w:rPr>
                <w:rFonts w:ascii="Arial" w:cs="Arial" w:eastAsia="Arial" w:hAnsi="Arial"/>
                <w:sz w:val="18"/>
                <w:szCs w:val="18"/>
                <w:color w:val="auto"/>
              </w:rPr>
              <w:t>D.</w:t>
            </w:r>
          </w:p>
        </w:tc>
        <w:tc>
          <w:tcPr>
            <w:tcW w:w="3240" w:type="dxa"/>
            <w:vAlign w:val="bottom"/>
            <w:gridSpan w:val="2"/>
          </w:tcPr>
          <w:p>
            <w:pPr>
              <w:jc w:val="center"/>
              <w:spacing w:after="0"/>
              <w:rPr>
                <w:sz w:val="20"/>
                <w:szCs w:val="20"/>
                <w:color w:val="auto"/>
              </w:rPr>
            </w:pPr>
            <w:r>
              <w:rPr>
                <w:rFonts w:ascii="Arial" w:cs="Arial" w:eastAsia="Arial" w:hAnsi="Arial"/>
                <w:sz w:val="18"/>
                <w:szCs w:val="18"/>
                <w:color w:val="auto"/>
                <w:w w:val="93"/>
              </w:rPr>
              <w:t>BB+/Ba1 or lower</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purposes of the foregoing, (i) if neither Moody’s nor S&amp;P shall have in effect a rating for the Index Debt (other than by reason of the circumstances referred to in the last sentence of this definition), then such rating agency shall be deemed to have established a Ratings Level in Level D; (ii) if the ratings established or deemed to have been established by Moody’s and S&amp;P for the Index Debt shall fall within different Ratings Levels, the Ratings Level shall be based on the higher of the two ratings unless one of the two ratings is two or more Ratings Levels lower than the other, in which case the Ratings Level shall be determined by reference to the Ratings Level next below that of the higher of the two ratings; (iii) if only one of S&amp;P and Moody’s shall have in effect a rating for the Index Debt, the Ratings Level shall be determined by reference to the available rating; and (iv) if the ratings established or deemed to have been established by Moody’s and S&amp;P for the Index Debt shall be changed (other than as a result of a change in the rating system of Moody’s or S&amp;P), such change shall be effective as of the date on which it is first announced by the applicable rating agency, irrespective of when notice of such change shall have been furnished by the Parent Guarantor to the Administrative Agent pursuant to Section 8(a)(v) of the Guaranty or otherwise. Each change in the Ratings Level shall apply during the period commencing on the effective date of such change and ending on the date immediately preceding the effective date of the next such change. If the rating system of Moody’s or S&amp;P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191770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shall change, or if either such rating agency shall cease to be in the business of rating corporate debt obligations, the Lessee and the Participants shall negotiate in good faith to amend this definition to reflect such changed rating system or the unavailability of ratings from such rating agency and, pending the effectiveness of any such amendment, the Ratings Level shall be determined by reference to the rating most recently in effect prior to such change or cessation.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“Appraisal” </w:t>
      </w:r>
      <w:r>
        <w:rPr>
          <w:rFonts w:ascii="Arial" w:cs="Arial" w:eastAsia="Arial" w:hAnsi="Arial"/>
          <w:sz w:val="18"/>
          <w:szCs w:val="18"/>
          <w:color w:val="auto"/>
        </w:rPr>
        <w:t>is defined in Section 6.1(v) of the Participation Agreement.</w:t>
      </w:r>
    </w:p>
    <w:p>
      <w:pPr>
        <w:spacing w:after="0" w:line="22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i w:val="1"/>
          <w:iCs w:val="1"/>
          <w:color w:val="auto"/>
        </w:rPr>
        <w:t xml:space="preserve">“Appraiser” </w:t>
      </w:r>
      <w:r>
        <w:rPr>
          <w:rFonts w:ascii="Arial" w:cs="Arial" w:eastAsia="Arial" w:hAnsi="Arial"/>
          <w:sz w:val="17"/>
          <w:szCs w:val="17"/>
          <w:color w:val="auto"/>
        </w:rPr>
        <w:t>means National Property Valuation Advisors, Inc., or any third party appraiser appointed as a successor thereto by the Lessor, which</w:t>
      </w:r>
      <w:r>
        <w:rPr>
          <w:rFonts w:ascii="Arial" w:cs="Arial" w:eastAsia="Arial" w:hAnsi="Arial"/>
          <w:sz w:val="17"/>
          <w:szCs w:val="17"/>
          <w:i w:val="1"/>
          <w:iCs w:val="1"/>
          <w:color w:val="auto"/>
        </w:rPr>
        <w:t xml:space="preserve"> </w:t>
      </w:r>
      <w:r>
        <w:rPr>
          <w:rFonts w:ascii="Arial" w:cs="Arial" w:eastAsia="Arial" w:hAnsi="Arial"/>
          <w:sz w:val="17"/>
          <w:szCs w:val="17"/>
          <w:color w:val="auto"/>
        </w:rPr>
        <w:t>successor shall be a Designated Member of the Appraisal Institute and shall carry the “MAI” designation from the Appraisal Institute.</w:t>
      </w:r>
    </w:p>
    <w:p>
      <w:pPr>
        <w:sectPr>
          <w:pgSz w:w="11900" w:h="16838" w:orient="portrait"/>
          <w:cols w:equalWidth="0" w:num="1">
            <w:col w:w="11380"/>
          </w:cols>
          <w:pgMar w:left="240" w:top="118" w:right="279" w:bottom="34" w:gutter="0" w:footer="0" w:header="0"/>
        </w:sectPr>
      </w:pPr>
    </w:p>
    <w:bookmarkStart w:id="37" w:name="page38"/>
    <w:bookmarkEnd w:id="37"/>
    <w:p>
      <w:pPr>
        <w:spacing w:after="0" w:line="8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i w:val="1"/>
          <w:iCs w:val="1"/>
          <w:color w:val="auto"/>
        </w:rPr>
        <w:t xml:space="preserve">“Appurtenant Rights” </w:t>
      </w:r>
      <w:r>
        <w:rPr>
          <w:rFonts w:ascii="Arial" w:cs="Arial" w:eastAsia="Arial" w:hAnsi="Arial"/>
          <w:sz w:val="17"/>
          <w:szCs w:val="17"/>
          <w:color w:val="auto"/>
        </w:rPr>
        <w:t>means, with respect to the Site, (i) all agreements, easements, rights of way or use, rights of ingress or egress, privileges,</w:t>
      </w:r>
      <w:r>
        <w:rPr>
          <w:rFonts w:ascii="Arial" w:cs="Arial" w:eastAsia="Arial" w:hAnsi="Arial"/>
          <w:sz w:val="17"/>
          <w:szCs w:val="17"/>
          <w:i w:val="1"/>
          <w:iCs w:val="1"/>
          <w:color w:val="auto"/>
        </w:rPr>
        <w:t xml:space="preserve"> </w:t>
      </w:r>
      <w:r>
        <w:rPr>
          <w:rFonts w:ascii="Arial" w:cs="Arial" w:eastAsia="Arial" w:hAnsi="Arial"/>
          <w:sz w:val="17"/>
          <w:szCs w:val="17"/>
          <w:color w:val="auto"/>
        </w:rPr>
        <w:t>appurtenances, tenements, and other rights and benefits at any time belonging or pertaining to the Site or the Improvements thereon, including, without limitation, the use of any streets, ways, alleys, vaults or strips of land adjoining, abutting, adjacent or contiguous to the Site and (ii) all permits, licenses and rights, whether or not of record, appurtenant to the Site, but in any such case, excluding any Excluded Property.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“Arranger</w:t>
      </w:r>
      <w:r>
        <w:rPr>
          <w:rFonts w:ascii="Arial" w:cs="Arial" w:eastAsia="Arial" w:hAnsi="Arial"/>
          <w:sz w:val="18"/>
          <w:szCs w:val="18"/>
          <w:color w:val="auto"/>
        </w:rPr>
        <w:t>” means BALC, in its capacity as such.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Arranger Fee</w:t>
      </w:r>
      <w:r>
        <w:rPr>
          <w:rFonts w:ascii="Arial" w:cs="Arial" w:eastAsia="Arial" w:hAnsi="Arial"/>
          <w:sz w:val="16"/>
          <w:szCs w:val="16"/>
          <w:color w:val="auto"/>
        </w:rPr>
        <w:t>” means the “Arrangement Fee” (as defined in the Arranger Fee Letter) payable to the Arranger pursuant to the Arranger Fee Letter.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Arranger Fee Letter</w:t>
      </w:r>
      <w:r>
        <w:rPr>
          <w:rFonts w:ascii="Arial" w:cs="Arial" w:eastAsia="Arial" w:hAnsi="Arial"/>
          <w:sz w:val="18"/>
          <w:szCs w:val="18"/>
          <w:color w:val="auto"/>
        </w:rPr>
        <w:t>” means that certain Engagement Letter between the Arranger and Parent Guarantor dated December 29, 2016.</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Assignment Agreement</w:t>
      </w:r>
      <w:r>
        <w:rPr>
          <w:rFonts w:ascii="Arial" w:cs="Arial" w:eastAsia="Arial" w:hAnsi="Arial"/>
          <w:sz w:val="17"/>
          <w:szCs w:val="17"/>
          <w:color w:val="auto"/>
        </w:rPr>
        <w:t xml:space="preserve">” means an assignment and assumption agreement entered into by a Participant and an assignee or transferee (with the consent </w:t>
      </w:r>
      <w:r>
        <w:rPr>
          <w:rFonts w:ascii="Arial" w:cs="Arial" w:eastAsia="Arial" w:hAnsi="Arial"/>
          <w:sz w:val="17"/>
          <w:szCs w:val="17"/>
          <w:i w:val="1"/>
          <w:iCs w:val="1"/>
          <w:color w:val="auto"/>
        </w:rPr>
        <w:t>of</w:t>
      </w:r>
      <w:r>
        <w:rPr>
          <w:rFonts w:ascii="Arial" w:cs="Arial" w:eastAsia="Arial" w:hAnsi="Arial"/>
          <w:sz w:val="17"/>
          <w:szCs w:val="17"/>
          <w:color w:val="auto"/>
        </w:rPr>
        <w:t xml:space="preserve"> any party whose consent is required by Section 12.1 of the Participation Agreement), and accepted by the Administrative Agent, substantially in the form of Exhibit E to the Participation Agreement or any other form approved by the Administrative Agent and the Lessee.</w:t>
      </w:r>
    </w:p>
    <w:p>
      <w:pPr>
        <w:spacing w:after="0" w:line="166" w:lineRule="exact"/>
        <w:rPr>
          <w:sz w:val="20"/>
          <w:szCs w:val="20"/>
          <w:color w:val="auto"/>
        </w:rPr>
      </w:pPr>
    </w:p>
    <w:p>
      <w:pPr>
        <w:ind w:right="40"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Assignment of Leases</w:t>
      </w:r>
      <w:r>
        <w:rPr>
          <w:rFonts w:ascii="Arial" w:cs="Arial" w:eastAsia="Arial" w:hAnsi="Arial"/>
          <w:sz w:val="17"/>
          <w:szCs w:val="17"/>
          <w:color w:val="auto"/>
        </w:rPr>
        <w:t>” means that certain Amended, Restated and Consolidated Mortgage, Assignment of Leases and Security Agreement, dated as of</w:t>
      </w:r>
      <w:r>
        <w:rPr>
          <w:rFonts w:ascii="Arial" w:cs="Arial" w:eastAsia="Arial" w:hAnsi="Arial"/>
          <w:sz w:val="18"/>
          <w:szCs w:val="18"/>
          <w:color w:val="auto"/>
        </w:rPr>
        <w:t xml:space="preserve"> </w:t>
      </w:r>
      <w:r>
        <w:rPr>
          <w:rFonts w:ascii="Arial" w:cs="Arial" w:eastAsia="Arial" w:hAnsi="Arial"/>
          <w:sz w:val="17"/>
          <w:szCs w:val="17"/>
          <w:color w:val="auto"/>
        </w:rPr>
        <w:t>March 3, 2017, by Lessor and Lessee in favor of Administrative Agent for the benefit of the Lenders.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Assignment of Purchase Agreement”</w:t>
      </w:r>
      <w:r>
        <w:rPr>
          <w:rFonts w:ascii="Arial" w:cs="Arial" w:eastAsia="Arial" w:hAnsi="Arial"/>
          <w:sz w:val="16"/>
          <w:szCs w:val="16"/>
          <w:color w:val="auto"/>
        </w:rPr>
        <w:t xml:space="preserve"> means that certain Assignment of Right to Receive Deed, dated as of March 3, 2017, between Lessee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Lessor.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“BALC” </w:t>
      </w:r>
      <w:r>
        <w:rPr>
          <w:rFonts w:ascii="Arial" w:cs="Arial" w:eastAsia="Arial" w:hAnsi="Arial"/>
          <w:sz w:val="18"/>
          <w:szCs w:val="18"/>
          <w:color w:val="auto"/>
        </w:rPr>
        <w:t>means Banc of America Leasing &amp; Capital, LLC.</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 Credit Agreement</w:t>
      </w:r>
      <w:r>
        <w:rPr>
          <w:rFonts w:ascii="Arial" w:cs="Arial" w:eastAsia="Arial" w:hAnsi="Arial"/>
          <w:sz w:val="18"/>
          <w:szCs w:val="18"/>
          <w:color w:val="auto"/>
        </w:rPr>
        <w:t>” means that certain Credit Agreement, dated as of March 19, 2015, among Regeneron Pharmaceuticals, Inc., the Subsidiary Borrowers (as such term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defined therein) party thereto from time to time, the lenders party thereto from time to time, JPMorgan Chase Bank, N.A., as administrative agent, and Bank of America, N.A. and U.S. Bank National Association, as co-syndication agents, as the same may be amended, restated, modified, supplemented, extended or replaced.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 Credit Agreement Effective Date</w:t>
      </w:r>
      <w:r>
        <w:rPr>
          <w:rFonts w:ascii="Arial" w:cs="Arial" w:eastAsia="Arial" w:hAnsi="Arial"/>
          <w:sz w:val="18"/>
          <w:szCs w:val="18"/>
          <w:color w:val="auto"/>
        </w:rPr>
        <w:t>” means March 19, 2015.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Bank Credit Agreement Specified Loan Party</w:t>
      </w:r>
      <w:r>
        <w:rPr>
          <w:rFonts w:ascii="Arial" w:cs="Arial" w:eastAsia="Arial" w:hAnsi="Arial"/>
          <w:sz w:val="16"/>
          <w:szCs w:val="16"/>
          <w:color w:val="auto"/>
        </w:rPr>
        <w:t>” means any borrower or guarantor under the Bank Credit Agreement that is (a) a Foreign Subsidiary,</w:t>
      </w:r>
    </w:p>
    <w:p>
      <w:pPr>
        <w:spacing w:after="0" w:line="46" w:lineRule="exact"/>
        <w:rPr>
          <w:sz w:val="20"/>
          <w:szCs w:val="20"/>
          <w:color w:val="auto"/>
        </w:rPr>
      </w:pPr>
    </w:p>
    <w:p>
      <w:pPr>
        <w:ind w:left="660" w:right="1420" w:hanging="652"/>
        <w:spacing w:after="0" w:line="521" w:lineRule="auto"/>
        <w:tabs>
          <w:tab w:leader="none" w:pos="267"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a Domestic Foreign Holdco Subsidiary or (c) a Domestic Subsidiary whose Equity Interests are owned directly or indirectly by a CFC. </w:t>
      </w:r>
      <w:r>
        <w:rPr>
          <w:rFonts w:ascii="Arial" w:cs="Arial" w:eastAsia="Arial" w:hAnsi="Arial"/>
          <w:sz w:val="17"/>
          <w:szCs w:val="17"/>
          <w:i w:val="1"/>
          <w:iCs w:val="1"/>
          <w:color w:val="auto"/>
        </w:rPr>
        <w:t xml:space="preserve">“Bankruptcy Code” </w:t>
      </w:r>
      <w:r>
        <w:rPr>
          <w:rFonts w:ascii="Arial" w:cs="Arial" w:eastAsia="Arial" w:hAnsi="Arial"/>
          <w:sz w:val="17"/>
          <w:szCs w:val="17"/>
          <w:color w:val="auto"/>
        </w:rPr>
        <w:t>means the Bankruptcy Code in Title 11 of the United States Code, as amended.</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i w:val="1"/>
          <w:iCs w:val="1"/>
          <w:color w:val="auto"/>
        </w:rPr>
        <w:t xml:space="preserve">“Base Term” </w:t>
      </w:r>
      <w:r>
        <w:rPr>
          <w:rFonts w:ascii="Arial" w:cs="Arial" w:eastAsia="Arial" w:hAnsi="Arial"/>
          <w:sz w:val="18"/>
          <w:szCs w:val="18"/>
          <w:color w:val="auto"/>
        </w:rPr>
        <w:t>is defined in Section 2.3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“Base Term Commencement Date” </w:t>
      </w:r>
      <w:r>
        <w:rPr>
          <w:rFonts w:ascii="Arial" w:cs="Arial" w:eastAsia="Arial" w:hAnsi="Arial"/>
          <w:sz w:val="18"/>
          <w:szCs w:val="18"/>
          <w:color w:val="auto"/>
        </w:rPr>
        <w:t>means the Document Closing Date.</w:t>
      </w:r>
    </w:p>
    <w:p>
      <w:pPr>
        <w:spacing w:after="0" w:line="225"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i w:val="1"/>
          <w:iCs w:val="1"/>
          <w:color w:val="auto"/>
        </w:rPr>
        <w:t xml:space="preserve">“Basic Rent” </w:t>
      </w:r>
      <w:r>
        <w:rPr>
          <w:rFonts w:ascii="Arial" w:cs="Arial" w:eastAsia="Arial" w:hAnsi="Arial"/>
          <w:sz w:val="17"/>
          <w:szCs w:val="17"/>
          <w:color w:val="auto"/>
        </w:rPr>
        <w:t>means, for any Payment Date on which Basic Rent is due, an amount equal to the sum of the aggregate amount of Interest and Yield</w:t>
      </w:r>
      <w:r>
        <w:rPr>
          <w:rFonts w:ascii="Arial" w:cs="Arial" w:eastAsia="Arial" w:hAnsi="Arial"/>
          <w:sz w:val="17"/>
          <w:szCs w:val="17"/>
          <w:i w:val="1"/>
          <w:iCs w:val="1"/>
          <w:color w:val="auto"/>
        </w:rPr>
        <w:t xml:space="preserve"> </w:t>
      </w:r>
      <w:r>
        <w:rPr>
          <w:rFonts w:ascii="Arial" w:cs="Arial" w:eastAsia="Arial" w:hAnsi="Arial"/>
          <w:sz w:val="17"/>
          <w:szCs w:val="17"/>
          <w:color w:val="auto"/>
        </w:rPr>
        <w:t>payable under the Operative Documents on such date on the Notes and the Lessor Amount in respect of the applicable Interest Period.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“Basic Rent Adjustment” </w:t>
      </w:r>
      <w:r>
        <w:rPr>
          <w:rFonts w:ascii="Arial" w:cs="Arial" w:eastAsia="Arial" w:hAnsi="Arial"/>
          <w:sz w:val="18"/>
          <w:szCs w:val="18"/>
          <w:color w:val="auto"/>
        </w:rPr>
        <w:t>is defined in Section 3.1(c)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“Beneficiary” </w:t>
      </w:r>
      <w:r>
        <w:rPr>
          <w:rFonts w:ascii="Arial" w:cs="Arial" w:eastAsia="Arial" w:hAnsi="Arial"/>
          <w:sz w:val="18"/>
          <w:szCs w:val="18"/>
          <w:color w:val="auto"/>
        </w:rPr>
        <w:t>and</w:t>
      </w:r>
      <w:r>
        <w:rPr>
          <w:rFonts w:ascii="Arial" w:cs="Arial" w:eastAsia="Arial" w:hAnsi="Arial"/>
          <w:sz w:val="18"/>
          <w:szCs w:val="18"/>
          <w:i w:val="1"/>
          <w:iCs w:val="1"/>
          <w:color w:val="auto"/>
        </w:rPr>
        <w:t xml:space="preserve"> “Beneficiaries” </w:t>
      </w:r>
      <w:r>
        <w:rPr>
          <w:rFonts w:ascii="Arial" w:cs="Arial" w:eastAsia="Arial" w:hAnsi="Arial"/>
          <w:sz w:val="18"/>
          <w:szCs w:val="18"/>
          <w:color w:val="auto"/>
        </w:rPr>
        <w:t>is defined in Section 1 of the Guaranty.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“Benefitted Lender” </w:t>
      </w:r>
      <w:r>
        <w:rPr>
          <w:rFonts w:ascii="Arial" w:cs="Arial" w:eastAsia="Arial" w:hAnsi="Arial"/>
          <w:sz w:val="18"/>
          <w:szCs w:val="18"/>
          <w:color w:val="auto"/>
        </w:rPr>
        <w:t>is defined in Section 8.6 of the 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“Borrower” </w:t>
      </w:r>
      <w:r>
        <w:rPr>
          <w:rFonts w:ascii="Arial" w:cs="Arial" w:eastAsia="Arial" w:hAnsi="Arial"/>
          <w:sz w:val="18"/>
          <w:szCs w:val="18"/>
          <w:color w:val="auto"/>
        </w:rPr>
        <w:t>means Lessor, in its capacity as borrower under the Loan Agreement.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“Break Costs” </w:t>
      </w:r>
      <w:r>
        <w:rPr>
          <w:rFonts w:ascii="Arial" w:cs="Arial" w:eastAsia="Arial" w:hAnsi="Arial"/>
          <w:sz w:val="18"/>
          <w:szCs w:val="18"/>
          <w:color w:val="auto"/>
        </w:rPr>
        <w:t>means an amount equal to the amount, if any, required to compensate Lessor or any Lender for any additional losses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limitation, any loss, cost or expense incurred by reason of the liquidation or reemployment of deposits or funds acquired by Lessor or any Lender to fund its obligations under the Operative Documents, but excluding loss of anticipated profits) it may reasonably incur as a result of (w) the exercise by Lessor of the purchase option set forth in Section 2.10 of the Loan Agreement, (x) the Lessee’s payment of Basic Rent other than on a Payment Date, or (y) any conversion of the LIBO Rate during an Interest Period pursuant to and in accordance with the Operative Documents. A statement as to the amount of such loss, cost or expense, prepared in good faith and in reasonable detail and submitted by Lessor or any Lender, as the case may be, to the Lessee, shall be presumed correct absent demonstrable error.</w:t>
      </w:r>
    </w:p>
    <w:p>
      <w:pPr>
        <w:spacing w:after="0" w:line="18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(i) each Monday, Tuesday, Wednesday, Thursday and Friday which is not a day on which banks in New York, New York are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authorized or obligated, by law or executive order, to close and (ii) relative to any determination of the LIBO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Rate, any day which is a Business Day under clause (i) and is also a day on which dealings in Dollars are carried on in the London interbank Eurodollar market.</w:t>
      </w:r>
    </w:p>
    <w:p>
      <w:pPr>
        <w:spacing w:after="0" w:line="170"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i w:val="1"/>
          <w:iCs w:val="1"/>
          <w:color w:val="auto"/>
        </w:rPr>
        <w:t xml:space="preserve">“Capital Lease Obligations” </w:t>
      </w:r>
      <w:r>
        <w:rPr>
          <w:rFonts w:ascii="Arial" w:cs="Arial" w:eastAsia="Arial" w:hAnsi="Arial"/>
          <w:sz w:val="17"/>
          <w:szCs w:val="17"/>
          <w:color w:val="auto"/>
        </w:rPr>
        <w:t>of any Person means the obligations of such Person to pay rent or other amounts under any lease of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conveying the right to use) real or personal property, or a combination thereof, which obligations are required to be classified and accounted for as capital lease obligations on a balance sheet of such Person under GAAP, and the amount of such obligations shall be the capitalized amount thereof determined in accordance with GAAP. The foregoing is subject to clause (b) of this Appendix 1 to the Participation Agreement.</w:t>
      </w:r>
    </w:p>
    <w:p>
      <w:pPr>
        <w:sectPr>
          <w:pgSz w:w="11900" w:h="16928" w:orient="portrait"/>
          <w:cols w:equalWidth="0" w:num="1">
            <w:col w:w="11380"/>
          </w:cols>
          <w:pgMar w:left="240" w:top="125" w:right="279" w:bottom="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i w:val="1"/>
          <w:iCs w:val="1"/>
          <w:color w:val="auto"/>
        </w:rPr>
        <w:t xml:space="preserve">“Casualty” </w:t>
      </w:r>
      <w:r>
        <w:rPr>
          <w:rFonts w:ascii="Arial" w:cs="Arial" w:eastAsia="Arial" w:hAnsi="Arial"/>
          <w:sz w:val="18"/>
          <w:szCs w:val="18"/>
          <w:color w:val="auto"/>
        </w:rPr>
        <w:t>means an event of damage or casualty relating to any portion of the Leased Property.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“CFC” </w:t>
      </w:r>
      <w:r>
        <w:rPr>
          <w:rFonts w:ascii="Arial" w:cs="Arial" w:eastAsia="Arial" w:hAnsi="Arial"/>
          <w:sz w:val="18"/>
          <w:szCs w:val="18"/>
          <w:color w:val="auto"/>
        </w:rPr>
        <w:t>means a Person that is a “controlled foreign corporation” within the meaning of section 957 of the Code.</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“CFC Debt” </w:t>
      </w:r>
      <w:r>
        <w:rPr>
          <w:rFonts w:ascii="Arial" w:cs="Arial" w:eastAsia="Arial" w:hAnsi="Arial"/>
          <w:sz w:val="18"/>
          <w:szCs w:val="18"/>
          <w:color w:val="auto"/>
        </w:rPr>
        <w:t>means, with respect to any Person, any Indebtedness or accounts receivable that is owed, or treated as owed for United States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purposes, by any CFC to such Person.</w:t>
      </w:r>
    </w:p>
    <w:p>
      <w:pPr>
        <w:spacing w:after="0" w:line="170" w:lineRule="exact"/>
        <w:rPr>
          <w:sz w:val="20"/>
          <w:szCs w:val="20"/>
          <w:color w:val="auto"/>
        </w:rPr>
      </w:pPr>
    </w:p>
    <w:p>
      <w:pPr>
        <w:ind w:right="200" w:firstLine="648"/>
        <w:spacing w:after="0" w:line="288"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means (a) the acquisition of ownership, directly or indirectly, beneficially or of record, by any Person or “group” (within the</w:t>
      </w:r>
      <w:r>
        <w:rPr>
          <w:rFonts w:ascii="Arial" w:cs="Arial" w:eastAsia="Arial" w:hAnsi="Arial"/>
          <w:sz w:val="16"/>
          <w:szCs w:val="16"/>
          <w:i w:val="1"/>
          <w:iCs w:val="1"/>
          <w:color w:val="auto"/>
        </w:rPr>
        <w:t xml:space="preserve"> </w:t>
      </w:r>
      <w:r>
        <w:rPr>
          <w:rFonts w:ascii="Arial" w:cs="Arial" w:eastAsia="Arial" w:hAnsi="Arial"/>
          <w:sz w:val="16"/>
          <w:szCs w:val="16"/>
          <w:color w:val="auto"/>
        </w:rPr>
        <w:t>meaning of the Securities Exchange Act of 1934 and the rules of the SEC thereunder, each as in effect on the Document Closing Date) of Equity Interests representing more than 50% of the aggregate ordinary voting power represented by the issued and outstanding Equity Interests of the Parent Guarantor;</w:t>
      </w:r>
    </w:p>
    <w:p>
      <w:pPr>
        <w:ind w:right="40" w:firstLine="8"/>
        <w:spacing w:after="0" w:line="281" w:lineRule="auto"/>
        <w:tabs>
          <w:tab w:leader="none" w:pos="255" w:val="left"/>
        </w:tabs>
        <w:numPr>
          <w:ilvl w:val="0"/>
          <w:numId w:val="93"/>
        </w:numPr>
        <w:rPr>
          <w:rFonts w:ascii="Arial" w:cs="Arial" w:eastAsia="Arial" w:hAnsi="Arial"/>
          <w:sz w:val="16"/>
          <w:szCs w:val="16"/>
          <w:color w:val="auto"/>
        </w:rPr>
      </w:pPr>
      <w:r>
        <w:rPr>
          <w:rFonts w:ascii="Arial" w:cs="Arial" w:eastAsia="Arial" w:hAnsi="Arial"/>
          <w:sz w:val="16"/>
          <w:szCs w:val="16"/>
          <w:color w:val="auto"/>
        </w:rPr>
        <w:t>within any period of 24 consecutive months, occupation of a majority of the seats (other than vacant seats) on the board of directors of the Parent Guarantor other than by individuals who were (i) directors at the beginning of such period, (ii) nominated by the board of directors of the Parent Guarantor or</w:t>
      </w:r>
    </w:p>
    <w:p>
      <w:pPr>
        <w:spacing w:after="0" w:line="1" w:lineRule="exact"/>
        <w:rPr>
          <w:rFonts w:ascii="Arial" w:cs="Arial" w:eastAsia="Arial" w:hAnsi="Arial"/>
          <w:sz w:val="16"/>
          <w:szCs w:val="16"/>
          <w:color w:val="auto"/>
        </w:rPr>
      </w:pPr>
    </w:p>
    <w:p>
      <w:pPr>
        <w:ind w:firstLine="8"/>
        <w:spacing w:after="0" w:line="281" w:lineRule="auto"/>
        <w:tabs>
          <w:tab w:leader="none" w:pos="315" w:val="left"/>
        </w:tabs>
        <w:numPr>
          <w:ilvl w:val="0"/>
          <w:numId w:val="94"/>
        </w:numPr>
        <w:rPr>
          <w:rFonts w:ascii="Arial" w:cs="Arial" w:eastAsia="Arial" w:hAnsi="Arial"/>
          <w:sz w:val="16"/>
          <w:szCs w:val="16"/>
          <w:color w:val="auto"/>
        </w:rPr>
      </w:pPr>
      <w:r>
        <w:rPr>
          <w:rFonts w:ascii="Arial" w:cs="Arial" w:eastAsia="Arial" w:hAnsi="Arial"/>
          <w:sz w:val="16"/>
          <w:szCs w:val="16"/>
          <w:color w:val="auto"/>
        </w:rPr>
        <w:t>appointed (or, in the case of a vacancy, elected) by directors so nominated, in each case which nomination or appointment (or, in the case of a vacancy, election) to such board of directors was made by individuals referred to in the foregoing clauses (i), (ii) or (iii) constituting at the time of such nomination or appointment (or, in the case of a vacancy, election) at least a majority of such board; (c) the occurrence of a change in control, or other similar provision, as defined in any agreement or instrument evidencing any Material Indebtedness, that has triggered a default under or mandatory prepayment of such Material Indebtedness, which default or mandatory prepayment has not been waived in writing; (d) the Parent Guarantor ceases to (1) Control, directly or indirectly, Lessee or (2) own, directly or indirectly, 100% (other than (x) directors’ qualifying shares; (y) shares issued to foreign nationals to the extent required by applicable law; and (z) shares held by a Person on trust for, or otherwise where the beneficial interest is held by, the Parent Guarantor (directly or indirectly)) of the ordinary voting and economic interests in Lessee’s issued and outstanding Equity Interests; or (e) the Parent Guarantor ceases to (1) Control, directly or indirectly, any Subsidiary Guarantor that is also a borrower under the Bank Credit Agreement or (2) own, directly or indirectly, 100% (other than</w:t>
      </w:r>
    </w:p>
    <w:p>
      <w:pPr>
        <w:spacing w:after="0" w:line="6" w:lineRule="exact"/>
        <w:rPr>
          <w:rFonts w:ascii="Arial" w:cs="Arial" w:eastAsia="Arial" w:hAnsi="Arial"/>
          <w:sz w:val="16"/>
          <w:szCs w:val="16"/>
          <w:color w:val="auto"/>
        </w:rPr>
      </w:pPr>
    </w:p>
    <w:p>
      <w:pPr>
        <w:ind w:right="120" w:firstLine="8"/>
        <w:spacing w:after="0" w:line="261" w:lineRule="auto"/>
        <w:tabs>
          <w:tab w:leader="none" w:pos="2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directors’ qualifying shares; (y) shares issued to foreign nationals to the extent required by applicable law; and (z) shares held by a Person on trust for, or otherwise where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beneficial interest is held by, the Parent Guarantor (directly or indirectly)) of the ordinary voting and economic interests in the issued and outstanding Equity Interests of any Subsidiary Guarantor that is also a borrower under the Bank Credit Agreement, in any such case of this subclause (e), unless (i) a notice of termination of such Subsidiary Guarantor as a borrower under the Bank Credit Agreement (x) has become effective with respect to such Subsidiary Guarantor in accordance with the Bank Credit Agreement, or (y) will become effective with respect to such Subsidiary Guarantor substantially concurrently with any transaction permitted by the Operative Documents pursuant to which such Subsidiary Guarantor ceases to be a wholly-owned Subsidiary of the Parent Guarantor or (ii) such event under this subclause (e) does not constitute or has been waived as a “change in control” under the Bank Credit Agreement.</w:t>
      </w:r>
    </w:p>
    <w:p>
      <w:pPr>
        <w:spacing w:after="0" w:line="16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“Civil Asset Forfeiture Reform Act” </w:t>
      </w:r>
      <w:r>
        <w:rPr>
          <w:rFonts w:ascii="Arial" w:cs="Arial" w:eastAsia="Arial" w:hAnsi="Arial"/>
          <w:sz w:val="18"/>
          <w:szCs w:val="18"/>
          <w:color w:val="auto"/>
        </w:rPr>
        <w:t>means the Civil Asset Forfeiture Reform Act of 2000 (HR 1658), Pub. L. No. 106-185, 106th Cong. (2000), as</w:t>
      </w:r>
      <w:r>
        <w:rPr>
          <w:rFonts w:ascii="Arial" w:cs="Arial" w:eastAsia="Arial" w:hAnsi="Arial"/>
          <w:sz w:val="18"/>
          <w:szCs w:val="18"/>
          <w:i w:val="1"/>
          <w:iCs w:val="1"/>
          <w:color w:val="auto"/>
        </w:rPr>
        <w:t xml:space="preserve"> </w:t>
      </w:r>
      <w:r>
        <w:rPr>
          <w:rFonts w:ascii="Arial" w:cs="Arial" w:eastAsia="Arial" w:hAnsi="Arial"/>
          <w:sz w:val="18"/>
          <w:szCs w:val="18"/>
          <w:color w:val="auto"/>
        </w:rPr>
        <w:t>amended.</w:t>
      </w:r>
    </w:p>
    <w:p>
      <w:pPr>
        <w:spacing w:after="0" w:line="170"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i w:val="1"/>
          <w:iCs w:val="1"/>
          <w:color w:val="auto"/>
        </w:rPr>
        <w:t xml:space="preserve">“Claims” </w:t>
      </w:r>
      <w:r>
        <w:rPr>
          <w:rFonts w:ascii="Arial" w:cs="Arial" w:eastAsia="Arial" w:hAnsi="Arial"/>
          <w:sz w:val="18"/>
          <w:szCs w:val="18"/>
          <w:color w:val="auto"/>
        </w:rPr>
        <w:t>means any and all obligations, liabilities, losses, actions, suits, judgments, enforcement actions, proceedings, damages, penalties, fines,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claims, demands, settlements, costs and expenses (including, without limitation, reasonable legal fees and expenses) of any nature whatsoever;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“Claims” shall not include Taxes.</w:t>
      </w:r>
    </w:p>
    <w:p>
      <w:pPr>
        <w:spacing w:after="0" w:line="18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Closing Date Material Adverse Effect</w:t>
      </w:r>
      <w:r>
        <w:rPr>
          <w:rFonts w:ascii="Arial" w:cs="Arial" w:eastAsia="Arial" w:hAnsi="Arial"/>
          <w:sz w:val="16"/>
          <w:szCs w:val="16"/>
          <w:color w:val="auto"/>
        </w:rPr>
        <w:t>” means a material adverse effect on (a) the operations, financial condition or business of Parent Guarantor and its Subsidiaries taken as a whole, or (b) the ability of (i) Lessee to perform its material obligations under the Operative Documents (taken as a whole) or (ii) the Lessee and the Guarantors, taken as a whole, to perform their material obligations under the Operative Documents (taken as a whole).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United States Internal Revenue Code of 1986.</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i w:val="1"/>
          <w:iCs w:val="1"/>
          <w:color w:val="auto"/>
        </w:rPr>
        <w:t xml:space="preserve">“Collaboration Arrangement” </w:t>
      </w:r>
      <w:r>
        <w:rPr>
          <w:rFonts w:ascii="Arial" w:cs="Arial" w:eastAsia="Arial" w:hAnsi="Arial"/>
          <w:sz w:val="18"/>
          <w:szCs w:val="18"/>
          <w:color w:val="auto"/>
        </w:rPr>
        <w:t>means any license, sublicense, lease, sublease, collaboration agreement or other profit-loss sharing arrangement</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the discovery, research, development, manufacture or commercialization of any drug, product line or service.</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“Collateral” </w:t>
      </w:r>
      <w:r>
        <w:rPr>
          <w:rFonts w:ascii="Arial" w:cs="Arial" w:eastAsia="Arial" w:hAnsi="Arial"/>
          <w:sz w:val="17"/>
          <w:szCs w:val="17"/>
          <w:color w:val="auto"/>
        </w:rPr>
        <w:t>means all of Lessee’s right, title and interest in (i) the Leased Property, (ii) the Purchase Agreement, (iii) contracts and warranties</w:t>
      </w:r>
      <w:r>
        <w:rPr>
          <w:rFonts w:ascii="Arial" w:cs="Arial" w:eastAsia="Arial" w:hAnsi="Arial"/>
          <w:sz w:val="17"/>
          <w:szCs w:val="17"/>
          <w:i w:val="1"/>
          <w:iCs w:val="1"/>
          <w:color w:val="auto"/>
        </w:rPr>
        <w:t xml:space="preserve"> </w:t>
      </w:r>
      <w:r>
        <w:rPr>
          <w:rFonts w:ascii="Arial" w:cs="Arial" w:eastAsia="Arial" w:hAnsi="Arial"/>
          <w:sz w:val="17"/>
          <w:szCs w:val="17"/>
          <w:color w:val="auto"/>
        </w:rPr>
        <w:t>relating to the Leased Property, (iv) the Security Property, (v) any rights to rebates, offset or other warranty payments, or assignment under a purchase order, invoice or purchase agreement with any manufacturer of or contractor for any portion of the Collateral, (vi) all insurance policies required to be maintained pursuant to the Lease, and (vii) all products, excess successions, subleases, rents, issues, profits, products, returns, income and proceeds of and from any or all of the foregoing (including proceeds from any of the foregoing), and to the extent not otherwise included, all payments under insurance (whether or not Lessee is the loss payee thereof) or any indemnity, warranty or guarantee payable by reason of loss or damage to or otherwise with respect to any of the foregoing, in any such case, excluding any Excluded Property.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“Commitment” </w:t>
      </w:r>
      <w:r>
        <w:rPr>
          <w:rFonts w:ascii="Arial" w:cs="Arial" w:eastAsia="Arial" w:hAnsi="Arial"/>
          <w:sz w:val="18"/>
          <w:szCs w:val="18"/>
          <w:color w:val="auto"/>
        </w:rPr>
        <w:t>means (i) as to any Lender, its Loan Commitment, and (ii) as to Lessor, its Lessor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Commitment Percentage</w:t>
      </w:r>
      <w:r>
        <w:rPr>
          <w:rFonts w:ascii="Arial" w:cs="Arial" w:eastAsia="Arial" w:hAnsi="Arial"/>
          <w:sz w:val="16"/>
          <w:szCs w:val="16"/>
          <w:color w:val="auto"/>
        </w:rPr>
        <w:t>” means, (i) with respect to Lessor, the percentage of the Aggregate Commitment Amount represented by the Lessor Commitment (and the initial Commitment Percentage of the Lessor is set forth opposite Lessor’s name under the heading “Commitment Percentage (of the Aggregate Commitment Amount)” on Schedule I to the Participation Agreement) and (ii) with respect to any Lender, the percentage of the Aggregate Commitment Amount represented by such Lender’s Loan Commitment (and the initial Commitment Percentage of each Lender is set forth opposite such Lender’s name under the heading “Commitment Percentage (of the Aggregate Commitment Amount)” on Schedule II to the Participation Agreement), in each case, as such schedule may be amended or modified from time to time pursuant to the terms and conditions of the Participation Agreement.</w:t>
      </w:r>
    </w:p>
    <w:p>
      <w:pPr>
        <w:spacing w:after="0" w:line="16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Condemnation</w:t>
      </w:r>
      <w:r>
        <w:rPr>
          <w:rFonts w:ascii="Arial" w:cs="Arial" w:eastAsia="Arial" w:hAnsi="Arial"/>
          <w:sz w:val="18"/>
          <w:szCs w:val="18"/>
          <w:color w:val="auto"/>
        </w:rPr>
        <w:t>” means any condemnation, requisition, confiscation, seizure or other taking or sale of the use or title to the Leased Property or any part thereof in, by or on account of any eminent domain proceeding or other action by any Governmental Authority under the power of eminent domain or otherwise or any transfer in lieu of or in anticipation thereof. A Condemnation shall be deemed to have “occurred” on the earliest of the dates that use or title is taken or transferred.</w:t>
      </w:r>
    </w:p>
    <w:p>
      <w:pPr>
        <w:sectPr>
          <w:pgSz w:w="11900" w:h="16838" w:orient="portrait"/>
          <w:cols w:equalWidth="0" w:num="1">
            <w:col w:w="11400"/>
          </w:cols>
          <w:pgMar w:left="240" w:top="341" w:right="259" w:bottom="0" w:gutter="0" w:footer="0" w:header="0"/>
        </w:sectPr>
      </w:pPr>
    </w:p>
    <w:bookmarkStart w:id="39" w:name="page40"/>
    <w:bookmarkEnd w:id="39"/>
    <w:p>
      <w:pPr>
        <w:spacing w:after="0" w:line="13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i w:val="1"/>
          <w:iCs w:val="1"/>
          <w:color w:val="auto"/>
        </w:rPr>
        <w:t xml:space="preserve">“Consolidated EBITDA” </w:t>
      </w:r>
      <w:r>
        <w:rPr>
          <w:rFonts w:ascii="Arial" w:cs="Arial" w:eastAsia="Arial" w:hAnsi="Arial"/>
          <w:sz w:val="16"/>
          <w:szCs w:val="16"/>
          <w:color w:val="auto"/>
        </w:rPr>
        <w:t>means, with reference to any period and without duplication, an amount equal to (a) Consolidated Net Income, plus (b)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extent deducted in determining Consolidated Net Income, (i) Consolidated Interest Expense, (ii) income tax expenses, (iii) depreciation, (iv) amortization,</w:t>
      </w:r>
    </w:p>
    <w:p>
      <w:pPr>
        <w:ind w:right="180" w:firstLine="8"/>
        <w:spacing w:after="0" w:line="281" w:lineRule="auto"/>
        <w:tabs>
          <w:tab w:leader="none" w:pos="255" w:val="left"/>
        </w:tabs>
        <w:numPr>
          <w:ilvl w:val="0"/>
          <w:numId w:val="96"/>
        </w:numPr>
        <w:rPr>
          <w:rFonts w:ascii="Arial" w:cs="Arial" w:eastAsia="Arial" w:hAnsi="Arial"/>
          <w:sz w:val="16"/>
          <w:szCs w:val="16"/>
          <w:color w:val="auto"/>
        </w:rPr>
      </w:pPr>
      <w:r>
        <w:rPr>
          <w:rFonts w:ascii="Arial" w:cs="Arial" w:eastAsia="Arial" w:hAnsi="Arial"/>
          <w:sz w:val="16"/>
          <w:szCs w:val="16"/>
          <w:color w:val="auto"/>
        </w:rPr>
        <w:t>non-cash charges, expenses or losses (including any non-cash charges attributable to impairment of goodwill or other intangible assets or impairment of long-lived assets and non-cash expenses related to equity-based compensation, benefits or incentives), (vi) extraordinary, non-recurring or unusual charges, expenses or losses (including, without limitation, with respect to restructuring activities, consolidations, integration, headcount reductions or other similar actions, including severance charges in respect of employee terminations) and in an aggregate amount not in excess of $50,000,000 during any such period,</w:t>
      </w:r>
    </w:p>
    <w:p>
      <w:pPr>
        <w:spacing w:after="0" w:line="2" w:lineRule="exact"/>
        <w:rPr>
          <w:rFonts w:ascii="Arial" w:cs="Arial" w:eastAsia="Arial" w:hAnsi="Arial"/>
          <w:sz w:val="16"/>
          <w:szCs w:val="16"/>
          <w:color w:val="auto"/>
        </w:rPr>
      </w:pPr>
    </w:p>
    <w:p>
      <w:pPr>
        <w:ind w:firstLine="8"/>
        <w:spacing w:after="0" w:line="286" w:lineRule="auto"/>
        <w:tabs>
          <w:tab w:leader="none" w:pos="355" w:val="left"/>
        </w:tabs>
        <w:numPr>
          <w:ilvl w:val="0"/>
          <w:numId w:val="97"/>
        </w:numPr>
        <w:rPr>
          <w:rFonts w:ascii="Arial" w:cs="Arial" w:eastAsia="Arial" w:hAnsi="Arial"/>
          <w:sz w:val="16"/>
          <w:szCs w:val="16"/>
          <w:color w:val="auto"/>
        </w:rPr>
      </w:pPr>
      <w:r>
        <w:rPr>
          <w:rFonts w:ascii="Arial" w:cs="Arial" w:eastAsia="Arial" w:hAnsi="Arial"/>
          <w:sz w:val="16"/>
          <w:szCs w:val="16"/>
          <w:color w:val="auto"/>
        </w:rPr>
        <w:t>losses due to fluctuations in currency exchange rates, (viii) unrealized losses under Swap Agreements, (ix) net after-tax losses (including all fees and expenses or charges relating thereto) on any sale or disposition of any asset of the Parent Guarantor or any of its Subsidiaries outside of the ordinary course of business and net after-tax losses from discontinued operations, (x) net after-tax losses (including all fees and expenses or charges relating thereto) on the retirement or extinguishment of debt, (xi) write-off of non-cash deferred revenue in connection with purchase accounting adjustments applied in respect of any Acquisition (it being understood that such non-cash deferred revenue shall be recognized in such period(s) as it would have been recognized but for such Acquisition), (xii) out-of-pocket fees, expenses and other transaction costs paid to unaffiliated third parties in connection with any actual or proposed Acquisitions, merger, joint venture, Collaboration Arrangements, other investments, sales or dispositions of assets, incurrence of indebtedness and issuance of Equity Interests or other securities by the Parent Guarantor or any of its Subsidiaries, in each case, to the extent incurred within twelve (12) months of the completion or abandonment (as applicable) of such transactions and so long as such transactions are not prohibited under the Operative Documents and whether or not consummated, (xiii) charges or losses that are, or could reasonably be expected to be, reimbursed or covered by insurance policies or contractual indemnities and not disputed by the insurer or contractual indemnitor thereunder, in each case so long as such amounts are actually reimbursed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to the Parent Guarantor or applicable Subsidiary in cash within two (2) fiscal quarters after the related amount is first added to Consolidated EBITDA pursuant to this clause (xiii) (and if not so reimbursed within two (2) fiscal quarters, such amount shall be deducted from Consolidated EBITDA during the next applicable period), and (xiv) acquired in-process research and development expenditures, minus (c) to the extent included in Consolidated Net Income,</w:t>
      </w:r>
    </w:p>
    <w:p>
      <w:pPr>
        <w:ind w:right="80" w:firstLine="8"/>
        <w:spacing w:after="0" w:line="281" w:lineRule="auto"/>
        <w:tabs>
          <w:tab w:leader="none" w:pos="255"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interest income, (2) income tax credits and refunds (to the extent not netted from income tax expense), (3) any cash payments made during such period in respect of items described in clauses (v) or (xi) above subsequent to the fiscal quarter in which the relevant non-cash expenses or losses were incurred,</w:t>
      </w:r>
    </w:p>
    <w:p>
      <w:pPr>
        <w:spacing w:after="0" w:line="1" w:lineRule="exact"/>
        <w:rPr>
          <w:rFonts w:ascii="Arial" w:cs="Arial" w:eastAsia="Arial" w:hAnsi="Arial"/>
          <w:sz w:val="16"/>
          <w:szCs w:val="16"/>
          <w:color w:val="auto"/>
        </w:rPr>
      </w:pPr>
    </w:p>
    <w:p>
      <w:pPr>
        <w:ind w:firstLine="8"/>
        <w:spacing w:after="0" w:line="281" w:lineRule="auto"/>
        <w:tabs>
          <w:tab w:leader="none" w:pos="255"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non-cash or extraordinary, unusual or non-recurring income or gains, (5) gains due to fluctuations in currency exchange rates, (6) unrealized gains under Swap Agreements, (7) net after-tax gains (less all fees and expenses or charges relating thereto) on any sale or disposition of any asset of the Parent Guarantor or any of its Subsidiaries outside of the ordinary course of business and net after-tax gains from discontinued operations (without reduction on account of any amounts added back in clause (b)(ii) of this definition) and (8) any net after-tax gains (less and fees and expenses or charges related thereto) on the retirement or extinguishment of debt, all calculated for the Parent Guarantor and its Subsidiaries in accordance with GAAP on a consolidated basis. For the purposes of calculating Consolidated EBITDA for any period of four consecutive fiscal quarters (each such period, a </w:t>
      </w:r>
      <w:r>
        <w:rPr>
          <w:rFonts w:ascii="Arial" w:cs="Arial" w:eastAsia="Arial" w:hAnsi="Arial"/>
          <w:sz w:val="16"/>
          <w:szCs w:val="16"/>
          <w:i w:val="1"/>
          <w:iCs w:val="1"/>
          <w:color w:val="auto"/>
        </w:rPr>
        <w:t>“Reference Period”</w:t>
      </w:r>
      <w:r>
        <w:rPr>
          <w:rFonts w:ascii="Arial" w:cs="Arial" w:eastAsia="Arial" w:hAnsi="Arial"/>
          <w:sz w:val="16"/>
          <w:szCs w:val="16"/>
          <w:color w:val="auto"/>
        </w:rPr>
        <w:t xml:space="preserve">), (i) if at any time during such Reference Period the Parent Guarantor or any Subsidiary shall have made any Material Disposition, the Consolidated EBITDA for such Reference Period shall be reduced by an amount equal to the Consolidated EBITDA (if positive) attributable to the property that is the subject of such Material Disposition for such Reference Period or increased by an amount equal to the Consolidated EBITDA (if negative) attributable thereto for such Reference Period, and (ii) if during such Reference Period the Parent Guarantor or any Subsidiary shall have made a Material Acquisition and the Consolidated EBITDA attributable to the property that is the subject of such Material Acquisition is positive for such Reference Period, Consolidated EBITDA for such Reference Period shall be calculated after giving pro forma effect thereto as if such Material Acquisition occurred on the first day of such Reference Period. As used in this definition, </w:t>
      </w:r>
      <w:r>
        <w:rPr>
          <w:rFonts w:ascii="Arial" w:cs="Arial" w:eastAsia="Arial" w:hAnsi="Arial"/>
          <w:sz w:val="16"/>
          <w:szCs w:val="16"/>
          <w:i w:val="1"/>
          <w:iCs w:val="1"/>
          <w:color w:val="auto"/>
        </w:rPr>
        <w:t xml:space="preserve">“Material Acquisition” </w:t>
      </w:r>
      <w:r>
        <w:rPr>
          <w:rFonts w:ascii="Arial" w:cs="Arial" w:eastAsia="Arial" w:hAnsi="Arial"/>
          <w:sz w:val="16"/>
          <w:szCs w:val="16"/>
          <w:color w:val="auto"/>
        </w:rPr>
        <w:t>means any acquisition of property or series of related acquisitions of property by the Parent Guarantor or any Subsidiary that</w:t>
      </w:r>
    </w:p>
    <w:p>
      <w:pPr>
        <w:spacing w:after="0" w:line="8" w:lineRule="exact"/>
        <w:rPr>
          <w:rFonts w:ascii="Arial" w:cs="Arial" w:eastAsia="Arial" w:hAnsi="Arial"/>
          <w:sz w:val="16"/>
          <w:szCs w:val="16"/>
          <w:color w:val="auto"/>
        </w:rPr>
      </w:pPr>
    </w:p>
    <w:p>
      <w:pPr>
        <w:ind w:right="60"/>
        <w:spacing w:after="0" w:line="268" w:lineRule="auto"/>
        <w:rPr>
          <w:rFonts w:ascii="Arial" w:cs="Arial" w:eastAsia="Arial" w:hAnsi="Arial"/>
          <w:sz w:val="16"/>
          <w:szCs w:val="16"/>
          <w:color w:val="auto"/>
        </w:rPr>
      </w:pPr>
      <w:r>
        <w:rPr>
          <w:rFonts w:ascii="Arial" w:cs="Arial" w:eastAsia="Arial" w:hAnsi="Arial"/>
          <w:sz w:val="17"/>
          <w:szCs w:val="17"/>
          <w:color w:val="auto"/>
        </w:rPr>
        <w:t>(a) constitutes (i) assets comprising all or substantially all or any significant portion of a business or operating unit of a business, or (ii) all or substantially all of the common stock or other Equity Interests of a Person, and (b) involves the payment of consideration by the Parent Guarantor and its Subsidiaries in excess of $25,000,000 (calculated to include the aggregate amount of Indebtedness assumed in connection with such acquisition); and “Material Disposition” means any sale, transfer or disposition of property of the Parent Guarantor or any Subsidiary or series of related sales, transfers, or dispositions of property of the Parent Guarantor or such Subsidiary (other than any Exclusive License or transactions between or among any of the Parent Guarantor, the Guarantors, or any of their Subsidiaries (or any combination thereof)) that yields gross cash proceeds to the Parent Guarantor or any of its Subsidiaries in excess of $25,000,000 in the aggregate on or prior to the consummation thereof (and which, for the avoidance of doubt, shall not include any royalty, earnout, contingent payment or any other deferred payment that may be payable thereafter).</w:t>
      </w:r>
    </w:p>
    <w:p>
      <w:pPr>
        <w:spacing w:after="0" w:line="18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i w:val="1"/>
          <w:iCs w:val="1"/>
          <w:color w:val="auto"/>
        </w:rPr>
        <w:t xml:space="preserve">“Consolidated Interest Expense” </w:t>
      </w:r>
      <w:r>
        <w:rPr>
          <w:rFonts w:ascii="Arial" w:cs="Arial" w:eastAsia="Arial" w:hAnsi="Arial"/>
          <w:sz w:val="18"/>
          <w:szCs w:val="18"/>
          <w:color w:val="auto"/>
        </w:rPr>
        <w:t>means, with reference to any period, the excess of (a) the interest expense (including without limitation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under Capital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Obligations that is treated as interest in accordance with GAAP) of the Parent Guarantor and its Subsidiaries calculated on a consolidated basis for such period with respect to all outstanding Indebtedness of the Parent Guarantor and its Subsidiaries allocable to such period in accordance with GAAP (including, without limitation, all commissions, discounts and other fees and charges owed with respect to letters of credit and bankers acceptance financing and net costs under interest rate Swap Agreements to the extent such net costs are allocable to such period in accordance with GAAP) minus (b) to the extent included in clause (a) above, (i) non-cash amounts attributable to amortization of financing costs paid in a previous period, (ii) non-cash amounts attributable to amortization of debt discounts or accrued interest payable in kind for such period, (iii) any break funding payment made pursuant to the Bank Credit Agreement and (iv) any interest expense in respect of any Operating Lease, including any interest, yield, rent or break funding payment (or similar obligations) paid or payable pursuant to any Operative Documents. In the event that the Parent Guarantor or any Subsidiary shall have completed a Material Acquisition or a Material Disposition since the beginning of the relevant period, Consolidated Interest Expense shall be determined for such period on a pro forma basis as if such acquisition or disposition, and any related incurrence or repayment of Indebtedness, had occurred at the beginning of such period.</w:t>
      </w:r>
    </w:p>
    <w:p>
      <w:pPr>
        <w:spacing w:after="0" w:line="16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“Consolidated Net Income” </w:t>
      </w:r>
      <w:r>
        <w:rPr>
          <w:rFonts w:ascii="Arial" w:cs="Arial" w:eastAsia="Arial" w:hAnsi="Arial"/>
          <w:sz w:val="18"/>
          <w:szCs w:val="18"/>
          <w:color w:val="auto"/>
        </w:rPr>
        <w:t>means, with reference to any period, the net income (or loss) of the Parent Guarantor and its Subsidiaries calculated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GAAP on a consolidated basis (without duplication) for such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there shall be excluded any income (or loss) of any Person other than the Parent Guarantor or a Subsidiary, but any such income so excluded may be included in such period or any later period to the extent of any dividends, distributions or other payments actually paid in cash (or to the extent converted into cash) in the relevant period to the Parent Guarantor or any wholly-owned Subsidiary of the Parent Guarantor.</w:t>
      </w:r>
    </w:p>
    <w:p>
      <w:pPr>
        <w:spacing w:after="0" w:line="18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“Consolidated Net Worth” </w:t>
      </w:r>
      <w:r>
        <w:rPr>
          <w:rFonts w:ascii="Arial" w:cs="Arial" w:eastAsia="Arial" w:hAnsi="Arial"/>
          <w:sz w:val="18"/>
          <w:szCs w:val="18"/>
          <w:color w:val="auto"/>
        </w:rPr>
        <w:t>means, as of the date of any determination thereof, the consolidated stockholders’ equity of the Parent Guarantor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calculated on a consolidated basis in accordance with GAAP.</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i w:val="1"/>
          <w:iCs w:val="1"/>
          <w:color w:val="auto"/>
        </w:rPr>
        <w:t xml:space="preserve">“Consolidated Total Indebtedness” </w:t>
      </w:r>
      <w:r>
        <w:rPr>
          <w:rFonts w:ascii="Arial" w:cs="Arial" w:eastAsia="Arial" w:hAnsi="Arial"/>
          <w:sz w:val="16"/>
          <w:szCs w:val="16"/>
          <w:color w:val="auto"/>
        </w:rPr>
        <w:t>means at any date the sum, without duplication, of (a) the aggregate Indebtedness of the Parent Guarantor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(other than intercompany Indebtedness among the Parent Guarantor and its Subsidiaries) that is of a type that would be reflected on a</w:t>
      </w:r>
    </w:p>
    <w:p>
      <w:pPr>
        <w:sectPr>
          <w:pgSz w:w="11900" w:h="16975" w:orient="portrait"/>
          <w:cols w:equalWidth="0" w:num="1">
            <w:col w:w="11400"/>
          </w:cols>
          <w:pgMar w:left="240" w:top="125" w:right="259" w:bottom="0" w:gutter="0" w:footer="0" w:header="0"/>
        </w:sectPr>
      </w:pPr>
    </w:p>
    <w:bookmarkStart w:id="40" w:name="page41"/>
    <w:bookmarkEnd w:id="40"/>
    <w:p>
      <w:pPr>
        <w:spacing w:after="0" w:line="1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consolidated balance sheet of the Parent Guarantor prepared as of such date in accordance with GAAP, (b) the aggregate amount of Indebtedness of the Parent Guarantor and its Subsidiaries relating to the maximum drawing amount of all letters of credit outstanding and bankers acceptances and (c) Indebtedness of the type referred to in clause (a) or (b) above of another Person (other than the Parent Guarantor or any Subsidiary) guaranteed by the Parent Guarantor or any of its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Consolidated Total Indebtedness (i) shall not include obligations in respect of letters of credit, bankers acceptances and similar obligations to the extent of the amount of collateral provided therefor as cash and/or cash equivalents and (ii) shall be subject, in all respects, to the limitations and exclusions set forth in the definition of Indebtedness, including as to the calculation of the amount of any limited recourse guarantee under clause (c)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The terms “</w:t>
      </w:r>
      <w:r>
        <w:rPr>
          <w:rFonts w:ascii="Arial" w:cs="Arial" w:eastAsia="Arial" w:hAnsi="Arial"/>
          <w:sz w:val="16"/>
          <w:szCs w:val="16"/>
          <w:i w:val="1"/>
          <w:iCs w:val="1"/>
          <w:color w:val="auto"/>
        </w:rPr>
        <w:t>Controlling</w:t>
      </w:r>
      <w:r>
        <w:rPr>
          <w:rFonts w:ascii="Arial" w:cs="Arial" w:eastAsia="Arial" w:hAnsi="Arial"/>
          <w:sz w:val="16"/>
          <w:szCs w:val="16"/>
          <w:color w:val="auto"/>
        </w:rPr>
        <w:t>” and “</w:t>
      </w:r>
      <w:r>
        <w:rPr>
          <w:rFonts w:ascii="Arial" w:cs="Arial" w:eastAsia="Arial" w:hAnsi="Arial"/>
          <w:sz w:val="16"/>
          <w:szCs w:val="16"/>
          <w:i w:val="1"/>
          <w:iCs w:val="1"/>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Controlled Substances Act</w:t>
      </w:r>
      <w:r>
        <w:rPr>
          <w:rFonts w:ascii="Arial" w:cs="Arial" w:eastAsia="Arial" w:hAnsi="Arial"/>
          <w:sz w:val="18"/>
          <w:szCs w:val="18"/>
          <w:color w:val="auto"/>
        </w:rPr>
        <w:t xml:space="preserve">” means 21 U.S.C. ch. 13, §801 </w:t>
      </w:r>
      <w:r>
        <w:rPr>
          <w:rFonts w:ascii="Arial" w:cs="Arial" w:eastAsia="Arial" w:hAnsi="Arial"/>
          <w:sz w:val="18"/>
          <w:szCs w:val="18"/>
          <w:i w:val="1"/>
          <w:iCs w:val="1"/>
          <w:color w:val="auto"/>
        </w:rPr>
        <w:t>et seq</w:t>
      </w:r>
      <w:r>
        <w:rPr>
          <w:rFonts w:ascii="Arial" w:cs="Arial" w:eastAsia="Arial" w:hAnsi="Arial"/>
          <w:sz w:val="18"/>
          <w:szCs w:val="18"/>
          <w:color w:val="auto"/>
        </w:rPr>
        <w:t>., known as the Controlled Substances Act, as amended.</w:t>
      </w:r>
    </w:p>
    <w:p>
      <w:pPr>
        <w:spacing w:after="0" w:line="225" w:lineRule="exact"/>
        <w:rPr>
          <w:sz w:val="20"/>
          <w:szCs w:val="20"/>
          <w:color w:val="auto"/>
        </w:rPr>
      </w:pPr>
    </w:p>
    <w:p>
      <w:pPr>
        <w:jc w:val="both"/>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Cumulative Basic Rent Adjustment</w:t>
      </w:r>
      <w:r>
        <w:rPr>
          <w:rFonts w:ascii="Arial" w:cs="Arial" w:eastAsia="Arial" w:hAnsi="Arial"/>
          <w:sz w:val="18"/>
          <w:szCs w:val="18"/>
          <w:color w:val="auto"/>
        </w:rPr>
        <w:t>” shall mean, as of a particular date, the sum of the Basic Rent Adjustments which have actually occurred as of such date.</w:t>
      </w:r>
    </w:p>
    <w:p>
      <w:pPr>
        <w:spacing w:after="0" w:line="17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i w:val="1"/>
          <w:iCs w:val="1"/>
          <w:color w:val="auto"/>
        </w:rPr>
        <w:t xml:space="preserve">“Debtor Relief Laws” </w:t>
      </w:r>
      <w:r>
        <w:rPr>
          <w:rFonts w:ascii="Arial" w:cs="Arial" w:eastAsia="Arial" w:hAnsi="Arial"/>
          <w:sz w:val="18"/>
          <w:szCs w:val="18"/>
          <w:color w:val="auto"/>
        </w:rPr>
        <w:t>means the Bankruptcy Code, and all other liquidation, conservatorship, bankruptcy, assignment for the benefit of creditors,</w:t>
      </w:r>
      <w:r>
        <w:rPr>
          <w:rFonts w:ascii="Arial" w:cs="Arial" w:eastAsia="Arial" w:hAnsi="Arial"/>
          <w:sz w:val="18"/>
          <w:szCs w:val="18"/>
          <w:i w:val="1"/>
          <w:iCs w:val="1"/>
          <w:color w:val="auto"/>
        </w:rPr>
        <w:t xml:space="preserve"> </w:t>
      </w:r>
      <w:r>
        <w:rPr>
          <w:rFonts w:ascii="Arial" w:cs="Arial" w:eastAsia="Arial" w:hAnsi="Arial"/>
          <w:sz w:val="18"/>
          <w:szCs w:val="18"/>
          <w:color w:val="auto"/>
        </w:rPr>
        <w:t>moratorium, rearrangement, receivership, insolvency, reorganization, or similar debtor relief laws of the United States or other applicable jurisdictions from time to time in effect and affecting the rights of creditors generally.</w:t>
      </w:r>
    </w:p>
    <w:p>
      <w:pPr>
        <w:spacing w:after="0" w:line="181" w:lineRule="exact"/>
        <w:rPr>
          <w:sz w:val="20"/>
          <w:szCs w:val="20"/>
          <w:color w:val="auto"/>
        </w:rPr>
      </w:pPr>
    </w:p>
    <w:p>
      <w:pPr>
        <w:jc w:val="both"/>
        <w:ind w:right="4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Deed</w:t>
      </w:r>
      <w:r>
        <w:rPr>
          <w:rFonts w:ascii="Arial" w:cs="Arial" w:eastAsia="Arial" w:hAnsi="Arial"/>
          <w:sz w:val="16"/>
          <w:szCs w:val="16"/>
          <w:color w:val="auto"/>
        </w:rPr>
        <w:t>” means the special warranty deed, executed by the Sellers and dated the Document Closing Date with respect to the Facility and fixtures existing on the Leased Property, sufficient to convey to Lessor good and marketable fee simple title thereto free of all Liens, other than Permitted Liens.</w:t>
      </w:r>
    </w:p>
    <w:p>
      <w:pPr>
        <w:spacing w:after="0" w:line="12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i w:val="1"/>
          <w:iCs w:val="1"/>
          <w:color w:val="auto"/>
        </w:rPr>
        <w:t xml:space="preserve">“Default” </w:t>
      </w:r>
      <w:r>
        <w:rPr>
          <w:rFonts w:ascii="Arial" w:cs="Arial" w:eastAsia="Arial" w:hAnsi="Arial"/>
          <w:sz w:val="18"/>
          <w:szCs w:val="18"/>
          <w:color w:val="auto"/>
        </w:rPr>
        <w:t>means any Event of Default or any condition, occurrence or event which, after notice or lapse of time or both, would, unless cured or</w:t>
      </w:r>
      <w:r>
        <w:rPr>
          <w:rFonts w:ascii="Arial" w:cs="Arial" w:eastAsia="Arial" w:hAnsi="Arial"/>
          <w:sz w:val="18"/>
          <w:szCs w:val="18"/>
          <w:i w:val="1"/>
          <w:iCs w:val="1"/>
          <w:color w:val="auto"/>
        </w:rPr>
        <w:t xml:space="preserve"> </w:t>
      </w:r>
      <w:r>
        <w:rPr>
          <w:rFonts w:ascii="Arial" w:cs="Arial" w:eastAsia="Arial" w:hAnsi="Arial"/>
          <w:sz w:val="18"/>
          <w:szCs w:val="18"/>
          <w:color w:val="auto"/>
        </w:rPr>
        <w:t>waived, constitute an Event of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“Deposit” </w:t>
      </w:r>
      <w:r>
        <w:rPr>
          <w:rFonts w:ascii="Arial" w:cs="Arial" w:eastAsia="Arial" w:hAnsi="Arial"/>
          <w:sz w:val="16"/>
          <w:szCs w:val="16"/>
          <w:color w:val="auto"/>
        </w:rPr>
        <w:t>means $57,000,000, which is the aggregate amount of deposits paid by Parent Guarantor to Sellers pursuant to the Purchase Agreement.</w:t>
      </w:r>
    </w:p>
    <w:p>
      <w:pPr>
        <w:spacing w:after="0" w:line="24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Disclosed Matters</w:t>
      </w:r>
      <w:r>
        <w:rPr>
          <w:rFonts w:ascii="Arial" w:cs="Arial" w:eastAsia="Arial" w:hAnsi="Arial"/>
          <w:sz w:val="18"/>
          <w:szCs w:val="18"/>
          <w:color w:val="auto"/>
        </w:rPr>
        <w:t>” means any event, circumstance, condition or other matter disclosed in the reports and other documents furnished to or filed with the SEC by the Parent Guarantor and that are publicly available on or prior to the Document Closing Date or described on any schedule to the Purchase Agreement or any Operative Document.</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“Disinterested Director” </w:t>
      </w:r>
      <w:r>
        <w:rPr>
          <w:rFonts w:ascii="Arial" w:cs="Arial" w:eastAsia="Arial" w:hAnsi="Arial"/>
          <w:sz w:val="18"/>
          <w:szCs w:val="18"/>
          <w:color w:val="auto"/>
        </w:rPr>
        <w:t>means, with respect to any Person and transaction, a member of the board of directors (or similar governing body)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Person who does not have any material direct or indirect financial interest in or with respect to such transaction. It is understood and agreed that no such Person shall be deemed to have a material indirect financial interest if such Person would not be deemed to have an “indirect material interest” within the meaning of Item 404(a) of Regulation S-K.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“Disregarded Entity” </w:t>
      </w:r>
      <w:r>
        <w:rPr>
          <w:rFonts w:ascii="Arial" w:cs="Arial" w:eastAsia="Arial" w:hAnsi="Arial"/>
          <w:sz w:val="16"/>
          <w:szCs w:val="16"/>
          <w:color w:val="auto"/>
        </w:rPr>
        <w:t>means any entity treated as disregarded as an entity separate from its owner under Treasury Regulations Section 301.7701-3.</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“Document Closing Date” </w:t>
      </w:r>
      <w:r>
        <w:rPr>
          <w:rFonts w:ascii="Arial" w:cs="Arial" w:eastAsia="Arial" w:hAnsi="Arial"/>
          <w:sz w:val="18"/>
          <w:szCs w:val="18"/>
          <w:color w:val="auto"/>
        </w:rPr>
        <w:t>is defined in Section 2.1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“Dollars” </w:t>
      </w:r>
      <w:r>
        <w:rPr>
          <w:rFonts w:ascii="Arial" w:cs="Arial" w:eastAsia="Arial" w:hAnsi="Arial"/>
          <w:sz w:val="18"/>
          <w:szCs w:val="18"/>
          <w:color w:val="auto"/>
        </w:rPr>
        <w:t>or “</w:t>
      </w:r>
      <w:r>
        <w:rPr>
          <w:rFonts w:ascii="Arial" w:cs="Arial" w:eastAsia="Arial" w:hAnsi="Arial"/>
          <w:sz w:val="18"/>
          <w:szCs w:val="18"/>
          <w:i w:val="1"/>
          <w:iCs w:val="1"/>
          <w:color w:val="auto"/>
        </w:rPr>
        <w:t>$</w:t>
      </w:r>
      <w:r>
        <w:rPr>
          <w:rFonts w:ascii="Arial" w:cs="Arial" w:eastAsia="Arial" w:hAnsi="Arial"/>
          <w:sz w:val="18"/>
          <w:szCs w:val="18"/>
          <w:color w:val="auto"/>
        </w:rPr>
        <w:t>” refers to lawful money of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60" w:firstLine="648"/>
        <w:spacing w:after="0" w:line="291" w:lineRule="auto"/>
        <w:rPr>
          <w:sz w:val="20"/>
          <w:szCs w:val="20"/>
          <w:color w:val="auto"/>
        </w:rPr>
      </w:pPr>
      <w:r>
        <w:rPr>
          <w:rFonts w:ascii="Arial" w:cs="Arial" w:eastAsia="Arial" w:hAnsi="Arial"/>
          <w:sz w:val="16"/>
          <w:szCs w:val="16"/>
          <w:i w:val="1"/>
          <w:iCs w:val="1"/>
          <w:color w:val="auto"/>
        </w:rPr>
        <w:t xml:space="preserve">“Domestic Foreign Holdco Subsidiary” </w:t>
      </w:r>
      <w:r>
        <w:rPr>
          <w:rFonts w:ascii="Arial" w:cs="Arial" w:eastAsia="Arial" w:hAnsi="Arial"/>
          <w:sz w:val="16"/>
          <w:szCs w:val="16"/>
          <w:color w:val="auto"/>
        </w:rPr>
        <w:t>means a Domestic Subsidiary (a) substantially all of the assets of which consist of the Equity Interests of</w:t>
      </w:r>
      <w:r>
        <w:rPr>
          <w:rFonts w:ascii="Arial" w:cs="Arial" w:eastAsia="Arial" w:hAnsi="Arial"/>
          <w:sz w:val="16"/>
          <w:szCs w:val="16"/>
          <w:i w:val="1"/>
          <w:iCs w:val="1"/>
          <w:color w:val="auto"/>
        </w:rPr>
        <w:t xml:space="preserve"> </w:t>
      </w:r>
      <w:r>
        <w:rPr>
          <w:rFonts w:ascii="Arial" w:cs="Arial" w:eastAsia="Arial" w:hAnsi="Arial"/>
          <w:sz w:val="16"/>
          <w:szCs w:val="16"/>
          <w:color w:val="auto"/>
        </w:rPr>
        <w:t>one or more CFCs or CFC Debt or (b) that is a Disregarded Entity that holds Equity Interests of one or more CFCs or CFC Debt, in the case of</w:t>
      </w:r>
    </w:p>
    <w:p>
      <w:pPr>
        <w:ind w:right="120"/>
        <w:spacing w:after="0" w:line="295" w:lineRule="auto"/>
        <w:rPr>
          <w:sz w:val="20"/>
          <w:szCs w:val="20"/>
          <w:color w:val="auto"/>
        </w:rPr>
      </w:pPr>
      <w:r>
        <w:rPr>
          <w:rFonts w:ascii="Arial" w:cs="Arial" w:eastAsia="Arial" w:hAnsi="Arial"/>
          <w:sz w:val="16"/>
          <w:szCs w:val="16"/>
          <w:color w:val="auto"/>
        </w:rPr>
        <w:t>clause (a) above, so long as such Domestic Subsidiary (i) does not conduct any substantial business or activities other than the ownership of such Equity Interests or CFC Debt (except for immaterial assets and activities reasonably related or ancillary thereto) and (ii) does not incur, and is not otherwise liable for, any material Indebtedness or other material liabilities (other than intercompany indebtedness permitted pursuant to Section 9(a)(iii) of the Guaranty and, if such Domestic Subsidiary is a borrower under the Bank Credit Agreement, Indebtedness permitted pursuant to Section 9(a)(xxi) of the Guaranty).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“Domestic Subsidiary” </w:t>
      </w:r>
      <w:r>
        <w:rPr>
          <w:rFonts w:ascii="Arial" w:cs="Arial" w:eastAsia="Arial" w:hAnsi="Arial"/>
          <w:sz w:val="18"/>
          <w:szCs w:val="18"/>
          <w:color w:val="auto"/>
        </w:rPr>
        <w:t>means a Subsidiary organized under the laws of a jurisdiction located in the United States of America.</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“Drug Acquisition” </w:t>
      </w:r>
      <w:r>
        <w:rPr>
          <w:rFonts w:ascii="Arial" w:cs="Arial" w:eastAsia="Arial" w:hAnsi="Arial"/>
          <w:sz w:val="18"/>
          <w:szCs w:val="18"/>
          <w:color w:val="auto"/>
        </w:rPr>
        <w:t>means any acquisition (including any license or any acquisition of any license) solely or primarily of all or any portion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rights in respect of one or more drugs or pharmaceutical products, whether in development or on the market (including related intellectual property), but not of Equity Interests in any Person or any operating business unit.</w:t>
      </w:r>
    </w:p>
    <w:p>
      <w:pPr>
        <w:spacing w:after="0" w:line="181"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i w:val="1"/>
          <w:iCs w:val="1"/>
          <w:color w:val="auto"/>
        </w:rPr>
        <w:t xml:space="preserve">“Early Termination Option” </w:t>
      </w:r>
      <w:r>
        <w:rPr>
          <w:rFonts w:ascii="Arial" w:cs="Arial" w:eastAsia="Arial" w:hAnsi="Arial"/>
          <w:sz w:val="18"/>
          <w:szCs w:val="18"/>
          <w:color w:val="auto"/>
        </w:rPr>
        <w:t>means the Lessee’s option to purchase all, but not less than all, of the Leased Property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of Section 18.1 of the Lease.</w:t>
      </w:r>
    </w:p>
    <w:p>
      <w:pPr>
        <w:spacing w:after="0" w:line="17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Electronic System</w:t>
      </w:r>
      <w:r>
        <w:rPr>
          <w:rFonts w:ascii="Arial" w:cs="Arial" w:eastAsia="Arial" w:hAnsi="Arial"/>
          <w:sz w:val="18"/>
          <w:szCs w:val="18"/>
          <w:color w:val="auto"/>
        </w:rPr>
        <w:t>” means any electronic system, including e-mail, e-fax, Intralinks®, ClearPar®, Debt Domain, Syndtrak and any other Internet or extranet-based site, whether such electronic system is owned, operated or hosted by the Administrative Agent and any of its respective Related Parties or any other Person, providing for access to data protected by passcodes or other security system.</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i w:val="1"/>
          <w:iCs w:val="1"/>
          <w:color w:val="auto"/>
        </w:rPr>
        <w:t>“Eligible Assignee</w:t>
      </w:r>
      <w:r>
        <w:rPr>
          <w:rFonts w:ascii="Arial" w:cs="Arial" w:eastAsia="Arial" w:hAnsi="Arial"/>
          <w:sz w:val="16"/>
          <w:szCs w:val="16"/>
          <w:color w:val="auto"/>
        </w:rPr>
        <w:t>” means (a) any Participant or Affiliate or Subsidiary of a Participant, (b) any Person that is a lender or Affiliate or Subsidiary of a</w:t>
      </w:r>
      <w:r>
        <w:rPr>
          <w:rFonts w:ascii="Arial" w:cs="Arial" w:eastAsia="Arial" w:hAnsi="Arial"/>
          <w:sz w:val="16"/>
          <w:szCs w:val="16"/>
          <w:i w:val="1"/>
          <w:iCs w:val="1"/>
          <w:color w:val="auto"/>
        </w:rPr>
        <w:t xml:space="preserve"> </w:t>
      </w:r>
      <w:r>
        <w:rPr>
          <w:rFonts w:ascii="Arial" w:cs="Arial" w:eastAsia="Arial" w:hAnsi="Arial"/>
          <w:sz w:val="16"/>
          <w:szCs w:val="16"/>
          <w:color w:val="auto"/>
        </w:rPr>
        <w:t>lender under the Bank Credit Agreement at the time of the proposed assignment pursuant to Section 12.1 of the Participation Agreement, (c) any other commercial bank, in any case of this clause (c), that (i) is approved by the Lessee (such approval not to be unreasonably withheld or delayed) and (ii) either is a bank organized or licensed under the laws of the United States of America or any State thereof or has agreed to provide the information listed in</w:t>
      </w:r>
    </w:p>
    <w:p>
      <w:pPr>
        <w:spacing w:after="0" w:line="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Section 12.3 of the Participation Agreement (to the extent that it may lawfully be a Participant) or (d) any other financial institution, leasing company or “accredited investor” (as defined in Regulation D), in any case of this clause (d), that (i) is approved by the Lessee (such approval not to be unreasonably withheld or delayed), (ii) is primarily engaged in making, purchasing or otherwise investing in commercial loans or lease transactions in the ordinary course</w:t>
      </w:r>
    </w:p>
    <w:p>
      <w:pPr>
        <w:sectPr>
          <w:pgSz w:w="11900" w:h="16944" w:orient="portrait"/>
          <w:cols w:equalWidth="0" w:num="1">
            <w:col w:w="11400"/>
          </w:cols>
          <w:pgMar w:left="240" w:top="125" w:right="259" w:bottom="0" w:gutter="0" w:footer="0" w:header="0"/>
        </w:sectPr>
      </w:pPr>
    </w:p>
    <w:bookmarkStart w:id="41" w:name="page42"/>
    <w:bookmarkEnd w:id="41"/>
    <w:p>
      <w:pPr>
        <w:ind w:right="320"/>
        <w:spacing w:after="0" w:line="259" w:lineRule="auto"/>
        <w:rPr>
          <w:sz w:val="20"/>
          <w:szCs w:val="20"/>
          <w:color w:val="auto"/>
        </w:rPr>
      </w:pPr>
      <w:r>
        <w:rPr>
          <w:rFonts w:ascii="Arial" w:cs="Arial" w:eastAsia="Arial" w:hAnsi="Arial"/>
          <w:sz w:val="18"/>
          <w:szCs w:val="18"/>
          <w:color w:val="auto"/>
        </w:rPr>
        <w:t xml:space="preserve">of its business and (iii) either is organized or licensed under the laws of the United States of America or any State thereof or has agreed to provide the information listed in Section 12.3 of the Participation Agreement (to the extent that it may lawfully be a Participant);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after the Document Closing Date, Lessee’s consent or approval is not required pursuant to clause (a) or (b) or, with respect to clause (c) or (d), during the existence and continuation of an Event of Default and (y) none of Lessee or any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Affiliates or Subsidiaries shall qualify as an Eligible Assignee;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in no event shall an Eligble Assignee be a natural person.</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Environmental Audit</w:t>
      </w:r>
      <w:r>
        <w:rPr>
          <w:rFonts w:ascii="Arial" w:cs="Arial" w:eastAsia="Arial" w:hAnsi="Arial"/>
          <w:sz w:val="16"/>
          <w:szCs w:val="16"/>
          <w:color w:val="auto"/>
        </w:rPr>
        <w:t>” means a Phase I environmental site assessment (the scope and performance of which meets or exceeds ASTM Standard E1527-13 Standard Practice for Environmental Site Assessments: Phase I Environmental Site Assessment Process or any updates thereto) of the Site and any other environmental assesments, reports or information reasonably requested by Lessor in writing to Lessee promptly prior to the Document Closing Date, including, if recommended or necessitated by the Phase I environmental site assessment, a Phase II environmental site assessment.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Claims</w:t>
      </w:r>
      <w:r>
        <w:rPr>
          <w:rFonts w:ascii="Arial" w:cs="Arial" w:eastAsia="Arial" w:hAnsi="Arial"/>
          <w:sz w:val="18"/>
          <w:szCs w:val="18"/>
          <w:color w:val="auto"/>
        </w:rPr>
        <w:t>” is defined in Section 13.7 of the Participation Agreement.</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Environmental Laws</w:t>
      </w:r>
      <w:r>
        <w:rPr>
          <w:rFonts w:ascii="Arial" w:cs="Arial" w:eastAsia="Arial" w:hAnsi="Arial"/>
          <w:sz w:val="16"/>
          <w:szCs w:val="16"/>
          <w:color w:val="auto"/>
        </w:rPr>
        <w:t>” means any Applicable Law relating to pollution, protection of the environment, natural resources or wildlife, or the protection of human health and safety from or release of Hazardous Materials, including, without limitation, laws relating to (i) the Release or threatened Release of Hazardous Materials and (ii) the manufacture, processing, distribution, use, treatment, storage, disposal, transport or handling of Hazardous Materials.</w:t>
      </w:r>
    </w:p>
    <w:p>
      <w:pPr>
        <w:spacing w:after="0" w:line="147"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i w:val="1"/>
          <w:iCs w:val="1"/>
          <w:color w:val="auto"/>
        </w:rPr>
        <w:t xml:space="preserve">“Environmental Violation” </w:t>
      </w:r>
      <w:r>
        <w:rPr>
          <w:rFonts w:ascii="Arial" w:cs="Arial" w:eastAsia="Arial" w:hAnsi="Arial"/>
          <w:sz w:val="18"/>
          <w:szCs w:val="18"/>
          <w:color w:val="auto"/>
        </w:rPr>
        <w:t>means, with respect to the Leased Property, any activity, occurrence or condition that violates or results in non-compliance with any Environmental Law.</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“Equipment” </w:t>
      </w:r>
      <w:r>
        <w:rPr>
          <w:rFonts w:ascii="Arial" w:cs="Arial" w:eastAsia="Arial" w:hAnsi="Arial"/>
          <w:sz w:val="17"/>
          <w:szCs w:val="17"/>
          <w:color w:val="auto"/>
        </w:rPr>
        <w:t>means equipment, apparatus, fittings and personal property of every kind and nature whatsoever purchased, leased or otherwise</w:t>
      </w:r>
      <w:r>
        <w:rPr>
          <w:rFonts w:ascii="Arial" w:cs="Arial" w:eastAsia="Arial" w:hAnsi="Arial"/>
          <w:sz w:val="17"/>
          <w:szCs w:val="17"/>
          <w:i w:val="1"/>
          <w:iCs w:val="1"/>
          <w:color w:val="auto"/>
        </w:rPr>
        <w:t xml:space="preserve"> </w:t>
      </w:r>
      <w:r>
        <w:rPr>
          <w:rFonts w:ascii="Arial" w:cs="Arial" w:eastAsia="Arial" w:hAnsi="Arial"/>
          <w:sz w:val="17"/>
          <w:szCs w:val="17"/>
          <w:color w:val="auto"/>
        </w:rPr>
        <w:t>acquired by the Lessor using amounts advanced by the Participants pursuant to the Participation Agreement and now or subsequently attached to, contained in or used or usable in any way in connection with any operation or letting of the Leased Property, including, but without limiting the generality of the foregoing, all screens, awnings, storm doors and windows, heating, electrical, switch gear, uninterrupted power supply, and mechanical equipment, lighting, switchboards, plumbing, ventilation, air conditioning and air-cooling apparatus, refrigerating and incinerating equipment, escalators, generators, elevators, loading and unloading equipment and systems, laundry equipment, cleaning systems (including window cleaning apparatus), communications systems (including satellite dishes and antennae), sprinkler systems and other fire prevention and extinguishing apparatus and materials, security systems, motors, engines, machinery, pipes, pumps, tanks, conduits, fittings and fixtures of every kind and description.</w:t>
      </w:r>
    </w:p>
    <w:p>
      <w:pPr>
        <w:spacing w:after="0" w:line="17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“Equity Interests” </w:t>
      </w:r>
      <w:r>
        <w:rPr>
          <w:rFonts w:ascii="Arial" w:cs="Arial" w:eastAsia="Arial" w:hAnsi="Arial"/>
          <w:sz w:val="18"/>
          <w:szCs w:val="18"/>
          <w:color w:val="auto"/>
        </w:rPr>
        <w:t>means shares of capital stock, partnership interests, membership interests in a limited liability company, beneficial interests in a</w:t>
      </w:r>
      <w:r>
        <w:rPr>
          <w:rFonts w:ascii="Arial" w:cs="Arial" w:eastAsia="Arial" w:hAnsi="Arial"/>
          <w:sz w:val="18"/>
          <w:szCs w:val="18"/>
          <w:i w:val="1"/>
          <w:iCs w:val="1"/>
          <w:color w:val="auto"/>
        </w:rPr>
        <w:t xml:space="preserve"> </w:t>
      </w:r>
      <w:r>
        <w:rPr>
          <w:rFonts w:ascii="Arial" w:cs="Arial" w:eastAsia="Arial" w:hAnsi="Arial"/>
          <w:sz w:val="18"/>
          <w:szCs w:val="18"/>
          <w:color w:val="auto"/>
        </w:rPr>
        <w:t>trust or other equity ownership interests in a Person, and any warrants, options or other similar rights entitling the holder thereof to purchase or acquire any of the foregoing. Notwithstanding the foregoing, (a) Permitted Convertible Notes, (b) Permitted Call Spread Swap Agreements and (c) any Indebtedness that is convertible into Equity Interests and/or cash by reference to the value (howsoever defined or determined) of Equity Interests shall not constitute Equity Interests.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“ERISA” </w:t>
      </w:r>
      <w:r>
        <w:rPr>
          <w:rFonts w:ascii="Arial" w:cs="Arial" w:eastAsia="Arial" w:hAnsi="Arial"/>
          <w:sz w:val="18"/>
          <w:szCs w:val="18"/>
          <w:color w:val="auto"/>
        </w:rPr>
        <w:t>means the Employee Retirement Income Security Act of 1974,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“ERISA Affiliate” </w:t>
      </w:r>
      <w:r>
        <w:rPr>
          <w:rFonts w:ascii="Arial" w:cs="Arial" w:eastAsia="Arial" w:hAnsi="Arial"/>
          <w:sz w:val="18"/>
          <w:szCs w:val="18"/>
          <w:color w:val="auto"/>
        </w:rPr>
        <w:t>means any trade or business (whether or not incorporated) that, together with the Parent Guarantor, is treated as a single employer</w:t>
      </w:r>
      <w:r>
        <w:rPr>
          <w:rFonts w:ascii="Arial" w:cs="Arial" w:eastAsia="Arial" w:hAnsi="Arial"/>
          <w:sz w:val="18"/>
          <w:szCs w:val="18"/>
          <w:i w:val="1"/>
          <w:iCs w:val="1"/>
          <w:color w:val="auto"/>
        </w:rPr>
        <w:t xml:space="preserve"> </w:t>
      </w:r>
      <w:r>
        <w:rPr>
          <w:rFonts w:ascii="Arial" w:cs="Arial" w:eastAsia="Arial" w:hAnsi="Arial"/>
          <w:sz w:val="18"/>
          <w:szCs w:val="18"/>
          <w:color w:val="auto"/>
        </w:rPr>
        <w:t>under Section 414(b) or (c) of the Code or, solely for purposes of Section 302 of ERISA and Section 412 of the Code, is treated as a single employer under Section 414 of the Code.</w:t>
      </w:r>
    </w:p>
    <w:p>
      <w:pPr>
        <w:spacing w:after="0" w:line="181" w:lineRule="exact"/>
        <w:rPr>
          <w:sz w:val="20"/>
          <w:szCs w:val="20"/>
          <w:color w:val="auto"/>
        </w:rPr>
      </w:pPr>
    </w:p>
    <w:p>
      <w:pPr>
        <w:ind w:right="240" w:firstLine="648"/>
        <w:spacing w:after="0" w:line="288" w:lineRule="auto"/>
        <w:rPr>
          <w:sz w:val="20"/>
          <w:szCs w:val="20"/>
          <w:color w:val="auto"/>
        </w:rPr>
      </w:pPr>
      <w:r>
        <w:rPr>
          <w:rFonts w:ascii="Arial" w:cs="Arial" w:eastAsia="Arial" w:hAnsi="Arial"/>
          <w:sz w:val="16"/>
          <w:szCs w:val="16"/>
          <w:i w:val="1"/>
          <w:iCs w:val="1"/>
          <w:color w:val="auto"/>
        </w:rPr>
        <w:t xml:space="preserve">“ERISA Event” </w:t>
      </w:r>
      <w:r>
        <w:rPr>
          <w:rFonts w:ascii="Arial" w:cs="Arial" w:eastAsia="Arial" w:hAnsi="Arial"/>
          <w:sz w:val="16"/>
          <w:szCs w:val="16"/>
          <w:color w:val="auto"/>
        </w:rPr>
        <w:t>means (a) any “reportable event,” as defined in Section 4043 of ERISA or the regulations issued thereunder with respect to a Plan</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an event for which the 30-day notice period is waived); (b) the existence with respect to any Plan of an “accumulated funding deficiency” (as defined in Section 412 of the Code or Section 302 of ERISA), whether or not waived; (c) the filing pursuant to Section 412(d) of the Code or</w:t>
      </w:r>
    </w:p>
    <w:p>
      <w:pPr>
        <w:ind w:right="40"/>
        <w:spacing w:after="0" w:line="268" w:lineRule="auto"/>
        <w:rPr>
          <w:sz w:val="20"/>
          <w:szCs w:val="20"/>
          <w:color w:val="auto"/>
        </w:rPr>
      </w:pPr>
      <w:r>
        <w:rPr>
          <w:rFonts w:ascii="Arial" w:cs="Arial" w:eastAsia="Arial" w:hAnsi="Arial"/>
          <w:sz w:val="17"/>
          <w:szCs w:val="17"/>
          <w:color w:val="auto"/>
        </w:rPr>
        <w:t>Section 303(d) of ERISA of an application for a waiver of the minimum funding standard with respect to any Plan; (d) the incurrence by the Parent Guarantor or any of its ERISA Affiliates of any liability under Title IV of ERISA with respect to the termination of any Plan; (e) the receipt by the Parent Guarantor or any ERISA Affiliate from the PBGC or a plan administrator of any written notice relating to an intention to terminate any Plan or Plans or to appoint a trustee to administer any Plan; (f) the incurrence by the Parent Guarantor or any of its ERISA Affiliates of any liability with respect to the withdrawal or partial withdrawal of the Parent Guarantor or any of its ERISA Affiliates from any Plan or Multiemployer Plan; or (g) the receipt by the Parent Guarantor or any ERISA Affiliate of any written notice, or the receipt by any Multiemployer Plan from the Parent Guarantor or any ERISA Affiliate of any written notice, concerning the imposition upon the Parent Guarantor or any of its ERISA Affiliates of Withdrawal Liability or a determination that a Multiemployer Plan is, or is expected to be, insolvent or in reorganization, within the meaning of Title IV of ERISA.</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“Event of Default” </w:t>
      </w:r>
      <w:r>
        <w:rPr>
          <w:rFonts w:ascii="Arial" w:cs="Arial" w:eastAsia="Arial" w:hAnsi="Arial"/>
          <w:sz w:val="18"/>
          <w:szCs w:val="18"/>
          <w:color w:val="auto"/>
        </w:rPr>
        <w:t>is defined at Section 16.1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“Event of Loss” </w:t>
      </w:r>
      <w:r>
        <w:rPr>
          <w:rFonts w:ascii="Arial" w:cs="Arial" w:eastAsia="Arial" w:hAnsi="Arial"/>
          <w:sz w:val="18"/>
          <w:szCs w:val="18"/>
          <w:color w:val="auto"/>
        </w:rPr>
        <w:t>means any Significant Casualty or Significant Condemnation.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“Excepted Payments” </w:t>
      </w:r>
      <w:r>
        <w:rPr>
          <w:rFonts w:ascii="Arial" w:cs="Arial" w:eastAsia="Arial" w:hAnsi="Arial"/>
          <w:sz w:val="17"/>
          <w:szCs w:val="17"/>
          <w:color w:val="auto"/>
        </w:rPr>
        <w:t>means: (a) all indemnity payments or payments under any guaranty (including indemnity payments made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Article XIII of the Participation Agreement) to which any Participant or any of their respective Affiliates, agents, officers, directors or employees is entitled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Operative Documents; (b) any amounts (other than Basic Rent or amounts payable by Lessee pursuant to Section 15.2 of the Lease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Article XVI or XVIII of the Lease) payable under any Operative Document to reimburse the Lessor or any of its Affiliates (including the reasonable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Lessor or such Affiliates incurred in connection with any such payment) for performing or complying with any of the obligations of the Lessee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as permitted by any Operative Document; (c) any amount payable to any Participant by any transferee permitted under the Operative Documents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of any Participant as the purchase price of the Participant’s interest (or a portion thereof); (d) any insurance proceeds (or payments with respect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self-insured risks or policy deductibles) under liability policies; (e) any insurance proceeds under policies maintained by the Administrative Agent or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Participant in accordance with Section 13.4 of the Lease; (f) Transaction Expenses or Fees paid or payable to or for the benefit of the Administrative Agent,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Arranger or any Participant; (g) all right, title and interest of the Lessor to the Leased Property or any portion thereof or any other property to the extent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has been released from the Liens of the Security Instruments following the payment of the Purchase</w:t>
      </w:r>
    </w:p>
    <w:p>
      <w:pPr>
        <w:sectPr>
          <w:pgSz w:w="11900" w:h="16838" w:orient="portrait"/>
          <w:cols w:equalWidth="0" w:num="1">
            <w:col w:w="11420"/>
          </w:cols>
          <w:pgMar w:left="240" w:top="125" w:right="239" w:bottom="0" w:gutter="0" w:footer="0" w:header="0"/>
        </w:sectPr>
      </w:pPr>
    </w:p>
    <w:bookmarkStart w:id="42" w:name="page43"/>
    <w:bookmarkEnd w:id="42"/>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1660"/>
        <w:spacing w:after="0" w:line="277" w:lineRule="auto"/>
        <w:rPr>
          <w:sz w:val="20"/>
          <w:szCs w:val="20"/>
          <w:color w:val="auto"/>
        </w:rPr>
      </w:pPr>
      <w:r>
        <w:rPr>
          <w:rFonts w:ascii="Arial" w:cs="Arial" w:eastAsia="Arial" w:hAnsi="Arial"/>
          <w:sz w:val="18"/>
          <w:szCs w:val="18"/>
          <w:color w:val="auto"/>
        </w:rPr>
        <w:t>Amount or Lease Balance, as applicable; and (h) any payments in respect of interest to the extent attributable to payments referred to in clauses (a) through (g) above.</w:t>
      </w:r>
    </w:p>
    <w:p>
      <w:pPr>
        <w:spacing w:after="0" w:line="170"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i w:val="1"/>
          <w:iCs w:val="1"/>
          <w:color w:val="auto"/>
        </w:rPr>
        <w:t xml:space="preserve">“Excepted Rights” </w:t>
      </w:r>
      <w:r>
        <w:rPr>
          <w:rFonts w:ascii="Arial" w:cs="Arial" w:eastAsia="Arial" w:hAnsi="Arial"/>
          <w:sz w:val="16"/>
          <w:szCs w:val="16"/>
          <w:color w:val="auto"/>
        </w:rPr>
        <w:t>means the Lessor’s right (a) to receive from Parent Guarantor, Lessee or the Administrative Agent all notices, certificates,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reports, filings, opinions of counsel, copies of all documents and all information which the Parent Guarantor and/or Lessee is permitted or required to give or furnish to the </w:t>
      </w:r>
      <w:r>
        <w:rPr>
          <w:rFonts w:ascii="Arial" w:cs="Arial" w:eastAsia="Arial" w:hAnsi="Arial"/>
          <w:sz w:val="16"/>
          <w:szCs w:val="16"/>
          <w:i w:val="1"/>
          <w:iCs w:val="1"/>
          <w:color w:val="auto"/>
        </w:rPr>
        <w:t>“Lessor”</w:t>
      </w:r>
      <w:r>
        <w:rPr>
          <w:rFonts w:ascii="Arial" w:cs="Arial" w:eastAsia="Arial" w:hAnsi="Arial"/>
          <w:sz w:val="16"/>
          <w:szCs w:val="16"/>
          <w:color w:val="auto"/>
        </w:rPr>
        <w:t xml:space="preserve"> pursuant to the Lease or any other Operative Document, (b) to exercise the inspection rights provided for in Section 4.2 of the Lease,</w:t>
      </w:r>
    </w:p>
    <w:p>
      <w:pPr>
        <w:ind w:right="280" w:firstLine="8"/>
        <w:spacing w:after="0" w:line="277" w:lineRule="auto"/>
        <w:tabs>
          <w:tab w:leader="none" w:pos="24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to give any demand notice under Section 16.1 of the Lease and to demand payment from the Lessee under the Lease in default in respect thereof and to retain the right to cause the Lessee to take any action and execute and deliver such documents and assurances as the </w:t>
      </w:r>
      <w:r>
        <w:rPr>
          <w:rFonts w:ascii="Arial" w:cs="Arial" w:eastAsia="Arial" w:hAnsi="Arial"/>
          <w:sz w:val="17"/>
          <w:szCs w:val="17"/>
          <w:i w:val="1"/>
          <w:iCs w:val="1"/>
          <w:color w:val="auto"/>
        </w:rPr>
        <w:t>“Lessor”</w:t>
      </w:r>
      <w:r>
        <w:rPr>
          <w:rFonts w:ascii="Arial" w:cs="Arial" w:eastAsia="Arial" w:hAnsi="Arial"/>
          <w:sz w:val="17"/>
          <w:szCs w:val="17"/>
          <w:color w:val="auto"/>
        </w:rPr>
        <w:t xml:space="preserve"> may from time to time reasonably request pursuant to Article XVI of the Lease and (d) Lessor’s rights under Section 15.5 of the Participation Agreement.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Excluded Property</w:t>
      </w:r>
      <w:r>
        <w:rPr>
          <w:rFonts w:ascii="Arial" w:cs="Arial" w:eastAsia="Arial" w:hAnsi="Arial"/>
          <w:sz w:val="17"/>
          <w:szCs w:val="17"/>
          <w:color w:val="auto"/>
        </w:rPr>
        <w:t>” means (a) “Reserved Company Assets” and “Excluded Contracts” as such terms are defined in the Purchase Agreement,</w:t>
      </w:r>
    </w:p>
    <w:p>
      <w:pPr>
        <w:spacing w:after="0" w:line="35" w:lineRule="exact"/>
        <w:rPr>
          <w:sz w:val="20"/>
          <w:szCs w:val="20"/>
          <w:color w:val="auto"/>
        </w:rPr>
      </w:pPr>
    </w:p>
    <w:p>
      <w:pPr>
        <w:ind w:firstLine="8"/>
        <w:spacing w:after="0" w:line="262" w:lineRule="auto"/>
        <w:tabs>
          <w:tab w:leader="none" w:pos="2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computer software, (c) all furniture, furnishings, fixtures, equipment, vehicles, tools, and tangible personal property of every kind and description owned by or leased to (other than by the Lessee) any of the tenants, (d) any other personal property listed on Schedule 1.32 to the Purchase Agreement, (e) Lessee Property, (f) </w:t>
      </w:r>
      <w:r>
        <w:rPr>
          <w:rFonts w:ascii="Arial" w:cs="Arial" w:eastAsia="Arial" w:hAnsi="Arial"/>
          <w:sz w:val="17"/>
          <w:szCs w:val="17"/>
          <w:color w:val="auto"/>
        </w:rPr>
        <w:t>any lease (other than a sublease of Leased Property), license, contract or agreement to which Lessee is a party or under which Lessee has rights, and</w:t>
      </w:r>
      <w:r>
        <w:rPr>
          <w:rFonts w:ascii="Arial" w:cs="Arial" w:eastAsia="Arial" w:hAnsi="Arial"/>
          <w:sz w:val="18"/>
          <w:szCs w:val="18"/>
          <w:color w:val="auto"/>
        </w:rPr>
        <w:t xml:space="preserve"> </w:t>
      </w:r>
      <w:r>
        <w:rPr>
          <w:rFonts w:ascii="Arial" w:cs="Arial" w:eastAsia="Arial" w:hAnsi="Arial"/>
          <w:sz w:val="17"/>
          <w:szCs w:val="17"/>
          <w:color w:val="auto"/>
        </w:rPr>
        <w:t xml:space="preserve">any of its rights or interests thereunder, if and to the extent that a security interest (i) is prohibited by or in violation of any Applicable Law, or (ii) is prohibited by or in violation of any term, provision or condition of any such lease, license, contract or agreement or creates a right of termination in favor of any other party thereto other than the Lessee or any of its Subsidiaries (unless such Applicable Law, term, provision or condition would be rendered ineffective with respect to the creation of the security interest under the applicable Operative Documents pursuant to Sections 9-406, 9-407, 9-408 or 9-409 of the UCC (or any successor provision or provisions) of any relevant jurisdiction or any other applicable law (including the Bankruptcy Code) or principles of equity);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to the extent such lease, license, contract or agreement would otherwise constitute Collateral but for this clause (f), Collateral shall include (and such security interest shall attach) immediately at such time as the contractual or legal prohibition shall no longer be applicable thereto and to the extent severable, shall attach immediately to any portion of such lease, license, contract or agreement (that would otherwise constitute Collateral but for this clause (f)) not subject to the prohibitions specified in (i) or (ii) above; </w:t>
      </w:r>
      <w:r>
        <w:rPr>
          <w:rFonts w:ascii="Arial" w:cs="Arial" w:eastAsia="Arial" w:hAnsi="Arial"/>
          <w:sz w:val="17"/>
          <w:szCs w:val="17"/>
          <w:i w:val="1"/>
          <w:iCs w:val="1"/>
          <w:color w:val="auto"/>
        </w:rPr>
        <w:t>provided, further</w:t>
      </w:r>
      <w:r>
        <w:rPr>
          <w:rFonts w:ascii="Arial" w:cs="Arial" w:eastAsia="Arial" w:hAnsi="Arial"/>
          <w:sz w:val="17"/>
          <w:szCs w:val="17"/>
          <w:color w:val="auto"/>
        </w:rPr>
        <w:t>, that the exclusions referred to in this clause (f) shall not include any Proceeds of any such lease, license, contract or agreement that would otherwise constitute Collateral but for this clause (f) (to the extent such Proceeds do not otherwise constitute Excluded Property).</w:t>
      </w:r>
    </w:p>
    <w:p>
      <w:pPr>
        <w:spacing w:after="0" w:line="189"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i w:val="1"/>
          <w:iCs w:val="1"/>
          <w:color w:val="auto"/>
        </w:rPr>
        <w:t xml:space="preserve">“Excluded Subsidiary” </w:t>
      </w:r>
      <w:r>
        <w:rPr>
          <w:rFonts w:ascii="Arial" w:cs="Arial" w:eastAsia="Arial" w:hAnsi="Arial"/>
          <w:sz w:val="18"/>
          <w:szCs w:val="18"/>
          <w:color w:val="auto"/>
        </w:rPr>
        <w:t>means (a) any Domestic Foreign Holdco Subsidiary, (b) any Domestic Subsidiary whose Equity Interests are owned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or indirectly by a CFC, (c) any Subsidiary that is prohibited by applicable law or contractual obligations (other than any contractual obligation in favor of the Parent Guarantor or any of its Subsidiaries) existing on the Document Closing Date (or, in the case of any newly acquired Subsidiary, in existence at the time of acquisition but not entered into in contemplation thereof) from guaranteeing the Obligations or if guaranteeing the Obligations would require governmental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regulatory) consent, approval, license or authorization (unless such consent, approval, license or authorization has been obtained), (d) any captive insurance company and (e) any Domestic Subsidiary that, at the applicable time of determination, (i) does not constitute a Material Subsidiary, (ii) is not a borrower or guarantor under the Bank Credit Agreement at such time and (iii) is not required to be a guarantor under the Bank Credit Agreement at such time.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“Exclusive License” </w:t>
      </w:r>
      <w:r>
        <w:rPr>
          <w:rFonts w:ascii="Arial" w:cs="Arial" w:eastAsia="Arial" w:hAnsi="Arial"/>
          <w:sz w:val="17"/>
          <w:szCs w:val="17"/>
          <w:color w:val="auto"/>
        </w:rPr>
        <w:t>means any license to develop and commercialize a drug or other product line of any Person with a term greater than five</w:t>
      </w:r>
    </w:p>
    <w:p>
      <w:pPr>
        <w:spacing w:after="0" w:line="35" w:lineRule="exact"/>
        <w:rPr>
          <w:sz w:val="20"/>
          <w:szCs w:val="20"/>
          <w:color w:val="auto"/>
        </w:rPr>
      </w:pPr>
    </w:p>
    <w:p>
      <w:pPr>
        <w:ind w:left="660" w:right="8020" w:hanging="652"/>
        <w:spacing w:after="0" w:line="554" w:lineRule="auto"/>
        <w:tabs>
          <w:tab w:leader="none" w:pos="26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years and made on an exclusive basis. </w:t>
      </w:r>
      <w:r>
        <w:rPr>
          <w:rFonts w:ascii="Arial" w:cs="Arial" w:eastAsia="Arial" w:hAnsi="Arial"/>
          <w:sz w:val="16"/>
          <w:szCs w:val="16"/>
          <w:i w:val="1"/>
          <w:iCs w:val="1"/>
          <w:color w:val="auto"/>
        </w:rPr>
        <w:t xml:space="preserve">“Existing Lease” </w:t>
      </w:r>
      <w:r>
        <w:rPr>
          <w:rFonts w:ascii="Arial" w:cs="Arial" w:eastAsia="Arial" w:hAnsi="Arial"/>
          <w:sz w:val="16"/>
          <w:szCs w:val="16"/>
          <w:color w:val="auto"/>
        </w:rPr>
        <w:t>means, collectively:</w:t>
      </w:r>
    </w:p>
    <w:p>
      <w:pPr>
        <w:ind w:firstLine="656"/>
        <w:spacing w:after="0" w:line="269" w:lineRule="auto"/>
        <w:tabs>
          <w:tab w:leader="none" w:pos="1294"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that certain Lease dated as of December 21, 2006, by and between BMR-Landmark at Eastview LLC and the Parent Guarantor, as amended by that certain First Amendment to Lease dated as of October 24, 2007, that certain Second Amendment to Lease dated as of September 30, 2008, that certain Third Amendment to Lease dated as of April 29, 2009, that certain Fourth Amendment to Lease dated as of December 3, 2009, that certain Fifth Amendment to Lease dated as of February 11, 2010, that certain Sixth Amendment to Lease dated as of June 4, 2010, that certain Seventh Amendment to Lease dated as of December 22, 2010, that certain Eighth Amendment to Lease dated as of August 1, 2011, that certain Ninth Amendment to Lease dated as of September 30, 2011, that certain Tenth Amendment to Lease dated as of October 25, 2012, that certain Eleventh Amendment to Lease dated as of April 3, 2013, that certain Twelfth Amendment to Lease dated as of May 31, 2013, that certain Thirteenth Amendment to Lease dated as of May 31, 2013, that certain Fourteenth Amendment to Lease dated as of October 25, 2013, that certain Fifteenth Amendment to Lease dated as of June 12, 2014, that certain Sixteenth Amendment to Lease dated as of June 30, 2015, that certain Seventeenth Amendment to Lease, dated as of August 10, 2015, that certain Eighteenth Amendment to Lease, dated as of March 3, 2017, and the Omnibus Lease Amendment, as the same may have been further assigned, amended, amended and restated, supplemented or modified from time to time, whereby Parent Guarantor leases certain premises from Lessee at 735, 745, 755, 765, 767 and 777 Old Saw Mill River Road in Tarrytown, New York;</w:t>
      </w:r>
    </w:p>
    <w:p>
      <w:pPr>
        <w:spacing w:after="0" w:line="179" w:lineRule="exact"/>
        <w:rPr>
          <w:rFonts w:ascii="Arial" w:cs="Arial" w:eastAsia="Arial" w:hAnsi="Arial"/>
          <w:sz w:val="17"/>
          <w:szCs w:val="17"/>
          <w:color w:val="auto"/>
        </w:rPr>
      </w:pPr>
    </w:p>
    <w:p>
      <w:pPr>
        <w:ind w:right="20" w:firstLine="656"/>
        <w:spacing w:after="0" w:line="257" w:lineRule="auto"/>
        <w:tabs>
          <w:tab w:leader="none" w:pos="130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that certain Mt. Pleasant Lease dated as of April 3, 2013, by and between BMR-Landmark at Eastview LLC and Parent Guarantor, as amended by that certain First Amendment to Mt. Pleasant Lease dated as of June 30, 2015, that certain Second Amendment to Mt. Pleasant Lease, dated as of March 3, 2017, and the Omnibus Lease Amendment, as the same may have been further assigned, amended, amended and restated, supplemented or modified from time to time, whereby Parent Guarantor leases certain premises from Lessee in the Mt. Pleasant Project known as Building 8 and Building 9 in Tarrytown, New York; and</w:t>
      </w:r>
    </w:p>
    <w:p>
      <w:pPr>
        <w:spacing w:after="0" w:line="188" w:lineRule="exact"/>
        <w:rPr>
          <w:rFonts w:ascii="Arial" w:cs="Arial" w:eastAsia="Arial" w:hAnsi="Arial"/>
          <w:sz w:val="18"/>
          <w:szCs w:val="18"/>
          <w:color w:val="auto"/>
        </w:rPr>
      </w:pPr>
    </w:p>
    <w:p>
      <w:pPr>
        <w:jc w:val="both"/>
        <w:ind w:right="180" w:firstLine="656"/>
        <w:spacing w:after="0" w:line="279" w:lineRule="auto"/>
        <w:tabs>
          <w:tab w:leader="none" w:pos="1307" w:val="left"/>
        </w:tabs>
        <w:numPr>
          <w:ilvl w:val="1"/>
          <w:numId w:val="102"/>
        </w:numPr>
        <w:rPr>
          <w:rFonts w:ascii="Arial" w:cs="Arial" w:eastAsia="Arial" w:hAnsi="Arial"/>
          <w:sz w:val="17"/>
          <w:szCs w:val="17"/>
          <w:color w:val="auto"/>
        </w:rPr>
      </w:pPr>
      <w:r>
        <w:rPr>
          <w:rFonts w:ascii="Arial" w:cs="Arial" w:eastAsia="Arial" w:hAnsi="Arial"/>
          <w:sz w:val="17"/>
          <w:szCs w:val="17"/>
          <w:color w:val="auto"/>
        </w:rPr>
        <w:t>that certain Amended and Restated Agreement of Lease dated as of October 28, 2009, by and between BMR-Landmark at Eastview LLC and Progenics Pharmaceuticals, Inc., as amended by that certain First Amendment to Amended and Restated Agreement of Lease dated as of June 1, 2010, that certain Second Amendment to Amended and Restated Agreement of Lease dated as of November 19, 2010, that certain Third Amendment to Amended and Restated Agreement of Lease dated as of January 23, 2012, that certain Letter Agreement dated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February 6, 2012, that certain Fourth Amendment to Amended and Restated Agreement of Lease dated as of May 30, 2013, as amended by Subordination, Non-Disturbance and Attornment Agreement dated January 27, 2016, that certain Assignment and Assumption Agreement dated as of May 6, 2016 between</w:t>
      </w:r>
    </w:p>
    <w:p>
      <w:pPr>
        <w:sectPr>
          <w:pgSz w:w="11900" w:h="16935" w:orient="portrait"/>
          <w:cols w:equalWidth="0" w:num="1">
            <w:col w:w="11420"/>
          </w:cols>
          <w:pgMar w:left="240" w:top="733" w:right="239" w:bottom="0" w:gutter="0" w:footer="0" w:header="0"/>
        </w:sectPr>
      </w:pPr>
    </w:p>
    <w:bookmarkStart w:id="43" w:name="page44"/>
    <w:bookmarkEnd w:id="43"/>
    <w:p>
      <w:pPr>
        <w:spacing w:after="0" w:line="1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Progenics Pharmaceuticals, Inc. and Parent Guarantor, that certain Fifth Amendment to Amended and Restated Agreement of Lease dated as of May 6, 2016, that certain Sixth Amendment to Amended and Restated Agreement of Lease dated as of March 3, 2017, and the Omnibus Lease Amendment, as the same may have been further assigned, amended, amended and restated, supplemented or modified from time to time, whereby Parent Guarantor leases certain premises from Lessee at 771 Old Saw Mill River Road, Tarrytown, New York.</w:t>
      </w:r>
    </w:p>
    <w:p>
      <w:pPr>
        <w:spacing w:after="0" w:line="18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i w:val="1"/>
          <w:iCs w:val="1"/>
          <w:color w:val="auto"/>
        </w:rPr>
        <w:t xml:space="preserve">“Expiration Date” </w:t>
      </w:r>
      <w:r>
        <w:rPr>
          <w:rFonts w:ascii="Arial" w:cs="Arial" w:eastAsia="Arial" w:hAnsi="Arial"/>
          <w:sz w:val="18"/>
          <w:szCs w:val="18"/>
          <w:color w:val="auto"/>
        </w:rPr>
        <w:t>means the fifth anniversary of the Document Closing Date as such date may be renewed or otherwise extended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4.7 of the Participation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F.R.S. 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“Facility” </w:t>
      </w:r>
      <w:r>
        <w:rPr>
          <w:rFonts w:ascii="Arial" w:cs="Arial" w:eastAsia="Arial" w:hAnsi="Arial"/>
          <w:sz w:val="17"/>
          <w:szCs w:val="17"/>
          <w:color w:val="auto"/>
        </w:rPr>
        <w:t>means the office, laboratory and research and development campus commonly known as “Landmark at Eastview” installed on the Site,</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all buildings, structures, fixtures, Equipment and other improvements of every kind related thereto existing at any time and from time to time (including those purchased with amounts advanced by the Participants pursuant to the Participation Agreement) on or under the Site, together with any and all easements, rights of way or use, rights of ingress or egress, privileges, benefits, and Appurtenant Rights, including streets, sidewalks, ways, alleys, vaults and strips of land adjoining, abutting, adjacent, appurtenant or contiguous to the Site, all paving, grading, utility pipes, fencing, conduits and lines, signs, retaining walls, lighting, electrical and drainage structures, parking areas and roadways, all Modifications and other additions to or changes in the Facility at any time, but in any such case, excluding any Excluded Property.</w:t>
      </w:r>
    </w:p>
    <w:p>
      <w:pPr>
        <w:spacing w:after="0" w:line="17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Fair Market Value</w:t>
      </w:r>
      <w:r>
        <w:rPr>
          <w:rFonts w:ascii="Arial" w:cs="Arial" w:eastAsia="Arial" w:hAnsi="Arial"/>
          <w:sz w:val="17"/>
          <w:szCs w:val="17"/>
          <w:color w:val="auto"/>
        </w:rPr>
        <w:t>” means with respect to the Leased Property or any portion thereof, as of the date of the determination, the amount (which in any event shall not be less than zero) as determined by the Appraiser (or any other independent appraiser chosen by Lessor at the direction of the Administrative Agent and reasonably acceptable to Lessee) that would be paid in an arm’s-length transaction between an informed and willing buyer (other than a buyer currently in possession) and an informed and willing seller, under no compulsion to buy or sell, and neither of which is related to Lessor, Administrative Agent or Lessee or any Affiliate thereof, for the purchase of the Leased Property or such portion thereof, as applicable. Such fair market value shall (a) be calculated assuming that the Leased Property is in the condition and state of repair required to be maintained by the terms of the Lease (unless such fair market value is being determined for purposes evaluating the items described in Section 5.3(d) or Section 13.2 of the Participation Agreement, in which case this assumption shall not be made) and (b) take into account the affect of any sublease of the Leased Property to any Person that is not an Affiliate of Lessee, to the extent such sublease is permitted pursuant to the Lease.</w:t>
      </w:r>
    </w:p>
    <w:p>
      <w:pPr>
        <w:spacing w:after="0" w:line="182"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FATCA</w:t>
      </w:r>
      <w:r>
        <w:rPr>
          <w:rFonts w:ascii="Arial" w:cs="Arial" w:eastAsia="Arial" w:hAnsi="Arial"/>
          <w:sz w:val="18"/>
          <w:szCs w:val="18"/>
          <w:color w:val="auto"/>
        </w:rPr>
        <w:t>” means Sections 1471 through 1474 of the Code, as of the Document Closing Date (or any amended or successor version that is substantively comparable and not materially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more onerous to comply with), any current or future regulations or official interpretations thereof and any agreement entered into pursuant to Section 1471(b)</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 of the Code.</w:t>
      </w:r>
    </w:p>
    <w:p>
      <w:pPr>
        <w:spacing w:after="0" w:line="21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“Federal Funds Effective Rate” </w:t>
      </w:r>
      <w:r>
        <w:rPr>
          <w:rFonts w:ascii="Arial" w:cs="Arial" w:eastAsia="Arial" w:hAnsi="Arial"/>
          <w:sz w:val="16"/>
          <w:szCs w:val="16"/>
          <w:color w:val="auto"/>
        </w:rPr>
        <w:t>means, for any day, the rate per annum equal to the weighted average of the rates on overnight Federal funds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transactions with members of the Federal Reserve System, as published by the Federal Reserve Bank of New York on the Business Day next succeeding such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if such day is not a Business Day and such rate is not so published for such day, the Federal Funds Effective Rate for such day shall be such rate on such transactions on the next preceding Business Day as so published on the next succeeding Business Day, and (b) if no such rate is so published on such next succeeding Business Day, the Federal Funds Effective Rate for such day shall be the average rate (rounded upward, if necessary, to the next whole multiple of 1/100 of 1%) charged to Bank of America, N.A. on such day on such transactions as determined by the Administrative Agent;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the Federal Funds Effective Rate shall be less than zero, such rate shall be deemed to be zero for purposes of the Operative Documents.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“Fee Letters” </w:t>
      </w:r>
      <w:r>
        <w:rPr>
          <w:rFonts w:ascii="Arial" w:cs="Arial" w:eastAsia="Arial" w:hAnsi="Arial"/>
          <w:sz w:val="18"/>
          <w:szCs w:val="18"/>
          <w:color w:val="auto"/>
        </w:rPr>
        <w:t>means, collectively, the Arranger Fee Letter and the Administrative Agent Fee Letter, and each a “Fee Letter”.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Fees</w:t>
      </w:r>
      <w:r>
        <w:rPr>
          <w:rFonts w:ascii="Arial" w:cs="Arial" w:eastAsia="Arial" w:hAnsi="Arial"/>
          <w:sz w:val="18"/>
          <w:szCs w:val="18"/>
          <w:color w:val="auto"/>
        </w:rPr>
        <w:t>” is defined in Section 4.4 of the Participation Agreement.</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Financial Officer</w:t>
      </w:r>
      <w:r>
        <w:rPr>
          <w:rFonts w:ascii="Arial" w:cs="Arial" w:eastAsia="Arial" w:hAnsi="Arial"/>
          <w:sz w:val="18"/>
          <w:szCs w:val="18"/>
          <w:color w:val="auto"/>
        </w:rPr>
        <w:t>” means the chief financial officer, principal accounting officer, treasurer, assistant treasurer, senior vice president-finance or controller (or, if applicable, deputy controller) of the Lessee (or, as the context may require, a Guarantor).</w:t>
      </w:r>
    </w:p>
    <w:p>
      <w:pPr>
        <w:spacing w:after="0" w:line="170"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Financials</w:t>
      </w:r>
      <w:r>
        <w:rPr>
          <w:rFonts w:ascii="Arial" w:cs="Arial" w:eastAsia="Arial" w:hAnsi="Arial"/>
          <w:sz w:val="16"/>
          <w:szCs w:val="16"/>
          <w:color w:val="auto"/>
        </w:rPr>
        <w:t>” means the annual or quarterly financial statements of the Parent Guarantor and its consolidated Subsidiaries required to be delivered pursuant to Section 8(a)(i) or 8(a)(ii) of the Guaranty and accompanying certificates required to be delivered pursuant to Section 8(a)(iii) of the Guaranty.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FIRPTA</w:t>
      </w:r>
      <w:r>
        <w:rPr>
          <w:rFonts w:ascii="Arial" w:cs="Arial" w:eastAsia="Arial" w:hAnsi="Arial"/>
          <w:sz w:val="18"/>
          <w:szCs w:val="18"/>
          <w:color w:val="auto"/>
        </w:rPr>
        <w:t>” means a certification as to the nonforeign status for federal tax withholding purposes.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FIRREA</w:t>
      </w:r>
      <w:r>
        <w:rPr>
          <w:rFonts w:ascii="Arial" w:cs="Arial" w:eastAsia="Arial" w:hAnsi="Arial"/>
          <w:sz w:val="16"/>
          <w:szCs w:val="16"/>
          <w:color w:val="auto"/>
        </w:rPr>
        <w:t>” means the Financial Institution Reform, Recovery and Enforcement Act of 1989, as amended, and all regulations promulgated pursuant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Subsidiary</w:t>
      </w:r>
      <w:r>
        <w:rPr>
          <w:rFonts w:ascii="Arial" w:cs="Arial" w:eastAsia="Arial" w:hAnsi="Arial"/>
          <w:sz w:val="18"/>
          <w:szCs w:val="18"/>
          <w:color w:val="auto"/>
        </w:rPr>
        <w:t>” means a Subsidiary that is not a Domestic Subsidiary.</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w:t>
      </w:r>
      <w:r>
        <w:rPr>
          <w:rFonts w:ascii="Arial" w:cs="Arial" w:eastAsia="Arial" w:hAnsi="Arial"/>
          <w:sz w:val="18"/>
          <w:szCs w:val="18"/>
          <w:color w:val="auto"/>
        </w:rPr>
        <w:t>” “</w:t>
      </w:r>
      <w:r>
        <w:rPr>
          <w:rFonts w:ascii="Arial" w:cs="Arial" w:eastAsia="Arial" w:hAnsi="Arial"/>
          <w:sz w:val="18"/>
          <w:szCs w:val="18"/>
          <w:i w:val="1"/>
          <w:iCs w:val="1"/>
          <w:color w:val="auto"/>
        </w:rPr>
        <w:t>Funded</w:t>
      </w:r>
      <w:r>
        <w:rPr>
          <w:rFonts w:ascii="Arial" w:cs="Arial" w:eastAsia="Arial" w:hAnsi="Arial"/>
          <w:sz w:val="18"/>
          <w:szCs w:val="18"/>
          <w:color w:val="auto"/>
        </w:rPr>
        <w:t>” or “</w:t>
      </w:r>
      <w:r>
        <w:rPr>
          <w:rFonts w:ascii="Arial" w:cs="Arial" w:eastAsia="Arial" w:hAnsi="Arial"/>
          <w:sz w:val="18"/>
          <w:szCs w:val="18"/>
          <w:i w:val="1"/>
          <w:iCs w:val="1"/>
          <w:color w:val="auto"/>
        </w:rPr>
        <w:t>Funding</w:t>
      </w:r>
      <w:r>
        <w:rPr>
          <w:rFonts w:ascii="Arial" w:cs="Arial" w:eastAsia="Arial" w:hAnsi="Arial"/>
          <w:sz w:val="18"/>
          <w:szCs w:val="18"/>
          <w:color w:val="auto"/>
        </w:rPr>
        <w:t>” means the funding by a Participant of a portion of the principal under its Note or a portion of its Lessor Amount (as the case may be) constituting a portion of the Advance as described in Article III of the Participation Agreement.</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Funding Indemnity Agreement</w:t>
      </w:r>
      <w:r>
        <w:rPr>
          <w:rFonts w:ascii="Arial" w:cs="Arial" w:eastAsia="Arial" w:hAnsi="Arial"/>
          <w:sz w:val="18"/>
          <w:szCs w:val="18"/>
          <w:color w:val="auto"/>
        </w:rPr>
        <w:t>” means the Funding Indemnity Agreement, between Lessee and Administrative Agent, delivered in connection with the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i w:val="1"/>
          <w:iCs w:val="1"/>
          <w:color w:val="auto"/>
        </w:rPr>
        <w:t>GAAP</w:t>
      </w:r>
      <w:r>
        <w:rPr>
          <w:rFonts w:ascii="Arial" w:cs="Arial" w:eastAsia="Arial" w:hAnsi="Arial"/>
          <w:sz w:val="15"/>
          <w:szCs w:val="15"/>
          <w:color w:val="auto"/>
        </w:rPr>
        <w:t>” means generally accepted accounting principles in the United States</w:t>
      </w:r>
      <w:r>
        <w:rPr>
          <w:rFonts w:ascii="Arial" w:cs="Arial" w:eastAsia="Arial" w:hAnsi="Arial"/>
          <w:sz w:val="16"/>
          <w:szCs w:val="16"/>
          <w:color w:val="auto"/>
        </w:rPr>
        <w:t>, subject to clause (b) of this Appendix 1 to the Participation Agreement.</w:t>
      </w:r>
    </w:p>
    <w:p>
      <w:pPr>
        <w:spacing w:after="0" w:line="248"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General Indemnitee</w:t>
      </w:r>
      <w:r>
        <w:rPr>
          <w:rFonts w:ascii="Arial" w:cs="Arial" w:eastAsia="Arial" w:hAnsi="Arial"/>
          <w:sz w:val="16"/>
          <w:szCs w:val="16"/>
          <w:color w:val="auto"/>
        </w:rPr>
        <w:t>” or “</w:t>
      </w:r>
      <w:r>
        <w:rPr>
          <w:rFonts w:ascii="Arial" w:cs="Arial" w:eastAsia="Arial" w:hAnsi="Arial"/>
          <w:sz w:val="16"/>
          <w:szCs w:val="16"/>
          <w:i w:val="1"/>
          <w:iCs w:val="1"/>
          <w:color w:val="auto"/>
        </w:rPr>
        <w:t>Tax Indemnitee</w:t>
      </w:r>
      <w:r>
        <w:rPr>
          <w:rFonts w:ascii="Arial" w:cs="Arial" w:eastAsia="Arial" w:hAnsi="Arial"/>
          <w:sz w:val="16"/>
          <w:szCs w:val="16"/>
          <w:color w:val="auto"/>
        </w:rPr>
        <w:t>” means each Participant, the Administrative Agent (in its individual capacity and as agent), the Arranger, any additional, separate co-agent appointed in accordance with the terms of the Participation Agreement, and the respective Affiliates, successors, permitted assigns, permitted transferees, contractors, employees, officers, directors, shareholders, partners, participants (including, without limitation, any assignee or</w:t>
      </w:r>
    </w:p>
    <w:p>
      <w:pPr>
        <w:sectPr>
          <w:pgSz w:w="11900" w:h="16952" w:orient="portrait"/>
          <w:cols w:equalWidth="0" w:num="1">
            <w:col w:w="11400"/>
          </w:cols>
          <w:pgMar w:left="240" w:top="125" w:right="259" w:bottom="0" w:gutter="0" w:footer="0" w:header="0"/>
        </w:sectPr>
      </w:pPr>
    </w:p>
    <w:bookmarkStart w:id="44" w:name="page45"/>
    <w:bookmarkEnd w:id="44"/>
    <w:p>
      <w:pPr>
        <w:spacing w:after="0" w:line="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transferee permitted by Article XII of the Participation Agreement), representatives and agents of each of the foregoing Persons;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no event shall Lessee or any of its Affiliates be a General Indemnitee or Tax Indemnitee.</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Governmental Action</w:t>
      </w:r>
      <w:r>
        <w:rPr>
          <w:rFonts w:ascii="Arial" w:cs="Arial" w:eastAsia="Arial" w:hAnsi="Arial"/>
          <w:sz w:val="16"/>
          <w:szCs w:val="16"/>
          <w:color w:val="auto"/>
        </w:rPr>
        <w:t>” means all permits, authorizations, registrations, consents, approvals, waivers, exceptions, variances, orders, judgments, written interpretations, decrees, licenses, exemptions, publications, filings, comfort letters (to the extent any are in effect at the applicable time with respect to the applicable Person or property), no further action letters (to the extent any are in effect at the applicable time with respect to the applicable Person or property), environmental deed restrictions (to the extent any are in effect at the applicable time with respect to the applicable Person or property), notices to and declarations of or with, or required by, any Governmental Authority, or required by any Applicable Laws, and shall include, without limitation, all environmental and operating permits and licenses that are required for the ownership, occupancy, full use and operation of the Leased Property.</w:t>
      </w:r>
    </w:p>
    <w:p>
      <w:pPr>
        <w:spacing w:after="0" w:line="16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i w:val="1"/>
          <w:iCs w:val="1"/>
          <w:color w:val="auto"/>
        </w:rPr>
        <w:t xml:space="preserve">“Governmental Authority” </w:t>
      </w:r>
      <w:r>
        <w:rPr>
          <w:rFonts w:ascii="Arial" w:cs="Arial" w:eastAsia="Arial" w:hAnsi="Arial"/>
          <w:sz w:val="18"/>
          <w:szCs w:val="18"/>
          <w:color w:val="auto"/>
        </w:rPr>
        <w:t>means any federal, any state or other political subdivision thereof or any other entity exercising executive, legislative,</w:t>
      </w:r>
      <w:r>
        <w:rPr>
          <w:rFonts w:ascii="Arial" w:cs="Arial" w:eastAsia="Arial" w:hAnsi="Arial"/>
          <w:sz w:val="18"/>
          <w:szCs w:val="18"/>
          <w:i w:val="1"/>
          <w:iCs w:val="1"/>
          <w:color w:val="auto"/>
        </w:rPr>
        <w:t xml:space="preserve"> </w:t>
      </w:r>
      <w:r>
        <w:rPr>
          <w:rFonts w:ascii="Arial" w:cs="Arial" w:eastAsia="Arial" w:hAnsi="Arial"/>
          <w:sz w:val="18"/>
          <w:szCs w:val="18"/>
          <w:color w:val="auto"/>
        </w:rPr>
        <w:t>judicial, regulatory or administrative functions of or pertaining to government.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“Gross Proceeds” </w:t>
      </w:r>
      <w:r>
        <w:rPr>
          <w:rFonts w:ascii="Arial" w:cs="Arial" w:eastAsia="Arial" w:hAnsi="Arial"/>
          <w:sz w:val="18"/>
          <w:szCs w:val="18"/>
          <w:color w:val="auto"/>
        </w:rPr>
        <w:t>is defined in Section 20.1(l)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“Grossed-Up Basis” </w:t>
      </w:r>
      <w:r>
        <w:rPr>
          <w:rFonts w:ascii="Arial" w:cs="Arial" w:eastAsia="Arial" w:hAnsi="Arial"/>
          <w:sz w:val="18"/>
          <w:szCs w:val="18"/>
          <w:color w:val="auto"/>
        </w:rPr>
        <w:t>is defined in Section 13.4(c)(ii) of the Participation Agreement.</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of or by any Person (the “</w:t>
      </w:r>
      <w:r>
        <w:rPr>
          <w:rFonts w:ascii="Arial" w:cs="Arial" w:eastAsia="Arial" w:hAnsi="Arial"/>
          <w:sz w:val="18"/>
          <w:szCs w:val="18"/>
          <w:i w:val="1"/>
          <w:iCs w:val="1"/>
          <w:color w:val="auto"/>
        </w:rPr>
        <w:t>guarantor</w:t>
      </w:r>
      <w:r>
        <w:rPr>
          <w:rFonts w:ascii="Arial" w:cs="Arial" w:eastAsia="Arial" w:hAnsi="Arial"/>
          <w:sz w:val="18"/>
          <w:szCs w:val="18"/>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8"/>
          <w:szCs w:val="18"/>
          <w:i w:val="1"/>
          <w:iCs w:val="1"/>
          <w:color w:val="auto"/>
        </w:rPr>
        <w:t>primary obligor</w:t>
      </w:r>
      <w:r>
        <w:rPr>
          <w:rFonts w:ascii="Arial" w:cs="Arial" w:eastAsia="Arial" w:hAnsi="Arial"/>
          <w:sz w:val="18"/>
          <w:szCs w:val="18"/>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term “Guarantee” shall not include endorsements for collection or deposit in the ordinary course of business. The amount of any Guarantee shall be deemed to be an amount equal to the lesser of (a) the stated or determinable amount of the primary payment obligation in respect of which such Guarantee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made and (b) the maximum amount for which the guaranteeing Person may be liable pursuant to the terms of the instrument embodying such Guarantee, unless such primary payment obligation and the maximum amount for which such guaranteeing Person may be liable are not stated or determinable, in which case the amount of the Guarantee shall be such guaranteeing Person’s maximum reasonably possible liability in respect thereof as reasonably determined by the Parent Guarantor or Lessee in good faith.</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“Guarantors” </w:t>
      </w:r>
      <w:r>
        <w:rPr>
          <w:rFonts w:ascii="Arial" w:cs="Arial" w:eastAsia="Arial" w:hAnsi="Arial"/>
          <w:sz w:val="18"/>
          <w:szCs w:val="18"/>
          <w:color w:val="auto"/>
        </w:rPr>
        <w:t>means, individually and collectively, the Parent Guarantor and the Subsidiary Guarantors.</w:t>
      </w:r>
    </w:p>
    <w:p>
      <w:pPr>
        <w:spacing w:after="0" w:line="225"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Guaranty</w:t>
      </w:r>
      <w:r>
        <w:rPr>
          <w:rFonts w:ascii="Arial" w:cs="Arial" w:eastAsia="Arial" w:hAnsi="Arial"/>
          <w:sz w:val="16"/>
          <w:szCs w:val="16"/>
          <w:color w:val="auto"/>
        </w:rPr>
        <w:t>” means that certain Guaranty substantially in the form of Exhibit D to the Participation Agreement (including any and all supplements thereto) and executed by the Parent Guarantor and each Subsidiary Guarantor party thereto from time to time and any other Person required pursuant to Article VI of the Lease in connection with an Affiliate Transferee, as amended, restated, supplemented or otherwise modified from time to time.</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asbestos or asbestos-containing materials, polychlorinated biphenyls, radon gas, infectious or medical wastes and all other substances or wastes of any nature regulated pursuant to any Environmental Law.</w:t>
      </w:r>
    </w:p>
    <w:p>
      <w:pPr>
        <w:spacing w:after="0" w:line="181" w:lineRule="exact"/>
        <w:rPr>
          <w:sz w:val="20"/>
          <w:szCs w:val="20"/>
          <w:color w:val="auto"/>
        </w:rPr>
      </w:pPr>
    </w:p>
    <w:p>
      <w:pPr>
        <w:ind w:right="440" w:firstLine="648"/>
        <w:spacing w:after="0" w:line="259" w:lineRule="auto"/>
        <w:rPr>
          <w:sz w:val="20"/>
          <w:szCs w:val="20"/>
          <w:color w:val="auto"/>
        </w:rPr>
      </w:pPr>
      <w:r>
        <w:rPr>
          <w:rFonts w:ascii="Arial" w:cs="Arial" w:eastAsia="Arial" w:hAnsi="Arial"/>
          <w:sz w:val="18"/>
          <w:szCs w:val="18"/>
          <w:i w:val="1"/>
          <w:iCs w:val="1"/>
          <w:color w:val="auto"/>
        </w:rPr>
        <w:t xml:space="preserve">“Hazardous Substance” </w:t>
      </w:r>
      <w:r>
        <w:rPr>
          <w:rFonts w:ascii="Arial" w:cs="Arial" w:eastAsia="Arial" w:hAnsi="Arial"/>
          <w:sz w:val="18"/>
          <w:szCs w:val="18"/>
          <w:color w:val="auto"/>
        </w:rPr>
        <w:t>means any substance, waste or material that (i) is toxic, explosive, corrosive, flammable, infectious, radioactive,</w:t>
      </w:r>
      <w:r>
        <w:rPr>
          <w:rFonts w:ascii="Arial" w:cs="Arial" w:eastAsia="Arial" w:hAnsi="Arial"/>
          <w:sz w:val="18"/>
          <w:szCs w:val="18"/>
          <w:i w:val="1"/>
          <w:iCs w:val="1"/>
          <w:color w:val="auto"/>
        </w:rPr>
        <w:t xml:space="preserve"> </w:t>
      </w:r>
      <w:r>
        <w:rPr>
          <w:rFonts w:ascii="Arial" w:cs="Arial" w:eastAsia="Arial" w:hAnsi="Arial"/>
          <w:sz w:val="18"/>
          <w:szCs w:val="18"/>
          <w:color w:val="auto"/>
        </w:rPr>
        <w:t>carcinogenic, mutagenic or otherwise hazardous by listing characteristic or definition under any Environmental Law including asbestos, polychlorinated biphenyls, radon gas, petroleum, crude oil or any fraction thereof, petroleum derivatives, by products and other hydrocarbons or (ii) that is or becomes otherwise regulated pursuant to any Environmental Law.</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“Highest Lawful Rate” </w:t>
      </w:r>
      <w:r>
        <w:rPr>
          <w:rFonts w:ascii="Arial" w:cs="Arial" w:eastAsia="Arial" w:hAnsi="Arial"/>
          <w:sz w:val="18"/>
          <w:szCs w:val="18"/>
          <w:color w:val="auto"/>
        </w:rPr>
        <w:t>is defined in Section 4.6(b) of the Participation Agreement.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Home Depot Ground Lease</w:t>
      </w:r>
      <w:r>
        <w:rPr>
          <w:rFonts w:ascii="Arial" w:cs="Arial" w:eastAsia="Arial" w:hAnsi="Arial"/>
          <w:sz w:val="18"/>
          <w:szCs w:val="18"/>
          <w:color w:val="auto"/>
        </w:rPr>
        <w:t>” means that certain Ground Lease, dated September 7, 2006, by and between Eastview Holdings LLC and Home Depot U.S.A., Inc., as the same may be amended, restated, modified, supplemented, extended or replaced.</w:t>
      </w:r>
    </w:p>
    <w:p>
      <w:pPr>
        <w:spacing w:after="0" w:line="170"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IFRS</w:t>
      </w:r>
      <w:r>
        <w:rPr>
          <w:rFonts w:ascii="Arial" w:cs="Arial" w:eastAsia="Arial" w:hAnsi="Arial"/>
          <w:sz w:val="17"/>
          <w:szCs w:val="17"/>
          <w:color w:val="auto"/>
        </w:rPr>
        <w:t>” means the body of pronouncements issued by the International Accounting Standards Board (“</w:t>
      </w:r>
      <w:r>
        <w:rPr>
          <w:rFonts w:ascii="Arial" w:cs="Arial" w:eastAsia="Arial" w:hAnsi="Arial"/>
          <w:sz w:val="17"/>
          <w:szCs w:val="17"/>
          <w:i w:val="1"/>
          <w:iCs w:val="1"/>
          <w:color w:val="auto"/>
        </w:rPr>
        <w:t>IASB</w:t>
      </w:r>
      <w:r>
        <w:rPr>
          <w:rFonts w:ascii="Arial" w:cs="Arial" w:eastAsia="Arial" w:hAnsi="Arial"/>
          <w:sz w:val="17"/>
          <w:szCs w:val="17"/>
          <w:color w:val="auto"/>
        </w:rPr>
        <w:t>”), including International Financial Reporting Standards and interpretations approved by the IASB, International Accounting Standards and Standing Interpretations Committee interpretations approved by the predecessor International Accounting Standards Committee and adapted for use in the European Union.</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“Impositions” </w:t>
      </w:r>
      <w:r>
        <w:rPr>
          <w:rFonts w:ascii="Arial" w:cs="Arial" w:eastAsia="Arial" w:hAnsi="Arial"/>
          <w:sz w:val="18"/>
          <w:szCs w:val="18"/>
          <w:color w:val="auto"/>
        </w:rPr>
        <w:t>means any and all liabilities, losses, expenses and costs of any kind whatsoever for fees, taxes, levies, imposts, duties, charges,</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assessments or withholdings of any nature whatsoever imposed by a Governmental Authority (</w:t>
      </w:r>
      <w:r>
        <w:rPr>
          <w:rFonts w:ascii="Arial" w:cs="Arial" w:eastAsia="Arial" w:hAnsi="Arial"/>
          <w:sz w:val="18"/>
          <w:szCs w:val="18"/>
          <w:i w:val="1"/>
          <w:iCs w:val="1"/>
          <w:color w:val="auto"/>
        </w:rPr>
        <w:t>“Taxes”</w:t>
      </w:r>
      <w:r>
        <w:rPr>
          <w:rFonts w:ascii="Arial" w:cs="Arial" w:eastAsia="Arial" w:hAnsi="Arial"/>
          <w:sz w:val="18"/>
          <w:szCs w:val="18"/>
          <w:color w:val="auto"/>
        </w:rPr>
        <w:t>) (including (i) real property taxes and personal property taxes on any property covered by the Lease that is classified by Governmental Authorities as personal property, and real estate or ad valorem taxes in the nature of property taxes; (ii) sales taxes, use taxes and other similar taxes (including rent taxes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intangibles taxes); (iii) any excise taxes; (iv) real estate transfer taxes, conveyance taxes, mortgage taxes, intangible taxes, stamp taxes and documentary recording taxes and fees; (v) taxes that are or are in the nature of franchise, income, value added, gross receipts, privilege and doing business taxes, license and registration fees; and (vi) assessments on the Site or Facility, including all assessments for public improvements or benefits, whether or not such improvements are commenced or completed within the Term), and in each case all interest, additions to tax and penalties thereon, which at any time may be levied, assessed or imposed by any Federal, state or local authority upon or with respect to (a) any Tax Indemnitee, the Leased Property or any part thereof or interest therein, or the Lessee or any sublessee or user of the Leased Property; (b) the financing, refinancing, demolition, construction, substitution, subleasing, assignment, control, condition, servicing, maintenance, repair, ownership, possession, purchase, rental, lease, activity conducted on, delivery, insuring, use, operation, improvement, transfer, return or other disposition of the Leased Property or any part thereof or interest therein; (c) the Notes, Lessor</w:t>
      </w:r>
    </w:p>
    <w:p>
      <w:pPr>
        <w:sectPr>
          <w:pgSz w:w="11900" w:h="16933" w:orient="portrait"/>
          <w:cols w:equalWidth="0" w:num="1">
            <w:col w:w="11420"/>
          </w:cols>
          <w:pgMar w:left="240" w:top="125" w:right="239" w:bottom="0" w:gutter="0" w:footer="0" w:header="0"/>
        </w:sectPr>
      </w:pPr>
    </w:p>
    <w:bookmarkStart w:id="45" w:name="page46"/>
    <w:bookmarkEnd w:id="45"/>
    <w:p>
      <w:pPr>
        <w:spacing w:after="0" w:line="9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Amount, or other indebtedness with respect to the Leased Property or any part thereof or interest therein or transfer thereof; (d) the rentals, receipts or earnings arising from the Leased Property or any part thereof or interest therein; (e) the Operative Documents or any payment made or accrued pursuant thereto; (f) the income or other proceeds received with respect to the Leased Property or any part thereof or interest therein upon the sale or disposition thereof; (g) any contract relating to the construction, acquisition or delivery of the Facility or any part thereof or interest therein; (h) the issuance of the Notes, (i) any transaction contemplated by Section 10.1(f) of the Participation Agreement; or (j) otherwise in connection with the Overall Transaction.</w:t>
      </w:r>
    </w:p>
    <w:p>
      <w:pPr>
        <w:spacing w:after="0" w:line="15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Notwithstanding anything in the first paragraph of this definition (except as provided in the final paragraph of this definition) the term “Impositions” shall not mean or include:</w:t>
      </w:r>
    </w:p>
    <w:p>
      <w:pPr>
        <w:spacing w:after="0" w:line="170" w:lineRule="exact"/>
        <w:rPr>
          <w:sz w:val="20"/>
          <w:szCs w:val="20"/>
          <w:color w:val="auto"/>
        </w:rPr>
      </w:pPr>
    </w:p>
    <w:p>
      <w:pPr>
        <w:jc w:val="both"/>
        <w:ind w:left="660" w:right="80" w:firstLine="804"/>
        <w:spacing w:after="0" w:line="271" w:lineRule="auto"/>
        <w:tabs>
          <w:tab w:leader="none" w:pos="1975" w:val="left"/>
        </w:tabs>
        <w:numPr>
          <w:ilvl w:val="1"/>
          <w:numId w:val="103"/>
        </w:numPr>
        <w:rPr>
          <w:rFonts w:ascii="Arial" w:cs="Arial" w:eastAsia="Arial" w:hAnsi="Arial"/>
          <w:sz w:val="17"/>
          <w:szCs w:val="17"/>
          <w:color w:val="auto"/>
        </w:rPr>
      </w:pPr>
      <w:r>
        <w:rPr>
          <w:rFonts w:ascii="Arial" w:cs="Arial" w:eastAsia="Arial" w:hAnsi="Arial"/>
          <w:sz w:val="17"/>
          <w:szCs w:val="17"/>
          <w:color w:val="auto"/>
        </w:rPr>
        <w:t xml:space="preserve">Taxes and impositions imposed upon a Tax Indemnitee (other than Taxes that are, or are in the nature of, sales, use, value added, rental, transfer, property or ad valorem taxes with respect to the Leased Property or any sublease or other transfer thereof) that are imposed by any Governmental Authority and that are based upon or measured by the overall gross or net income or overall gross or net receipts (including, without limitation, any minimum taxes, income or capital gains taxes, or taxes on, measured by, with respect to, or in the nature of capital, net worth, excess profits, items of tax preference, capital stock, franchise, business privilege or doing business taxes or any taxes in the nature of an intangibles tax, an ad valorem tax or property tax imposed on a Participant, Sub-Participant, or any holder of a Note or Lessor Amount by reason of owning or holding a Note or Lessor Amount);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clause (i) shall not be interpreted to prevent a payment from being made on an After Tax Basis if such payment is otherwise required to be so made;</w:t>
      </w:r>
    </w:p>
    <w:p>
      <w:pPr>
        <w:spacing w:after="0" w:line="178" w:lineRule="exact"/>
        <w:rPr>
          <w:rFonts w:ascii="Arial" w:cs="Arial" w:eastAsia="Arial" w:hAnsi="Arial"/>
          <w:sz w:val="17"/>
          <w:szCs w:val="17"/>
          <w:color w:val="auto"/>
        </w:rPr>
      </w:pPr>
    </w:p>
    <w:p>
      <w:pPr>
        <w:ind w:left="660" w:firstLine="754"/>
        <w:spacing w:after="0" w:line="264" w:lineRule="auto"/>
        <w:tabs>
          <w:tab w:leader="none" w:pos="1989"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any Tax or imposition to the extent, but only to such extent, it relates to any act, event or omission that occurs, or relates to a period, after the termination of the Lease (but not any Tax or imposition that relates to any period prior to the termination of the Lease with respect to the Leased Property to which such Tax or Imposition relates;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1980" w:hanging="627"/>
        <w:spacing w:after="0"/>
        <w:tabs>
          <w:tab w:leader="none" w:pos="19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Tax or imposition for so long as, but only for so long as, it is being contested in accordance with the provisions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3" w:lineRule="exact"/>
        <w:rPr>
          <w:sz w:val="20"/>
          <w:szCs w:val="20"/>
          <w:color w:val="auto"/>
        </w:rPr>
      </w:pPr>
    </w:p>
    <w:p>
      <w:pPr>
        <w:ind w:left="660" w:right="360"/>
        <w:spacing w:after="0" w:line="302" w:lineRule="auto"/>
        <w:rPr>
          <w:sz w:val="20"/>
          <w:szCs w:val="20"/>
          <w:color w:val="auto"/>
        </w:rPr>
      </w:pPr>
      <w:r>
        <w:rPr>
          <w:rFonts w:ascii="Arial" w:cs="Arial" w:eastAsia="Arial" w:hAnsi="Arial"/>
          <w:sz w:val="16"/>
          <w:szCs w:val="16"/>
          <w:color w:val="auto"/>
        </w:rPr>
        <w:t xml:space="preserve">Section 13.4(b) of the Participation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limit the Lessee’s obligation under Section 13.4(b) of the Participation Agreement to advance to such Tax Indemnitee amounts with respect to Taxes or impositions that are being contested in accordance with Section 13.4(b) of the Participation Agreement or any expenses incurred by such Tax Indemnitee in connection with such contest;</w:t>
      </w:r>
    </w:p>
    <w:p>
      <w:pPr>
        <w:spacing w:after="0" w:line="155" w:lineRule="exact"/>
        <w:rPr>
          <w:sz w:val="20"/>
          <w:szCs w:val="20"/>
          <w:color w:val="auto"/>
        </w:rPr>
      </w:pPr>
    </w:p>
    <w:p>
      <w:pPr>
        <w:ind w:left="660" w:right="80" w:firstLine="706"/>
        <w:spacing w:after="0" w:line="272" w:lineRule="auto"/>
        <w:tabs>
          <w:tab w:leader="none" w:pos="1967"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any Taxes or impositions imposed upon a Tax Indemnitee with respect to any transfer, sale, financing or other disposition by such Tax Indemnitee of any interest in the Leased Property or any part thereof, or any interest therein or any interest or obligation under the Operative Documents or any Note or Lessor Amount, or from any sale, assignment, transfer or other disposition of any interest in a Tax Indemnitee or any Affiliate thereof, (other than any transfer in connection with (1) the exercise by the Lessee of its Early Termination Option or any termination option or other purchase of the Leased Property by the Lessee (including the Purchase Option) or the exercise by Lessee of the Sale Option, (2) the occurrence of an Event of Default, (3) a Casualty or Condemnation affecting the Leased Property or (4) any assignment, sublease, modification or addition of or to the Leased Property by the Lessee);</w:t>
      </w:r>
    </w:p>
    <w:p>
      <w:pPr>
        <w:spacing w:after="0" w:line="177" w:lineRule="exact"/>
        <w:rPr>
          <w:rFonts w:ascii="Arial" w:cs="Arial" w:eastAsia="Arial" w:hAnsi="Arial"/>
          <w:sz w:val="17"/>
          <w:szCs w:val="17"/>
          <w:color w:val="auto"/>
        </w:rPr>
      </w:pPr>
    </w:p>
    <w:p>
      <w:pPr>
        <w:ind w:left="660" w:right="280" w:firstLine="754"/>
        <w:spacing w:after="0" w:line="312" w:lineRule="auto"/>
        <w:tabs>
          <w:tab w:leader="none" w:pos="196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any Taxes or impositions imposed on a Tax Indemnitee to the extent such Tax Indemnitee or its Affiliate actually receives the benefit of a credit (or otherwise has a reduction in a liability for Taxes) in respect thereof against Taxes that are not indemnified under the Participation Agreement (but only to the extent such credit is not taken into account in calculating the indemnity payment on an After Tax Basis);</w:t>
      </w:r>
    </w:p>
    <w:p>
      <w:pPr>
        <w:spacing w:after="0" w:line="146" w:lineRule="exact"/>
        <w:rPr>
          <w:rFonts w:ascii="Arial" w:cs="Arial" w:eastAsia="Arial" w:hAnsi="Arial"/>
          <w:sz w:val="16"/>
          <w:szCs w:val="16"/>
          <w:color w:val="auto"/>
        </w:rPr>
      </w:pPr>
    </w:p>
    <w:p>
      <w:pPr>
        <w:ind w:left="660" w:right="40" w:firstLine="706"/>
        <w:spacing w:after="0" w:line="277" w:lineRule="auto"/>
        <w:tabs>
          <w:tab w:leader="none" w:pos="196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Taxes or impositions imposed against or payable by a Tax Indemnitee resulting from, or that would not have been imposed but for, the gross negligence or willful misconduct of such Tax Indemnitee or its Affiliates;</w:t>
      </w:r>
    </w:p>
    <w:p>
      <w:pPr>
        <w:spacing w:after="0" w:line="170" w:lineRule="exact"/>
        <w:rPr>
          <w:rFonts w:ascii="Arial" w:cs="Arial" w:eastAsia="Arial" w:hAnsi="Arial"/>
          <w:sz w:val="18"/>
          <w:szCs w:val="18"/>
          <w:color w:val="auto"/>
        </w:rPr>
      </w:pPr>
    </w:p>
    <w:p>
      <w:pPr>
        <w:jc w:val="both"/>
        <w:ind w:left="660" w:right="340" w:firstLine="657"/>
        <w:spacing w:after="0" w:line="259" w:lineRule="auto"/>
        <w:tabs>
          <w:tab w:leader="none" w:pos="198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Taxes or impositions imposed on or payable by a Tax Indemnitee to the extent such Taxes or impositions would not have been imposed but for a breach by the Tax Indemnitee or any Affiliate thereof of any representations, warranties or covenants set forth in the Operative Documents (unless such breach is caused by the Lessee’s breach of its representations, warranties or covenants set forth in the Operative Documents);</w:t>
      </w:r>
    </w:p>
    <w:p>
      <w:pPr>
        <w:spacing w:after="0" w:line="186" w:lineRule="exact"/>
        <w:rPr>
          <w:rFonts w:ascii="Arial" w:cs="Arial" w:eastAsia="Arial" w:hAnsi="Arial"/>
          <w:sz w:val="18"/>
          <w:szCs w:val="18"/>
          <w:color w:val="auto"/>
        </w:rPr>
      </w:pPr>
    </w:p>
    <w:p>
      <w:pPr>
        <w:ind w:left="660" w:firstLine="608"/>
        <w:spacing w:after="0" w:line="264" w:lineRule="auto"/>
        <w:tabs>
          <w:tab w:leader="none" w:pos="199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Taxes or impositions to the extent resulting from such Tax Indemnitee’s failure to comply with the provisions of Section 13.4(b) of the Participation Agreement, which failure precludes the ability to conduct a contest pursuant to Section 13.4(b) of the Participation Agreement (unless such failure is caused by the Lessee’s breach of its obligations under the Operative Documents); and</w:t>
      </w:r>
    </w:p>
    <w:p>
      <w:pPr>
        <w:spacing w:after="0" w:line="181" w:lineRule="exact"/>
        <w:rPr>
          <w:rFonts w:ascii="Arial" w:cs="Arial" w:eastAsia="Arial" w:hAnsi="Arial"/>
          <w:sz w:val="18"/>
          <w:szCs w:val="18"/>
          <w:color w:val="auto"/>
        </w:rPr>
      </w:pPr>
    </w:p>
    <w:p>
      <w:pPr>
        <w:ind w:left="660" w:right="60" w:firstLine="706"/>
        <w:spacing w:after="0" w:line="277" w:lineRule="auto"/>
        <w:tabs>
          <w:tab w:leader="none" w:pos="196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Taxes or impositions imposed on or with respect to or payable as a result of activities of a Tax Indemnitee or its Affiliate unrelated to the Overall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right="40"/>
        <w:spacing w:after="0" w:line="293" w:lineRule="auto"/>
        <w:rPr>
          <w:sz w:val="20"/>
          <w:szCs w:val="20"/>
          <w:color w:val="auto"/>
        </w:rPr>
      </w:pPr>
      <w:r>
        <w:rPr>
          <w:rFonts w:ascii="Arial" w:cs="Arial" w:eastAsia="Arial" w:hAnsi="Arial"/>
          <w:sz w:val="16"/>
          <w:szCs w:val="16"/>
          <w:color w:val="auto"/>
        </w:rPr>
        <w:t>Notwithstanding the foregoing, the exclusions from the definition of “Impositions” set forth in clauses (i), (ii), (iv) and (ix) shall not apply (but the other exclusions shall apply) to any Taxes or any increase in Taxes imposed on a Tax Indemnitee net of any decrease in Taxes realized by such Tax Indemnitee, to the extent that such Tax increase or decrease would not have occurred if on the Document Closing Date the Participants had advanced funds to the Lessee in the form of a loan secured by the Leased Property in an amount equal to the Participant Costs funded on the Document Closing Date, with debt service for such loan equal to the Basic Rent payable on each Payment Date and a principal balance at the maturity of such loan in an amount equal to the then outstanding Loans and Lessor Amount at the end of the Term of the Lease.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Improvement</w:t>
      </w:r>
      <w:r>
        <w:rPr>
          <w:rFonts w:ascii="Arial" w:cs="Arial" w:eastAsia="Arial" w:hAnsi="Arial"/>
          <w:sz w:val="18"/>
          <w:szCs w:val="18"/>
          <w:color w:val="auto"/>
        </w:rPr>
        <w:t>” is defined in Section 10.2(b) of the Lease.</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xml:space="preserve">” of any Person means, without duplication, (a) all obligations of such Person for borrowed money, (b) the principal amount of all obligations of such Person evidenced by bonds, debentures, notes or similar instruments, (c) all obligations of such Person under conditional sale or other title retention agreements relating to property acquired by such Person (excluding trade accounts payable incurred in the ordinary course of business), (d) all obligations of such Person in respect of the deferred purchase price of property or services (excluding current accounts payable incurred in the ordinary course of business), (e) all Indebtedness of others secured by (or for which the holder of such Indebtedness has an existing right, contingent or otherwise, to be secured by) any Lien on property owned or acquired by such Person, whether or not the Indebtedness secured thereby has been assumed;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Person has not assumed or otherwise become liable in respect of such Indebtedness, such obligations shall be deemed to be in an amount equal to the</w:t>
      </w:r>
    </w:p>
    <w:p>
      <w:pPr>
        <w:sectPr>
          <w:pgSz w:w="11900" w:h="16932" w:orient="portrait"/>
          <w:cols w:equalWidth="0" w:num="1">
            <w:col w:w="11420"/>
          </w:cols>
          <w:pgMar w:left="240" w:top="125" w:right="239" w:bottom="0" w:gutter="0" w:footer="0" w:header="0"/>
        </w:sectPr>
      </w:pPr>
    </w:p>
    <w:bookmarkStart w:id="46" w:name="page47"/>
    <w:bookmarkEnd w:id="46"/>
    <w:p>
      <w:pPr>
        <w:spacing w:after="0" w:line="268" w:lineRule="auto"/>
        <w:rPr>
          <w:sz w:val="20"/>
          <w:szCs w:val="20"/>
          <w:color w:val="auto"/>
        </w:rPr>
      </w:pPr>
      <w:r>
        <w:rPr>
          <w:rFonts w:ascii="Arial" w:cs="Arial" w:eastAsia="Arial" w:hAnsi="Arial"/>
          <w:sz w:val="17"/>
          <w:szCs w:val="17"/>
          <w:color w:val="auto"/>
        </w:rPr>
        <w:t>lesser of (i) the amount of such Indebtedness and (ii) fair market value of such property at the time of determination (in the Parent Guarantor’s or Lessee’s good faith estimate), (f) all Guarantees by such Person of Indebtedness of others, (g) all Capital Lease Obligations of such Person, (h) all obligations, contingent or otherwise, of such Person as an account party in respect of letters of credit and letters of guaranty, (i) all obligations, contingent or otherwise, of such Person in respect of bankers’ acceptances and (j) all obligations of such Person under Sale and Leaseback Transactions. The Indebtedness of any Person shall include the Indebtedness of any other entity (including any partnership in which such Person is a general partner) to the extent such Person is liable therefor by operation of law as a result of such Person’s ownership interest in such entity, except to the extent the terms of such Indebtedness provide that such Person is not liable therefor. The amount of Indebtedness (including any Guarantees constituting Indebtedness) for which recourse is limited either to a specified amount or to an identified asset of such Person shall be deemed to be equal to the lesser of (x) such specified amount and (y) the fair market value of such identified asset as determined by such Person in good faith. Notwithstanding anything to the contrary in this definition, the term “Indebtedness” shall not include (i) deferred or prepaid revenue, (ii) purchase price holdbacks to satisfy warranty or other unperformed obligations of a seller, (iii) obligations arising under any Swap Agreement, (iv) contingent or deferred payment obligations (including, without limitation, any purchase price adjustments, indemnification obligations, reimbursement obligations, funding or investment commitments, or earnout, non-compete, consulting, royalty, milestone, option, development or other incentive payment obligations) with respect to (A) any Collaboration Arrangement or (B) any Acquisition, disposition, other acquisition of assets or other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combination, (v) obligations arising under any Permitted Call Spread Swap Agreement, (vi) all obligations of such Person arising under any Tax Abatement Transaction, (vii) the Obligations and Liabilities, and (viii) all obligations of such Person under or relating to any Operating Lease.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Indemnitee</w:t>
      </w:r>
      <w:r>
        <w:rPr>
          <w:rFonts w:ascii="Arial" w:cs="Arial" w:eastAsia="Arial" w:hAnsi="Arial"/>
          <w:sz w:val="18"/>
          <w:szCs w:val="18"/>
          <w:color w:val="auto"/>
        </w:rPr>
        <w:t>” means any of Lessor, a Participant Indemnitee, a General Indemnitee or a Tax Indemnitee, as applicable.</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Index Debt</w:t>
      </w:r>
      <w:r>
        <w:rPr>
          <w:rFonts w:ascii="Arial" w:cs="Arial" w:eastAsia="Arial" w:hAnsi="Arial"/>
          <w:sz w:val="18"/>
          <w:szCs w:val="18"/>
          <w:color w:val="auto"/>
        </w:rPr>
        <w:t>” means senior, unsecured, long-term indebtedness for borrowed money of the Parent Guarantor that is not guaranteed by any other person or entity or subject to any other credit enhancement.</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Information Memorandum</w:t>
      </w:r>
      <w:r>
        <w:rPr>
          <w:rFonts w:ascii="Arial" w:cs="Arial" w:eastAsia="Arial" w:hAnsi="Arial"/>
          <w:sz w:val="18"/>
          <w:szCs w:val="18"/>
          <w:color w:val="auto"/>
        </w:rPr>
        <w:t>” means that certain Confidential Information Memorandum, dated December 2016, relating to the Parent Guarantor and a lease financing of the Site, as amended and otherwise supplemented on January 27, 2017, and as may be further amended, supplemented or otherwise modified in writing prior to the Document Closing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Insolvency Event</w:t>
      </w:r>
      <w:r>
        <w:rPr>
          <w:rFonts w:ascii="Arial" w:cs="Arial" w:eastAsia="Arial" w:hAnsi="Arial"/>
          <w:sz w:val="18"/>
          <w:szCs w:val="18"/>
          <w:color w:val="auto"/>
        </w:rPr>
        <w:t>” means any Event of Default described in Section 16.1(h) or (i)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“Inspecting Parties” </w:t>
      </w:r>
      <w:r>
        <w:rPr>
          <w:rFonts w:ascii="Arial" w:cs="Arial" w:eastAsia="Arial" w:hAnsi="Arial"/>
          <w:sz w:val="18"/>
          <w:szCs w:val="18"/>
          <w:color w:val="auto"/>
        </w:rPr>
        <w:t>is defined in Section 4.2(a)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“Insurance Consultant” </w:t>
      </w:r>
      <w:r>
        <w:rPr>
          <w:rFonts w:ascii="Arial" w:cs="Arial" w:eastAsia="Arial" w:hAnsi="Arial"/>
          <w:sz w:val="18"/>
          <w:szCs w:val="18"/>
          <w:color w:val="auto"/>
        </w:rPr>
        <w:t>means A.J. Gallagher &amp; Co. or any successor named by Lessor.</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i w:val="1"/>
          <w:iCs w:val="1"/>
          <w:color w:val="auto"/>
        </w:rPr>
        <w:t xml:space="preserve">“Insurance Requirements” </w:t>
      </w:r>
      <w:r>
        <w:rPr>
          <w:rFonts w:ascii="Arial" w:cs="Arial" w:eastAsia="Arial" w:hAnsi="Arial"/>
          <w:sz w:val="18"/>
          <w:szCs w:val="18"/>
          <w:color w:val="auto"/>
        </w:rPr>
        <w:t>means all terms and conditions of any insurance policy required by Section 13.1 and Section 13.2 of the Lease to be</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maintained by the Lessee.</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means the interest accruing on the Loans as computed and payable in accordance with the terms of the Loan Agreement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limitation, in accordance with Section 2.5 of the Loan Agreement).</w:t>
      </w:r>
    </w:p>
    <w:p>
      <w:pPr>
        <w:spacing w:after="0" w:line="170" w:lineRule="exact"/>
        <w:rPr>
          <w:sz w:val="20"/>
          <w:szCs w:val="20"/>
          <w:color w:val="auto"/>
        </w:rPr>
      </w:pPr>
    </w:p>
    <w:p>
      <w:pPr>
        <w:jc w:val="both"/>
        <w:ind w:right="120" w:firstLine="648"/>
        <w:spacing w:after="0" w:line="342" w:lineRule="auto"/>
        <w:rPr>
          <w:sz w:val="20"/>
          <w:szCs w:val="20"/>
          <w:color w:val="auto"/>
        </w:rPr>
      </w:pPr>
      <w:r>
        <w:rPr>
          <w:rFonts w:ascii="Arial" w:cs="Arial" w:eastAsia="Arial" w:hAnsi="Arial"/>
          <w:sz w:val="16"/>
          <w:szCs w:val="16"/>
          <w:i w:val="1"/>
          <w:iCs w:val="1"/>
          <w:color w:val="auto"/>
        </w:rPr>
        <w:t xml:space="preserve">“Interest Period” </w:t>
      </w:r>
      <w:r>
        <w:rPr>
          <w:rFonts w:ascii="Arial" w:cs="Arial" w:eastAsia="Arial" w:hAnsi="Arial"/>
          <w:sz w:val="16"/>
          <w:szCs w:val="16"/>
          <w:color w:val="auto"/>
        </w:rPr>
        <w:t>means the period commencing on (and including) the Document Closing Date and ending on (but excluding) the next succeeding</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Date, and thereafter each period commencing on (and including) a Payment Date and ending on (but excluding) the next succeeding Payment Date.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“Interest Rate” </w:t>
      </w:r>
      <w:r>
        <w:rPr>
          <w:rFonts w:ascii="Arial" w:cs="Arial" w:eastAsia="Arial" w:hAnsi="Arial"/>
          <w:sz w:val="18"/>
          <w:szCs w:val="18"/>
          <w:color w:val="auto"/>
        </w:rPr>
        <w:t>means with respect to each Loan the interest rate calculated pursuant to Section 2.5(a) of the 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“Investment Company Act” </w:t>
      </w:r>
      <w:r>
        <w:rPr>
          <w:rFonts w:ascii="Arial" w:cs="Arial" w:eastAsia="Arial" w:hAnsi="Arial"/>
          <w:sz w:val="18"/>
          <w:szCs w:val="18"/>
          <w:color w:val="auto"/>
        </w:rPr>
        <w:t>means the Investment Company Act of 1940, as amended.</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“Lease” </w:t>
      </w:r>
      <w:r>
        <w:rPr>
          <w:rFonts w:ascii="Arial" w:cs="Arial" w:eastAsia="Arial" w:hAnsi="Arial"/>
          <w:sz w:val="18"/>
          <w:szCs w:val="18"/>
          <w:color w:val="auto"/>
        </w:rPr>
        <w:t>means the Lease and Remedies Agreement, dated as of March 3, 2017, between the Lessor and the Lessee, as amended, supplemented or</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from time to time.</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“Lease Balance” </w:t>
      </w:r>
      <w:r>
        <w:rPr>
          <w:rFonts w:ascii="Arial" w:cs="Arial" w:eastAsia="Arial" w:hAnsi="Arial"/>
          <w:sz w:val="18"/>
          <w:szCs w:val="18"/>
          <w:color w:val="auto"/>
        </w:rPr>
        <w:t>means, as of any date of determination, an amount equal to the sum, without duplication, of the Loan Balance with respect to each</w:t>
      </w:r>
      <w:r>
        <w:rPr>
          <w:rFonts w:ascii="Arial" w:cs="Arial" w:eastAsia="Arial" w:hAnsi="Arial"/>
          <w:sz w:val="18"/>
          <w:szCs w:val="18"/>
          <w:i w:val="1"/>
          <w:iCs w:val="1"/>
          <w:color w:val="auto"/>
        </w:rPr>
        <w:t xml:space="preserve"> </w:t>
      </w:r>
      <w:r>
        <w:rPr>
          <w:rFonts w:ascii="Arial" w:cs="Arial" w:eastAsia="Arial" w:hAnsi="Arial"/>
          <w:sz w:val="18"/>
          <w:szCs w:val="18"/>
          <w:color w:val="auto"/>
        </w:rPr>
        <w:t>Lender and the Lessor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“Lease Renewal” </w:t>
      </w:r>
      <w:r>
        <w:rPr>
          <w:rFonts w:ascii="Arial" w:cs="Arial" w:eastAsia="Arial" w:hAnsi="Arial"/>
          <w:sz w:val="18"/>
          <w:szCs w:val="18"/>
          <w:color w:val="auto"/>
        </w:rPr>
        <w:t>is defined at Section 4.7(a)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“Lease Renewal Term” </w:t>
      </w:r>
      <w:r>
        <w:rPr>
          <w:rFonts w:ascii="Arial" w:cs="Arial" w:eastAsia="Arial" w:hAnsi="Arial"/>
          <w:sz w:val="18"/>
          <w:szCs w:val="18"/>
          <w:color w:val="auto"/>
        </w:rPr>
        <w:t>is defined at Section 4.7(a) of the Participation Agreement.</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i w:val="1"/>
          <w:iCs w:val="1"/>
          <w:color w:val="auto"/>
        </w:rPr>
        <w:t xml:space="preserve">“Leased Property” </w:t>
      </w:r>
      <w:r>
        <w:rPr>
          <w:rFonts w:ascii="Arial" w:cs="Arial" w:eastAsia="Arial" w:hAnsi="Arial"/>
          <w:sz w:val="17"/>
          <w:szCs w:val="17"/>
          <w:color w:val="auto"/>
        </w:rPr>
        <w:t>means, collectively, (a) the Facility, (b) the Site, and (c) all other rights relating to the Site and/or the Facility conveyed to Lessor</w:t>
      </w:r>
      <w:r>
        <w:rPr>
          <w:rFonts w:ascii="Arial" w:cs="Arial" w:eastAsia="Arial" w:hAnsi="Arial"/>
          <w:sz w:val="17"/>
          <w:szCs w:val="17"/>
          <w:i w:val="1"/>
          <w:iCs w:val="1"/>
          <w:color w:val="auto"/>
        </w:rPr>
        <w:t xml:space="preserve"> </w:t>
      </w:r>
      <w:r>
        <w:rPr>
          <w:rFonts w:ascii="Arial" w:cs="Arial" w:eastAsia="Arial" w:hAnsi="Arial"/>
          <w:sz w:val="17"/>
          <w:szCs w:val="17"/>
          <w:color w:val="auto"/>
        </w:rPr>
        <w:t>pursuant to that certain Bill of Sale from the Sellers dated as of March 3, 2017, but, in any such case, excluding Excluded Property.</w:t>
      </w:r>
    </w:p>
    <w:p>
      <w:pPr>
        <w:spacing w:after="0" w:line="14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i w:val="1"/>
          <w:iCs w:val="1"/>
          <w:color w:val="auto"/>
        </w:rPr>
        <w:t xml:space="preserve">“Leased Property Records” </w:t>
      </w:r>
      <w:r>
        <w:rPr>
          <w:rFonts w:ascii="Arial" w:cs="Arial" w:eastAsia="Arial" w:hAnsi="Arial"/>
          <w:sz w:val="18"/>
          <w:szCs w:val="18"/>
          <w:color w:val="auto"/>
        </w:rPr>
        <w:t>means those maintenance and other records relating to the maintenance and operation of the Leased Property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possession of Lessee.</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 xml:space="preserve">“Lenders” </w:t>
      </w:r>
      <w:r>
        <w:rPr>
          <w:rFonts w:ascii="Arial" w:cs="Arial" w:eastAsia="Arial" w:hAnsi="Arial"/>
          <w:sz w:val="18"/>
          <w:szCs w:val="18"/>
          <w:color w:val="auto"/>
        </w:rPr>
        <w:t>means, collectively, each of the financial institutions named on Schedule II to the Participation Agreement and any other Person that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become a Lender under the Loan Agreement and Participation Agreement pursuant to an Assignment Agreement or other documentation contemplated thereby, other than any such Person that ceases to be a party to the Loan Agreement and the Participation Agreement pursuant to an Assignment Agreement or as otherwise contemplated thereby.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“Lenders’ Policy” </w:t>
      </w:r>
      <w:r>
        <w:rPr>
          <w:rFonts w:ascii="Arial" w:cs="Arial" w:eastAsia="Arial" w:hAnsi="Arial"/>
          <w:sz w:val="18"/>
          <w:szCs w:val="18"/>
          <w:color w:val="auto"/>
        </w:rPr>
        <w:t>is defined in Section 6.1(x) of the Participation Agreement.</w:t>
      </w:r>
    </w:p>
    <w:p>
      <w:pPr>
        <w:sectPr>
          <w:pgSz w:w="11900" w:h="16838" w:orient="portrait"/>
          <w:cols w:equalWidth="0" w:num="1">
            <w:col w:w="11420"/>
          </w:cols>
          <w:pgMar w:left="240" w:top="125" w:right="239" w:bottom="32" w:gutter="0" w:footer="0" w:header="0"/>
        </w:sectPr>
      </w:pPr>
    </w:p>
    <w:bookmarkStart w:id="47" w:name="page48"/>
    <w:bookmarkEnd w:id="47"/>
    <w:p>
      <w:pPr>
        <w:spacing w:after="0" w:line="13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i w:val="1"/>
          <w:iCs w:val="1"/>
          <w:color w:val="auto"/>
        </w:rPr>
        <w:t xml:space="preserve">“Lessee” </w:t>
      </w:r>
      <w:r>
        <w:rPr>
          <w:rFonts w:ascii="Arial" w:cs="Arial" w:eastAsia="Arial" w:hAnsi="Arial"/>
          <w:sz w:val="18"/>
          <w:szCs w:val="18"/>
          <w:color w:val="auto"/>
        </w:rPr>
        <w:t>means Old Saw Mill Holdings LLC, a New York limited liability company, together with its successors and permitted assigns, in its</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as Lessee under the Lease.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Lessee Property</w:t>
      </w:r>
      <w:r>
        <w:rPr>
          <w:rFonts w:ascii="Arial" w:cs="Arial" w:eastAsia="Arial" w:hAnsi="Arial"/>
          <w:sz w:val="18"/>
          <w:szCs w:val="18"/>
          <w:color w:val="auto"/>
        </w:rPr>
        <w:t>” is defined in Section 10.2(d)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“Lessor” </w:t>
      </w:r>
      <w:r>
        <w:rPr>
          <w:rFonts w:ascii="Arial" w:cs="Arial" w:eastAsia="Arial" w:hAnsi="Arial"/>
          <w:sz w:val="18"/>
          <w:szCs w:val="18"/>
          <w:color w:val="auto"/>
        </w:rPr>
        <w:t>means BA Leasing BSC, LLC, a Delaware limited liability company, as Lessor under the Lease.</w:t>
      </w:r>
    </w:p>
    <w:p>
      <w:pPr>
        <w:spacing w:after="0" w:line="225"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i w:val="1"/>
          <w:iCs w:val="1"/>
          <w:color w:val="auto"/>
        </w:rPr>
        <w:t xml:space="preserve">“Lessor Amount” </w:t>
      </w:r>
      <w:r>
        <w:rPr>
          <w:rFonts w:ascii="Arial" w:cs="Arial" w:eastAsia="Arial" w:hAnsi="Arial"/>
          <w:sz w:val="16"/>
          <w:szCs w:val="16"/>
          <w:color w:val="auto"/>
        </w:rPr>
        <w:t>means, as of any date of determination, the aggregate amount of the Advance made by Lessor from its Lessor Commitment</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Section 3.1 of the Participation Agreement, net of any distributions (other than distributions of Yield) with respect thereto.</w:t>
      </w:r>
    </w:p>
    <w:p>
      <w:pPr>
        <w:spacing w:after="0" w:line="12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i w:val="1"/>
          <w:iCs w:val="1"/>
          <w:color w:val="auto"/>
        </w:rPr>
        <w:t xml:space="preserve">“Lessor Balance” </w:t>
      </w:r>
      <w:r>
        <w:rPr>
          <w:rFonts w:ascii="Arial" w:cs="Arial" w:eastAsia="Arial" w:hAnsi="Arial"/>
          <w:sz w:val="18"/>
          <w:szCs w:val="18"/>
          <w:color w:val="auto"/>
        </w:rPr>
        <w:t>means, as of any date of determination, an amount equal to the sum of the outstanding Lessor Amount net of any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distributions of Yield) with respect thereto, together with all accrued and unpaid Yield thereon.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“Lessor Commitment” </w:t>
      </w:r>
      <w:r>
        <w:rPr>
          <w:rFonts w:ascii="Arial" w:cs="Arial" w:eastAsia="Arial" w:hAnsi="Arial"/>
          <w:sz w:val="18"/>
          <w:szCs w:val="18"/>
          <w:color w:val="auto"/>
        </w:rPr>
        <w:t>means the commitment of the Lessor to make available the Lessor Commitment Amount.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“Lessor Commitment Amount” </w:t>
      </w:r>
      <w:r>
        <w:rPr>
          <w:rFonts w:ascii="Arial" w:cs="Arial" w:eastAsia="Arial" w:hAnsi="Arial"/>
          <w:sz w:val="18"/>
          <w:szCs w:val="18"/>
          <w:color w:val="auto"/>
        </w:rPr>
        <w:t>means the aggregate principal amount set forth on Schedule I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“Lessor Documents” </w:t>
      </w:r>
      <w:r>
        <w:rPr>
          <w:rFonts w:ascii="Arial" w:cs="Arial" w:eastAsia="Arial" w:hAnsi="Arial"/>
          <w:sz w:val="18"/>
          <w:szCs w:val="18"/>
          <w:color w:val="auto"/>
        </w:rPr>
        <w:t>means the Operative Documents to which Lessor is a party or is otherwise bound.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“Lessor Financing Statements” </w:t>
      </w:r>
      <w:r>
        <w:rPr>
          <w:rFonts w:ascii="Arial" w:cs="Arial" w:eastAsia="Arial" w:hAnsi="Arial"/>
          <w:sz w:val="18"/>
          <w:szCs w:val="18"/>
          <w:color w:val="auto"/>
        </w:rPr>
        <w:t>means UCC financing statements appropriately completed for filing in the applicable jurisdiction in order to protect</w:t>
      </w:r>
      <w:r>
        <w:rPr>
          <w:rFonts w:ascii="Arial" w:cs="Arial" w:eastAsia="Arial" w:hAnsi="Arial"/>
          <w:sz w:val="18"/>
          <w:szCs w:val="18"/>
          <w:i w:val="1"/>
          <w:iCs w:val="1"/>
          <w:color w:val="auto"/>
        </w:rPr>
        <w:t xml:space="preserve"> </w:t>
      </w:r>
      <w:r>
        <w:rPr>
          <w:rFonts w:ascii="Arial" w:cs="Arial" w:eastAsia="Arial" w:hAnsi="Arial"/>
          <w:sz w:val="18"/>
          <w:szCs w:val="18"/>
          <w:color w:val="auto"/>
        </w:rPr>
        <w:t>the Lessor’s interest under the Lease to the extent the Lease is a security agreement.</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“Lessor Lien” </w:t>
      </w:r>
      <w:r>
        <w:rPr>
          <w:rFonts w:ascii="Arial" w:cs="Arial" w:eastAsia="Arial" w:hAnsi="Arial"/>
          <w:sz w:val="17"/>
          <w:szCs w:val="17"/>
          <w:color w:val="auto"/>
        </w:rPr>
        <w:t>means any Lien, true lease or sublease or disposition or other transfer of title to or any interest in the Leased Property or rights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Operative Documents arising as a result of (a) any claim against the Lessor, Administrative Agent or any Participant not resulting from the Overall Transaction or otherwise contemplated by the Operative Documents, (b) any act or omission of the Lessor, Administrative Agent or any Participant which is not required or permitted by the Operative Documents or is in violation of any of the terms of the Operative Documents, (c) any claim against Lessor, Administrative Agent or any Participant with respect to Taxes or Transaction Expenses against which Lessee is not required to indemnify the Lessor, Administrative Agent or any Participant, in its individual capacity, pursuant to Article XIII of the Participation Agreement, (d) any claim against the Lessor, Administrative Agent or any Participant arising out of any transfer by the Lessor or the Administrative Agent of all or any portion of the interest of the Lessor or the Administrative Agent in the Leased Property or the Operative Documents other than the transfer of title to or possession of the Leased Property by the Lessor pursuant to and in accordance with the Operative Documents, including pursuant to the exercise of remedies, or (e) any claim against any Participant arising out of any transfer by such Participant of any Note or Lessor Amount, or any interest therein, other than in accordance with the Participation Agreement and, in the case of a transfer of any Note, in accordance with the Loan Agreement.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“Lessor Shortfall Amount” </w:t>
      </w:r>
      <w:r>
        <w:rPr>
          <w:rFonts w:ascii="Arial" w:cs="Arial" w:eastAsia="Arial" w:hAnsi="Arial"/>
          <w:sz w:val="18"/>
          <w:szCs w:val="18"/>
          <w:color w:val="auto"/>
        </w:rPr>
        <w:t>is defined in Section 3.1(c)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“Liabilities</w:t>
      </w:r>
      <w:r>
        <w:rPr>
          <w:rFonts w:ascii="Arial" w:cs="Arial" w:eastAsia="Arial" w:hAnsi="Arial"/>
          <w:sz w:val="18"/>
          <w:szCs w:val="18"/>
          <w:color w:val="auto"/>
        </w:rPr>
        <w:t>” is defined in Section 1 of the Guaranty.</w:t>
      </w:r>
    </w:p>
    <w:p>
      <w:pPr>
        <w:spacing w:after="0" w:line="225"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i w:val="1"/>
          <w:iCs w:val="1"/>
          <w:color w:val="auto"/>
        </w:rPr>
        <w:t xml:space="preserve">“LIBO Rate” </w:t>
      </w:r>
      <w:r>
        <w:rPr>
          <w:rFonts w:ascii="Arial" w:cs="Arial" w:eastAsia="Arial" w:hAnsi="Arial"/>
          <w:sz w:val="16"/>
          <w:szCs w:val="16"/>
          <w:color w:val="auto"/>
        </w:rPr>
        <w:t>means, for any Interest Period at any time, the rate per annum equal to (i) the applicable London interbank offered rate per annum for</w:t>
      </w:r>
      <w:r>
        <w:rPr>
          <w:rFonts w:ascii="Arial" w:cs="Arial" w:eastAsia="Arial" w:hAnsi="Arial"/>
          <w:sz w:val="16"/>
          <w:szCs w:val="16"/>
          <w:i w:val="1"/>
          <w:iCs w:val="1"/>
          <w:color w:val="auto"/>
        </w:rPr>
        <w:t xml:space="preserve"> </w:t>
      </w:r>
      <w:r>
        <w:rPr>
          <w:rFonts w:ascii="Arial" w:cs="Arial" w:eastAsia="Arial" w:hAnsi="Arial"/>
          <w:sz w:val="16"/>
          <w:szCs w:val="16"/>
          <w:color w:val="auto"/>
        </w:rPr>
        <w:t>deposits in Dollars appearing on Bloomberg LIBO Page (or any successor or substitute page or screen that displays such rate, or on the appropriate page of such other information service that publishes such rate as shall be selected by the Administrative Agent from time to time in its reasonable discretion) as of 11:00 a.m., London time, two (2) Business Days prior to the commencement of such Interest Period, for deposits in the relevant currency (for delivery on the first day of such Interest Period) with a term equivalent to such Interest Period or (ii) if such rate is not available at such time for any reason, or if Bloomberg LIBOR Page or applicable successor or substitute screen or page is not available, the applicable LIBO Rate for the relevant Interest Period shall be the rate per annum determined by the Administrative Agent to be the arithmetic average of the rates at which Bank of America, N.A. offers to place deposits in U.S. dollars with first-class banks in the London interbank market at approximately 11:00 a.m. (London time) two (2) Business Days prior to the first day of such Interest Period, in the approximate amount of Bank of America, N.A.’s or its Affiliate’s relevant portion of the aggregate outstanding principal amount of the Notes and Lessor Amount and having a maturity approximately equal to such Interest Period. In no event shall the LIBO Rate be less than zero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Lien</w:t>
      </w:r>
      <w:r>
        <w:rPr>
          <w:rFonts w:ascii="Arial" w:cs="Arial" w:eastAsia="Arial" w:hAnsi="Arial"/>
          <w:sz w:val="17"/>
          <w:szCs w:val="17"/>
          <w:color w:val="auto"/>
        </w:rPr>
        <w:t>” means, with respect to any asset, (a) any mortgage, deed of trust, lien, pledge, hypothecation, encumbrance, charge or security interest in, on or of such asset and (b) the interest of a vendor or a lessor under any conditional sale agreement, capital lease, ground lease, master lease or title retention agreement (or any financing lease having substantially the same economic effect as any of the foregoing) relating to such asset.</w:t>
      </w:r>
    </w:p>
    <w:p>
      <w:pPr>
        <w:spacing w:after="0" w:line="16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“Loan Agreement” </w:t>
      </w:r>
      <w:r>
        <w:rPr>
          <w:rFonts w:ascii="Arial" w:cs="Arial" w:eastAsia="Arial" w:hAnsi="Arial"/>
          <w:sz w:val="18"/>
          <w:szCs w:val="18"/>
          <w:color w:val="auto"/>
        </w:rPr>
        <w:t>means the Loan Agreement dated as of March 3, 2017, between Lessor, as Borrower thereunder, Administrative Agent,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Lenders, as amended, supplemented or modified from time to time.</w:t>
      </w:r>
    </w:p>
    <w:p>
      <w:pPr>
        <w:spacing w:after="0" w:line="170"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i w:val="1"/>
          <w:iCs w:val="1"/>
          <w:color w:val="auto"/>
        </w:rPr>
        <w:t xml:space="preserve">“Loan Balance” </w:t>
      </w:r>
      <w:r>
        <w:rPr>
          <w:rFonts w:ascii="Arial" w:cs="Arial" w:eastAsia="Arial" w:hAnsi="Arial"/>
          <w:sz w:val="17"/>
          <w:szCs w:val="17"/>
          <w:color w:val="auto"/>
        </w:rPr>
        <w:t>means, as of any date of determination with respect to any Lender, the aggregate principal amount of Loans made by such Lender</w:t>
      </w:r>
      <w:r>
        <w:rPr>
          <w:rFonts w:ascii="Arial" w:cs="Arial" w:eastAsia="Arial" w:hAnsi="Arial"/>
          <w:sz w:val="17"/>
          <w:szCs w:val="17"/>
          <w:i w:val="1"/>
          <w:iCs w:val="1"/>
          <w:color w:val="auto"/>
        </w:rPr>
        <w:t xml:space="preserve"> </w:t>
      </w:r>
      <w:r>
        <w:rPr>
          <w:rFonts w:ascii="Arial" w:cs="Arial" w:eastAsia="Arial" w:hAnsi="Arial"/>
          <w:sz w:val="17"/>
          <w:szCs w:val="17"/>
          <w:color w:val="auto"/>
        </w:rPr>
        <w:t>net of any distributions (other than distributions of Interest) with respect thereto (together with all accrued and unpaid Interest).</w:t>
      </w:r>
    </w:p>
    <w:p>
      <w:pPr>
        <w:spacing w:after="0" w:line="14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i w:val="1"/>
          <w:iCs w:val="1"/>
          <w:color w:val="auto"/>
        </w:rPr>
        <w:t xml:space="preserve">“Loan Commitment” </w:t>
      </w:r>
      <w:r>
        <w:rPr>
          <w:rFonts w:ascii="Arial" w:cs="Arial" w:eastAsia="Arial" w:hAnsi="Arial"/>
          <w:sz w:val="18"/>
          <w:szCs w:val="18"/>
          <w:color w:val="auto"/>
        </w:rPr>
        <w:t>means the commitments of the Lenders to make Loans to the Borrower on the Document Closing Date in an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amount set forth on Schedule II to the Participation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“Loan Documents” </w:t>
      </w:r>
      <w:r>
        <w:rPr>
          <w:rFonts w:ascii="Arial" w:cs="Arial" w:eastAsia="Arial" w:hAnsi="Arial"/>
          <w:sz w:val="18"/>
          <w:szCs w:val="18"/>
          <w:color w:val="auto"/>
        </w:rPr>
        <w:t>means the Loan Agreement and the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means the Loans made by each Lender under and pursuant to Article II of the 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“Material Acquisition</w:t>
      </w:r>
      <w:r>
        <w:rPr>
          <w:rFonts w:ascii="Arial" w:cs="Arial" w:eastAsia="Arial" w:hAnsi="Arial"/>
          <w:sz w:val="18"/>
          <w:szCs w:val="18"/>
          <w:color w:val="auto"/>
        </w:rPr>
        <w:t>” is defined in the definition of Consolidated EBITDA.</w:t>
      </w:r>
    </w:p>
    <w:p>
      <w:pPr>
        <w:spacing w:after="0" w:line="225"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i w:val="1"/>
          <w:iCs w:val="1"/>
          <w:color w:val="auto"/>
        </w:rPr>
        <w:t xml:space="preserve">“Material Adverse Effect” </w:t>
      </w:r>
      <w:r>
        <w:rPr>
          <w:rFonts w:ascii="Arial" w:cs="Arial" w:eastAsia="Arial" w:hAnsi="Arial"/>
          <w:sz w:val="16"/>
          <w:szCs w:val="16"/>
          <w:color w:val="auto"/>
        </w:rPr>
        <w:t>means a material adverse effect on (a) the operations, financial condition or business of Parent Guarantor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taken as a whole, (b) the ability of (i) Lessee to perform its material obligations under the Operative Documents (taken as a whole) or (ii) the</w:t>
      </w:r>
    </w:p>
    <w:p>
      <w:pPr>
        <w:sectPr>
          <w:pgSz w:w="11900" w:h="16975" w:orient="portrait"/>
          <w:cols w:equalWidth="0" w:num="1">
            <w:col w:w="11400"/>
          </w:cols>
          <w:pgMar w:left="240" w:top="125" w:right="259" w:bottom="0" w:gutter="0" w:footer="0" w:header="0"/>
        </w:sectPr>
      </w:pPr>
    </w:p>
    <w:bookmarkStart w:id="48" w:name="page49"/>
    <w:bookmarkEnd w:id="48"/>
    <w:p>
      <w:pPr>
        <w:spacing w:after="0" w:line="264" w:lineRule="auto"/>
        <w:rPr>
          <w:sz w:val="20"/>
          <w:szCs w:val="20"/>
          <w:color w:val="auto"/>
        </w:rPr>
      </w:pPr>
      <w:r>
        <w:rPr>
          <w:rFonts w:ascii="Arial" w:cs="Arial" w:eastAsia="Arial" w:hAnsi="Arial"/>
          <w:sz w:val="18"/>
          <w:szCs w:val="18"/>
          <w:color w:val="auto"/>
        </w:rPr>
        <w:t>Lessee and the Guarantors, taken as a whole, to perform their material obligations under the Operative Documents (taken as a whole), (c) the material rights or remedies of the Administrative Agent and the Participants under the Operative Documents, (d) the rights or interests of Administrative Agent, Lessor or the Lenders in the Leased Property or (e) the validity or priority of the Liens on the Collateral, taken as a whole.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Disposition</w:t>
      </w:r>
      <w:r>
        <w:rPr>
          <w:rFonts w:ascii="Arial" w:cs="Arial" w:eastAsia="Arial" w:hAnsi="Arial"/>
          <w:sz w:val="18"/>
          <w:szCs w:val="18"/>
          <w:color w:val="auto"/>
        </w:rPr>
        <w:t>” is defined in the definition of Consolidated EBITDA.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“Material Domestic Subsidiary” </w:t>
      </w:r>
      <w:r>
        <w:rPr>
          <w:rFonts w:ascii="Arial" w:cs="Arial" w:eastAsia="Arial" w:hAnsi="Arial"/>
          <w:sz w:val="18"/>
          <w:szCs w:val="18"/>
          <w:color w:val="auto"/>
        </w:rPr>
        <w:t>means each Material Subsidiary that is a Domestic Subsidiary and not an Excluded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“Material Environmental Violation” </w:t>
      </w:r>
      <w:r>
        <w:rPr>
          <w:rFonts w:ascii="Arial" w:cs="Arial" w:eastAsia="Arial" w:hAnsi="Arial"/>
          <w:sz w:val="18"/>
          <w:szCs w:val="18"/>
          <w:color w:val="auto"/>
        </w:rPr>
        <w:t>is defined in Section 14.3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“Material Indebtedness” </w:t>
      </w:r>
      <w:r>
        <w:rPr>
          <w:rFonts w:ascii="Arial" w:cs="Arial" w:eastAsia="Arial" w:hAnsi="Arial"/>
          <w:sz w:val="17"/>
          <w:szCs w:val="17"/>
          <w:color w:val="auto"/>
        </w:rPr>
        <w:t>means Indebtedness (other than, for the avoidance of doubt, the Obligations or the obligations under the Guaranty),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obligations in respect of one or more Swap Agreements, of any one or more of the Lessee or any Guarantor in an aggregate principal amount exceeding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$75,000,000. For purposes of determining Material Indebtedness, the “principal amount” of the obligations of the Lessee or any Guarantor in respect of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Swap Agreement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any time shall be the maximum aggregate amount (giving effect to any netting agreements) that the Lessee or any such Guarantor would be required to pay if such Swap Agreement were terminated at such time.</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 xml:space="preserve">“Material Subsidiary” </w:t>
      </w:r>
      <w:r>
        <w:rPr>
          <w:rFonts w:ascii="Arial" w:cs="Arial" w:eastAsia="Arial" w:hAnsi="Arial"/>
          <w:sz w:val="17"/>
          <w:szCs w:val="17"/>
          <w:color w:val="auto"/>
        </w:rPr>
        <w:t>means each wholly-owned Subsidiary which, as of the most recent fiscal year of the Parent Guarantor (beginning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fiscal year of the Parent Guarantor ending on or about December 31, 2015 or, if audited financial statements for the fiscal year of the Parent Guarantor ending on or about December 31, 2016 have been delivered pursuant to Section 6.1(xviii) of the Participation Agreement on or before the Document Closing Date, beginning with such fiscal year), for the period of four consecutive fiscal quarters then ended, for which financial statements have been delivered pursuant to Section 8(a)(i) of the Guaranty, contributed greater than ten percent (10%) of Consolidated EBITDA for such period.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“Maturity Date” </w:t>
      </w:r>
      <w:r>
        <w:rPr>
          <w:rFonts w:ascii="Arial" w:cs="Arial" w:eastAsia="Arial" w:hAnsi="Arial"/>
          <w:sz w:val="18"/>
          <w:szCs w:val="18"/>
          <w:color w:val="auto"/>
        </w:rPr>
        <w:t>means the Expiration Date, as extended from time to time.</w:t>
      </w:r>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i w:val="1"/>
          <w:iCs w:val="1"/>
          <w:color w:val="auto"/>
        </w:rPr>
        <w:t xml:space="preserve">“Memorandum of Lease” </w:t>
      </w:r>
      <w:r>
        <w:rPr>
          <w:rFonts w:ascii="Arial" w:cs="Arial" w:eastAsia="Arial" w:hAnsi="Arial"/>
          <w:sz w:val="18"/>
          <w:szCs w:val="18"/>
          <w:color w:val="auto"/>
        </w:rPr>
        <w:t>means the Memorandum of Lease and Remedies Agreement in substantially the form of Exhibit B to the Lease to be</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acknowledged and delivered to Administrative Agent pursuant to the Participation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“Modifications” </w:t>
      </w:r>
      <w:r>
        <w:rPr>
          <w:rFonts w:ascii="Arial" w:cs="Arial" w:eastAsia="Arial" w:hAnsi="Arial"/>
          <w:sz w:val="18"/>
          <w:szCs w:val="18"/>
          <w:color w:val="auto"/>
        </w:rPr>
        <w:t>is defined in Section 10.1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“Moody’s” </w:t>
      </w:r>
      <w:r>
        <w:rPr>
          <w:rFonts w:ascii="Arial" w:cs="Arial" w:eastAsia="Arial" w:hAnsi="Arial"/>
          <w:sz w:val="18"/>
          <w:szCs w:val="18"/>
          <w:color w:val="auto"/>
        </w:rPr>
        <w:t>means Moody’s Investors Service,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“Nonconformance Amount” </w:t>
      </w:r>
      <w:r>
        <w:rPr>
          <w:rFonts w:ascii="Arial" w:cs="Arial" w:eastAsia="Arial" w:hAnsi="Arial"/>
          <w:sz w:val="18"/>
          <w:szCs w:val="18"/>
          <w:color w:val="auto"/>
        </w:rPr>
        <w:t>is defined in Section 13.2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Non-Renewing Participant</w:t>
      </w:r>
      <w:r>
        <w:rPr>
          <w:rFonts w:ascii="Arial" w:cs="Arial" w:eastAsia="Arial" w:hAnsi="Arial"/>
          <w:sz w:val="18"/>
          <w:szCs w:val="18"/>
          <w:color w:val="auto"/>
        </w:rPr>
        <w:t>” is defined in Section 4.7(c) of the Participation Agreement.</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Nonseverable</w:t>
      </w:r>
      <w:r>
        <w:rPr>
          <w:rFonts w:ascii="Arial" w:cs="Arial" w:eastAsia="Arial" w:hAnsi="Arial"/>
          <w:sz w:val="18"/>
          <w:szCs w:val="18"/>
          <w:color w:val="auto"/>
        </w:rPr>
        <w:t>” means a Modification or part of a Modification which cannot be readily removed from the Leased Property without causing material damage to or materially impairing the Fair Market Value, utility, useful life or residual value thereof as set forth in the Appraisal delivered on or prior to the Document Closing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“Notes” </w:t>
      </w:r>
      <w:r>
        <w:rPr>
          <w:rFonts w:ascii="Arial" w:cs="Arial" w:eastAsia="Arial" w:hAnsi="Arial"/>
          <w:sz w:val="18"/>
          <w:szCs w:val="18"/>
          <w:color w:val="auto"/>
        </w:rPr>
        <w:t>is defined in Section 2.3 of the 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“Obligations” </w:t>
      </w:r>
      <w:r>
        <w:rPr>
          <w:rFonts w:ascii="Arial" w:cs="Arial" w:eastAsia="Arial" w:hAnsi="Arial"/>
          <w:sz w:val="17"/>
          <w:szCs w:val="17"/>
          <w:color w:val="auto"/>
        </w:rPr>
        <w:t>means all obligations (monetary or otherwise) of the Lessee arising under or in connection with any of the Operative Documents.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“OFAC” </w:t>
      </w:r>
      <w:r>
        <w:rPr>
          <w:rFonts w:ascii="Arial" w:cs="Arial" w:eastAsia="Arial" w:hAnsi="Arial"/>
          <w:sz w:val="18"/>
          <w:szCs w:val="18"/>
          <w:color w:val="auto"/>
        </w:rPr>
        <w:t>means the Office of Foreign Assets Control of the United States Department of the Treasury.</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“Omnibus Lease Amendment” </w:t>
      </w:r>
      <w:r>
        <w:rPr>
          <w:rFonts w:ascii="Arial" w:cs="Arial" w:eastAsia="Arial" w:hAnsi="Arial"/>
          <w:sz w:val="18"/>
          <w:szCs w:val="18"/>
          <w:color w:val="auto"/>
        </w:rPr>
        <w:t>means that certain Omnibus Agreement Regarding Leases, dated as of March 3, 2017, by and between Lessee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Parent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Operating Lease</w:t>
      </w:r>
      <w:r>
        <w:rPr>
          <w:rFonts w:ascii="Arial" w:cs="Arial" w:eastAsia="Arial" w:hAnsi="Arial"/>
          <w:sz w:val="18"/>
          <w:szCs w:val="18"/>
          <w:color w:val="auto"/>
        </w:rPr>
        <w:t>” means any Specified Lease Arrangement or other arrangement that is accounted for as an operating lease for purposes of the Operative Documents pursuant to clause (b) of this Appendix 1 to the Participation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“Operative Documents” </w:t>
      </w:r>
      <w:r>
        <w:rPr>
          <w:rFonts w:ascii="Arial" w:cs="Arial" w:eastAsia="Arial" w:hAnsi="Arial"/>
          <w:sz w:val="18"/>
          <w:szCs w:val="18"/>
          <w:color w:val="auto"/>
        </w:rPr>
        <w:t>means the following:</w:t>
      </w:r>
    </w:p>
    <w:p>
      <w:pPr>
        <w:spacing w:after="0" w:line="225" w:lineRule="exact"/>
        <w:rPr>
          <w:sz w:val="20"/>
          <w:szCs w:val="20"/>
          <w:color w:val="auto"/>
        </w:rPr>
      </w:pPr>
    </w:p>
    <w:p>
      <w:pPr>
        <w:ind w:left="1940" w:hanging="545"/>
        <w:spacing w:after="0"/>
        <w:tabs>
          <w:tab w:leader="none" w:pos="19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Participation Agreement;</w:t>
      </w:r>
    </w:p>
    <w:p>
      <w:pPr>
        <w:spacing w:after="0" w:line="225" w:lineRule="exact"/>
        <w:rPr>
          <w:rFonts w:ascii="Arial" w:cs="Arial" w:eastAsia="Arial" w:hAnsi="Arial"/>
          <w:sz w:val="18"/>
          <w:szCs w:val="18"/>
          <w:color w:val="auto"/>
        </w:rPr>
      </w:pPr>
    </w:p>
    <w:p>
      <w:pPr>
        <w:ind w:left="1960" w:hanging="565"/>
        <w:spacing w:after="0"/>
        <w:tabs>
          <w:tab w:leader="none" w:pos="19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Purchase Agreement;</w:t>
      </w:r>
    </w:p>
    <w:p>
      <w:pPr>
        <w:spacing w:after="0" w:line="225" w:lineRule="exact"/>
        <w:rPr>
          <w:rFonts w:ascii="Arial" w:cs="Arial" w:eastAsia="Arial" w:hAnsi="Arial"/>
          <w:sz w:val="18"/>
          <w:szCs w:val="18"/>
          <w:color w:val="auto"/>
        </w:rPr>
      </w:pPr>
    </w:p>
    <w:p>
      <w:pPr>
        <w:ind w:left="1960" w:hanging="565"/>
        <w:spacing w:after="0"/>
        <w:tabs>
          <w:tab w:leader="none" w:pos="19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Lease;</w:t>
      </w:r>
    </w:p>
    <w:p>
      <w:pPr>
        <w:spacing w:after="0" w:line="225" w:lineRule="exact"/>
        <w:rPr>
          <w:rFonts w:ascii="Arial" w:cs="Arial" w:eastAsia="Arial" w:hAnsi="Arial"/>
          <w:sz w:val="18"/>
          <w:szCs w:val="18"/>
          <w:color w:val="auto"/>
        </w:rPr>
      </w:pPr>
    </w:p>
    <w:p>
      <w:pPr>
        <w:ind w:left="1960" w:hanging="565"/>
        <w:spacing w:after="0"/>
        <w:tabs>
          <w:tab w:leader="none" w:pos="19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Loan Agreement;</w:t>
      </w:r>
    </w:p>
    <w:p>
      <w:pPr>
        <w:spacing w:after="0" w:line="225" w:lineRule="exact"/>
        <w:rPr>
          <w:rFonts w:ascii="Arial" w:cs="Arial" w:eastAsia="Arial" w:hAnsi="Arial"/>
          <w:sz w:val="18"/>
          <w:szCs w:val="18"/>
          <w:color w:val="auto"/>
        </w:rPr>
      </w:pPr>
    </w:p>
    <w:p>
      <w:pPr>
        <w:ind w:left="1960" w:hanging="565"/>
        <w:spacing w:after="0"/>
        <w:tabs>
          <w:tab w:leader="none" w:pos="19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Notes;</w:t>
      </w:r>
    </w:p>
    <w:p>
      <w:pPr>
        <w:spacing w:after="0" w:line="225" w:lineRule="exact"/>
        <w:rPr>
          <w:rFonts w:ascii="Arial" w:cs="Arial" w:eastAsia="Arial" w:hAnsi="Arial"/>
          <w:sz w:val="18"/>
          <w:szCs w:val="18"/>
          <w:color w:val="auto"/>
        </w:rPr>
      </w:pPr>
    </w:p>
    <w:p>
      <w:pPr>
        <w:ind w:left="1960" w:hanging="565"/>
        <w:spacing w:after="0"/>
        <w:tabs>
          <w:tab w:leader="none" w:pos="19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Security Instruments;</w:t>
      </w:r>
    </w:p>
    <w:p>
      <w:pPr>
        <w:sectPr>
          <w:pgSz w:w="11900" w:h="16838" w:orient="portrait"/>
          <w:cols w:equalWidth="0" w:num="1">
            <w:col w:w="11420"/>
          </w:cols>
          <w:pgMar w:left="240" w:top="125" w:right="239" w:bottom="32" w:gutter="0" w:footer="0" w:header="0"/>
        </w:sectPr>
      </w:pPr>
    </w:p>
    <w:bookmarkStart w:id="49" w:name="page50"/>
    <w:bookmarkEnd w:id="49"/>
    <w:p>
      <w:pPr>
        <w:spacing w:after="0" w:line="106" w:lineRule="exact"/>
        <w:rPr>
          <w:sz w:val="20"/>
          <w:szCs w:val="20"/>
          <w:color w:val="auto"/>
        </w:rPr>
      </w:pPr>
    </w:p>
    <w:p>
      <w:pPr>
        <w:ind w:left="1960" w:right="480" w:hanging="565"/>
        <w:spacing w:after="0" w:line="277" w:lineRule="auto"/>
        <w:tabs>
          <w:tab w:leader="none" w:pos="197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Administrative Agent Fee Letter and the Arranger Fee Letter (solely with respect to the provisions thereof relating to the Arranger Fee for purposes of Section 4.4 of the Participation Agreement);</w:t>
      </w:r>
    </w:p>
    <w:p>
      <w:pPr>
        <w:spacing w:after="0" w:line="170" w:lineRule="exact"/>
        <w:rPr>
          <w:rFonts w:ascii="Arial" w:cs="Arial" w:eastAsia="Arial" w:hAnsi="Arial"/>
          <w:sz w:val="18"/>
          <w:szCs w:val="18"/>
          <w:color w:val="auto"/>
        </w:rPr>
      </w:pPr>
    </w:p>
    <w:p>
      <w:pPr>
        <w:ind w:left="1960" w:hanging="565"/>
        <w:spacing w:after="0"/>
        <w:tabs>
          <w:tab w:leader="none" w:pos="1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Memorandum of Lease;</w:t>
      </w:r>
    </w:p>
    <w:p>
      <w:pPr>
        <w:spacing w:after="0" w:line="225" w:lineRule="exact"/>
        <w:rPr>
          <w:rFonts w:ascii="Arial" w:cs="Arial" w:eastAsia="Arial" w:hAnsi="Arial"/>
          <w:sz w:val="18"/>
          <w:szCs w:val="18"/>
          <w:color w:val="auto"/>
        </w:rPr>
      </w:pPr>
    </w:p>
    <w:p>
      <w:pPr>
        <w:ind w:left="1960" w:hanging="565"/>
        <w:spacing w:after="0"/>
        <w:tabs>
          <w:tab w:leader="none" w:pos="1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Guaranty;</w:t>
      </w:r>
    </w:p>
    <w:p>
      <w:pPr>
        <w:spacing w:after="0" w:line="225" w:lineRule="exact"/>
        <w:rPr>
          <w:rFonts w:ascii="Arial" w:cs="Arial" w:eastAsia="Arial" w:hAnsi="Arial"/>
          <w:sz w:val="18"/>
          <w:szCs w:val="18"/>
          <w:color w:val="auto"/>
        </w:rPr>
      </w:pPr>
    </w:p>
    <w:p>
      <w:pPr>
        <w:ind w:left="1960" w:hanging="565"/>
        <w:spacing w:after="0"/>
        <w:tabs>
          <w:tab w:leader="none" w:pos="1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Assignment of Purchase Agreement;</w:t>
      </w:r>
    </w:p>
    <w:p>
      <w:pPr>
        <w:spacing w:after="0" w:line="225" w:lineRule="exact"/>
        <w:rPr>
          <w:rFonts w:ascii="Arial" w:cs="Arial" w:eastAsia="Arial" w:hAnsi="Arial"/>
          <w:sz w:val="18"/>
          <w:szCs w:val="18"/>
          <w:color w:val="auto"/>
        </w:rPr>
      </w:pPr>
    </w:p>
    <w:p>
      <w:pPr>
        <w:ind w:left="1960" w:hanging="565"/>
        <w:spacing w:after="0"/>
        <w:tabs>
          <w:tab w:leader="none" w:pos="1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Funding Indemnity Agreement; and</w:t>
      </w:r>
    </w:p>
    <w:p>
      <w:pPr>
        <w:spacing w:after="0" w:line="225" w:lineRule="exact"/>
        <w:rPr>
          <w:rFonts w:ascii="Arial" w:cs="Arial" w:eastAsia="Arial" w:hAnsi="Arial"/>
          <w:sz w:val="18"/>
          <w:szCs w:val="18"/>
          <w:color w:val="auto"/>
        </w:rPr>
      </w:pPr>
    </w:p>
    <w:p>
      <w:pPr>
        <w:ind w:left="1960" w:hanging="565"/>
        <w:spacing w:after="0"/>
        <w:tabs>
          <w:tab w:leader="none" w:pos="19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Deed.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“Original Executed Counterpart” </w:t>
      </w:r>
      <w:r>
        <w:rPr>
          <w:rFonts w:ascii="Arial" w:cs="Arial" w:eastAsia="Arial" w:hAnsi="Arial"/>
          <w:sz w:val="18"/>
          <w:szCs w:val="18"/>
          <w:color w:val="auto"/>
        </w:rPr>
        <w:t>is defined in Section 25.9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Original Payment</w:t>
      </w:r>
      <w:r>
        <w:rPr>
          <w:rFonts w:ascii="Arial" w:cs="Arial" w:eastAsia="Arial" w:hAnsi="Arial"/>
          <w:sz w:val="18"/>
          <w:szCs w:val="18"/>
          <w:color w:val="auto"/>
        </w:rPr>
        <w:t>” is defined in Section 13.5 of the Participation Agreement.</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Overall Transaction</w:t>
      </w:r>
      <w:r>
        <w:rPr>
          <w:rFonts w:ascii="Arial" w:cs="Arial" w:eastAsia="Arial" w:hAnsi="Arial"/>
          <w:sz w:val="18"/>
          <w:szCs w:val="18"/>
          <w:color w:val="auto"/>
        </w:rPr>
        <w:t>” means, collectively, the execution, delivery and performance by each of the Lessee, the Guarantors and Participants of the Operative Documents to which such Person is a party, the Funding, the use of the proceeds thereof, the issuance of Notes under the Loan Agreement and the lease of the Leased Property by the Lessor to the Lessee.</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Overdue Rate</w:t>
      </w:r>
      <w:r>
        <w:rPr>
          <w:rFonts w:ascii="Arial" w:cs="Arial" w:eastAsia="Arial" w:hAnsi="Arial"/>
          <w:sz w:val="18"/>
          <w:szCs w:val="18"/>
          <w:color w:val="auto"/>
        </w:rPr>
        <w:t>” means, with respect to any Loan or Lessor Amount, the lesser of (i) the Alternate Base Rate for such Loan or Lessor Amount plus 2.0% per annum and (ii) the Highest Lawful Rate.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“Owner’s Policy” </w:t>
      </w:r>
      <w:r>
        <w:rPr>
          <w:rFonts w:ascii="Arial" w:cs="Arial" w:eastAsia="Arial" w:hAnsi="Arial"/>
          <w:sz w:val="18"/>
          <w:szCs w:val="18"/>
          <w:color w:val="auto"/>
        </w:rPr>
        <w:t>is defined in Section 6.1(x) of the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“Parent Guarantor” </w:t>
      </w:r>
      <w:r>
        <w:rPr>
          <w:rFonts w:ascii="Arial" w:cs="Arial" w:eastAsia="Arial" w:hAnsi="Arial"/>
          <w:sz w:val="18"/>
          <w:szCs w:val="18"/>
          <w:color w:val="auto"/>
        </w:rPr>
        <w:t>means Regeneron Pharmaceuticals, Inc., a New York corporation.</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“Participant Balance” </w:t>
      </w:r>
      <w:r>
        <w:rPr>
          <w:rFonts w:ascii="Arial" w:cs="Arial" w:eastAsia="Arial" w:hAnsi="Arial"/>
          <w:sz w:val="18"/>
          <w:szCs w:val="18"/>
          <w:color w:val="auto"/>
        </w:rPr>
        <w:t>means, with respect to any Participant as of any date of determination: (i) with respect to any Lender, the Loan Balance held</w:t>
      </w:r>
      <w:r>
        <w:rPr>
          <w:rFonts w:ascii="Arial" w:cs="Arial" w:eastAsia="Arial" w:hAnsi="Arial"/>
          <w:sz w:val="18"/>
          <w:szCs w:val="18"/>
          <w:i w:val="1"/>
          <w:iCs w:val="1"/>
          <w:color w:val="auto"/>
        </w:rPr>
        <w:t xml:space="preserve"> </w:t>
      </w:r>
      <w:r>
        <w:rPr>
          <w:rFonts w:ascii="Arial" w:cs="Arial" w:eastAsia="Arial" w:hAnsi="Arial"/>
          <w:sz w:val="18"/>
          <w:szCs w:val="18"/>
          <w:color w:val="auto"/>
        </w:rPr>
        <w:t>by such Lender or (ii) with respect to Lessor, the Lessor Balance.</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 xml:space="preserve">“Participant Costs” </w:t>
      </w:r>
      <w:r>
        <w:rPr>
          <w:rFonts w:ascii="Arial" w:cs="Arial" w:eastAsia="Arial" w:hAnsi="Arial"/>
          <w:sz w:val="18"/>
          <w:szCs w:val="18"/>
          <w:color w:val="auto"/>
        </w:rPr>
        <w:t>means the aggregate amount of the Purchase Price and reimbursement of the Deposit (to the extent not applied to the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Purchase Price to the Sellers), subject to the Aggregate Commitment Amount.</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“Participant Financing Statements” </w:t>
      </w:r>
      <w:r>
        <w:rPr>
          <w:rFonts w:ascii="Arial" w:cs="Arial" w:eastAsia="Arial" w:hAnsi="Arial"/>
          <w:sz w:val="18"/>
          <w:szCs w:val="18"/>
          <w:color w:val="auto"/>
        </w:rPr>
        <w:t>means UCC financing statements appropriately completed and executed for filing in the applicable jurisdiction</w:t>
      </w:r>
      <w:r>
        <w:rPr>
          <w:rFonts w:ascii="Arial" w:cs="Arial" w:eastAsia="Arial" w:hAnsi="Arial"/>
          <w:sz w:val="18"/>
          <w:szCs w:val="18"/>
          <w:i w:val="1"/>
          <w:iCs w:val="1"/>
          <w:color w:val="auto"/>
        </w:rPr>
        <w:t xml:space="preserve"> </w:t>
      </w:r>
      <w:r>
        <w:rPr>
          <w:rFonts w:ascii="Arial" w:cs="Arial" w:eastAsia="Arial" w:hAnsi="Arial"/>
          <w:sz w:val="18"/>
          <w:szCs w:val="18"/>
          <w:color w:val="auto"/>
        </w:rPr>
        <w:t>in order to perfect a security interest in favor of the Administrative Agent for the benefit of the Participants in the Lessee Collateral.</w:t>
      </w:r>
    </w:p>
    <w:p>
      <w:pPr>
        <w:spacing w:after="0" w:line="170"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i w:val="1"/>
          <w:iCs w:val="1"/>
          <w:color w:val="auto"/>
        </w:rPr>
        <w:t xml:space="preserve">“Participant Indemnitee” </w:t>
      </w:r>
      <w:r>
        <w:rPr>
          <w:rFonts w:ascii="Arial" w:cs="Arial" w:eastAsia="Arial" w:hAnsi="Arial"/>
          <w:sz w:val="16"/>
          <w:szCs w:val="16"/>
          <w:color w:val="auto"/>
        </w:rPr>
        <w:t>means each Participant, the Administrative Agent (in its individual capacity and as agent), the Arranger, any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separate or co-agent appointed in accordance with the terms of the Participation Agreement, and their respective Affiliates, successors, permitted assigns, permitted transferees, contractors, employees, officers, directors, shareholders, partners, participants, representatives and agents of each of the foregoing Persons;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event shall Lessee or any Guarantor or any of their Affiliates be a Participant Indemnitee.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“Participant” or “Participants” </w:t>
      </w:r>
      <w:r>
        <w:rPr>
          <w:rFonts w:ascii="Arial" w:cs="Arial" w:eastAsia="Arial" w:hAnsi="Arial"/>
          <w:sz w:val="18"/>
          <w:szCs w:val="18"/>
          <w:color w:val="auto"/>
        </w:rPr>
        <w:t>means, individually and collectively, as the context may require, the Lessor and the Lenders.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Participation Agreement</w:t>
      </w:r>
      <w:r>
        <w:rPr>
          <w:rFonts w:ascii="Arial" w:cs="Arial" w:eastAsia="Arial" w:hAnsi="Arial"/>
          <w:sz w:val="18"/>
          <w:szCs w:val="18"/>
          <w:color w:val="auto"/>
        </w:rPr>
        <w:t>” means the Participation Agreement dated as of March 3, 2017 by and among the Lessee; the Lessor; the Lenders party thereto from time to time and the Administrative Agent, as amended, supplemented or modified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Patriot Act</w:t>
      </w:r>
      <w:r>
        <w:rPr>
          <w:rFonts w:ascii="Arial" w:cs="Arial" w:eastAsia="Arial" w:hAnsi="Arial"/>
          <w:sz w:val="18"/>
          <w:szCs w:val="18"/>
          <w:color w:val="auto"/>
        </w:rPr>
        <w:t>” means the USA PATRIOT Act (Title III of Pub. L. 107-56 (signed into law October 26, 2001)).</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Payment Date</w:t>
      </w:r>
      <w:r>
        <w:rPr>
          <w:rFonts w:ascii="Arial" w:cs="Arial" w:eastAsia="Arial" w:hAnsi="Arial"/>
          <w:sz w:val="17"/>
          <w:szCs w:val="17"/>
          <w:color w:val="auto"/>
        </w:rPr>
        <w:t>” means (a) the third (3rd) day of the month in which the Base Term Commencement Date occurs and the third (3rd) day of every month thereafter. If the third (3rd) day of any month is not a Business Day, then the Payment Date shall be the next following Business Day, unless the result of such extension would carry such Payment Date into the next succeeding month, in which case such payment shall be made on the immediately preceding Business Day and (b) in any case, the Expiration Date (or, if applicable, the Termination Date).</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“Payment Default” </w:t>
      </w:r>
      <w:r>
        <w:rPr>
          <w:rFonts w:ascii="Arial" w:cs="Arial" w:eastAsia="Arial" w:hAnsi="Arial"/>
          <w:sz w:val="18"/>
          <w:szCs w:val="18"/>
          <w:color w:val="auto"/>
        </w:rPr>
        <w:t>means the failure of Lessee to make any payment of (i) any amounts due pursuant to Sections 15.1, 18.1, 19.1(b) or 20.1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Lease when due and payable, or (ii) Basic Rent or, to the extent not subject to clause (i) above, any other amount required to be paid by Lessee pursuant to the Operative Documents when due and payable and, in any such case of this clause (ii), such failure shall continue unremedied for a period of five (5)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 Office</w:t>
      </w:r>
      <w:r>
        <w:rPr>
          <w:rFonts w:ascii="Arial" w:cs="Arial" w:eastAsia="Arial" w:hAnsi="Arial"/>
          <w:sz w:val="18"/>
          <w:szCs w:val="18"/>
          <w:color w:val="auto"/>
        </w:rPr>
        <w:t>” means the office of the Lessor or the Administrative Agent identified on Schedule III to the Participation Agreement as its Payment Office.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PBGC</w:t>
      </w:r>
      <w:r>
        <w:rPr>
          <w:rFonts w:ascii="Arial" w:cs="Arial" w:eastAsia="Arial" w:hAnsi="Arial"/>
          <w:sz w:val="16"/>
          <w:szCs w:val="16"/>
          <w:color w:val="auto"/>
        </w:rPr>
        <w:t>” means the Pension Benefit Guaranty Corporation referred to and defined in ERISA and any successor entity performing similar functions.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“Permitted 767 Improvements” </w:t>
      </w:r>
      <w:r>
        <w:rPr>
          <w:rFonts w:ascii="Arial" w:cs="Arial" w:eastAsia="Arial" w:hAnsi="Arial"/>
          <w:sz w:val="18"/>
          <w:szCs w:val="18"/>
          <w:color w:val="auto"/>
        </w:rPr>
        <w:t>means the Improvements described on Schedule C to the Lease.</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i w:val="1"/>
          <w:iCs w:val="1"/>
          <w:color w:val="auto"/>
        </w:rPr>
        <w:t xml:space="preserve">“Permitted Call Spread Swap Agreement” </w:t>
      </w:r>
      <w:r>
        <w:rPr>
          <w:rFonts w:ascii="Arial" w:cs="Arial" w:eastAsia="Arial" w:hAnsi="Arial"/>
          <w:sz w:val="16"/>
          <w:szCs w:val="16"/>
          <w:color w:val="auto"/>
        </w:rPr>
        <w:t>means (a) any Swap Agreement (including, but not limited to, any bond hedge transaction or capped call</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pursuant to which the Parent Guarantor acquires an option requiring the counterparty thereto to deliver to the Parent Guarantor shares of common stock of the Parent Guarantor, the cash value of such shares or a combination thereof from time to time upon exercise of such option and (b) any Swap Agreement pursuant to which the Parent Guarantor issues to the counterparty thereto warrants to acquire common stock of the Parent Guarantor (whether</w:t>
      </w:r>
    </w:p>
    <w:p>
      <w:pPr>
        <w:sectPr>
          <w:pgSz w:w="11900" w:h="16945" w:orient="portrait"/>
          <w:cols w:equalWidth="0" w:num="1">
            <w:col w:w="11400"/>
          </w:cols>
          <w:pgMar w:left="240" w:top="125" w:right="259" w:bottom="0" w:gutter="0" w:footer="0" w:header="0"/>
        </w:sectPr>
      </w:pPr>
    </w:p>
    <w:bookmarkStart w:id="50" w:name="page51"/>
    <w:bookmarkEnd w:id="50"/>
    <w:p>
      <w:pPr>
        <w:spacing w:after="0" w:line="100"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 xml:space="preserve">such warrant is settled in shares, cash or a combination thereof), in each case entered into by the Parent Guarantor in connection with the issuance of Permitted Convertible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terms, conditions and covenants of each such Swap Agreement shall be such as are customary for Swap Agreements of such type (as determined by the Board of Directors of the Parent Guarantor in good faith).</w:t>
      </w:r>
    </w:p>
    <w:p>
      <w:pPr>
        <w:spacing w:after="0" w:line="166"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i w:val="1"/>
          <w:iCs w:val="1"/>
          <w:color w:val="auto"/>
        </w:rPr>
        <w:t xml:space="preserve">“Permitted Convertible Notes” </w:t>
      </w:r>
      <w:r>
        <w:rPr>
          <w:rFonts w:ascii="Arial" w:cs="Arial" w:eastAsia="Arial" w:hAnsi="Arial"/>
          <w:sz w:val="18"/>
          <w:szCs w:val="18"/>
          <w:color w:val="auto"/>
        </w:rPr>
        <w:t>means any unsecured notes issued by the Parent Guarantor that are convertible into common stock of the Parent</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 cash or any combination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Developed Area Release Payment</w:t>
      </w:r>
      <w:r>
        <w:rPr>
          <w:rFonts w:ascii="Arial" w:cs="Arial" w:eastAsia="Arial" w:hAnsi="Arial"/>
          <w:sz w:val="18"/>
          <w:szCs w:val="18"/>
          <w:color w:val="auto"/>
        </w:rPr>
        <w:t>” means Sixteen Million Six Hundred Thousand Dollars ($16,600,000).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Developed Areas</w:t>
      </w:r>
      <w:r>
        <w:rPr>
          <w:rFonts w:ascii="Arial" w:cs="Arial" w:eastAsia="Arial" w:hAnsi="Arial"/>
          <w:sz w:val="18"/>
          <w:szCs w:val="18"/>
          <w:color w:val="auto"/>
        </w:rPr>
        <w:t>” is defined in Section 10.3(b)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Development Projects</w:t>
      </w:r>
      <w:r>
        <w:rPr>
          <w:rFonts w:ascii="Arial" w:cs="Arial" w:eastAsia="Arial" w:hAnsi="Arial"/>
          <w:sz w:val="18"/>
          <w:szCs w:val="18"/>
          <w:color w:val="auto"/>
        </w:rPr>
        <w:t>” means the work and development permitted under Sections 10.3(a) and 10.3(b)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Encumbrances</w:t>
      </w:r>
      <w:r>
        <w:rPr>
          <w:rFonts w:ascii="Arial" w:cs="Arial" w:eastAsia="Arial" w:hAnsi="Arial"/>
          <w:sz w:val="18"/>
          <w:szCs w:val="18"/>
          <w:color w:val="auto"/>
        </w:rPr>
        <w:t>” means:</w:t>
      </w:r>
    </w:p>
    <w:p>
      <w:pPr>
        <w:spacing w:after="0" w:line="225" w:lineRule="exact"/>
        <w:rPr>
          <w:sz w:val="20"/>
          <w:szCs w:val="20"/>
          <w:color w:val="auto"/>
        </w:rPr>
      </w:pPr>
    </w:p>
    <w:p>
      <w:pPr>
        <w:ind w:right="120" w:firstLine="656"/>
        <w:spacing w:after="0" w:line="277" w:lineRule="auto"/>
        <w:tabs>
          <w:tab w:leader="none" w:pos="129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Liens imposed by law for Taxes that have not yet been paid (to the extent such non-payment does not violate Section 8(d) of the Guaranty) or are being contested in compliance with Section 8(d) of the Guaranty, and Liens for unpaid utility charges;</w:t>
      </w:r>
    </w:p>
    <w:p>
      <w:pPr>
        <w:spacing w:after="0" w:line="170" w:lineRule="exact"/>
        <w:rPr>
          <w:rFonts w:ascii="Arial" w:cs="Arial" w:eastAsia="Arial" w:hAnsi="Arial"/>
          <w:sz w:val="18"/>
          <w:szCs w:val="18"/>
          <w:color w:val="auto"/>
        </w:rPr>
      </w:pPr>
    </w:p>
    <w:p>
      <w:pPr>
        <w:ind w:right="120" w:firstLine="656"/>
        <w:spacing w:after="0" w:line="264" w:lineRule="auto"/>
        <w:tabs>
          <w:tab w:leader="none" w:pos="130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supplier’s and other like Liens imposed by law, arising in the ordinary course of business and securing obligations that are not overdue by more than sixty (60) days or are being contested in compliance with Section 8(d) of the Guaranty;</w:t>
      </w:r>
    </w:p>
    <w:p>
      <w:pPr>
        <w:spacing w:after="0" w:line="181" w:lineRule="exact"/>
        <w:rPr>
          <w:rFonts w:ascii="Arial" w:cs="Arial" w:eastAsia="Arial" w:hAnsi="Arial"/>
          <w:sz w:val="18"/>
          <w:szCs w:val="18"/>
          <w:color w:val="auto"/>
        </w:rPr>
      </w:pPr>
    </w:p>
    <w:p>
      <w:pPr>
        <w:ind w:right="380" w:firstLine="656"/>
        <w:spacing w:after="0" w:line="277" w:lineRule="auto"/>
        <w:tabs>
          <w:tab w:leader="none" w:pos="130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connection with workers’ compensation, unemployment insurance and other social security or 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laws or regulations or employment laws, to secure liability to insurance carriers under insurance or self-insurance arrangements or to secure other public, statutory or regulatory obligations;</w:t>
      </w:r>
    </w:p>
    <w:p>
      <w:pPr>
        <w:spacing w:after="0" w:line="170" w:lineRule="exact"/>
        <w:rPr>
          <w:sz w:val="20"/>
          <w:szCs w:val="20"/>
          <w:color w:val="auto"/>
        </w:rPr>
      </w:pPr>
    </w:p>
    <w:p>
      <w:pPr>
        <w:jc w:val="both"/>
        <w:ind w:right="540" w:firstLine="656"/>
        <w:spacing w:after="0" w:line="286" w:lineRule="auto"/>
        <w:tabs>
          <w:tab w:leader="none" w:pos="1304" w:val="left"/>
        </w:tabs>
        <w:numPr>
          <w:ilvl w:val="0"/>
          <w:numId w:val="109"/>
        </w:numPr>
        <w:rPr>
          <w:rFonts w:ascii="Arial" w:cs="Arial" w:eastAsia="Arial" w:hAnsi="Arial"/>
          <w:sz w:val="17"/>
          <w:szCs w:val="17"/>
          <w:color w:val="auto"/>
        </w:rPr>
      </w:pPr>
      <w:r>
        <w:rPr>
          <w:rFonts w:ascii="Arial" w:cs="Arial" w:eastAsia="Arial" w:hAnsi="Arial"/>
          <w:sz w:val="17"/>
          <w:szCs w:val="17"/>
          <w:color w:val="auto"/>
        </w:rPr>
        <w:t>pledges and deposits to secure the performance of bids, trade contracts, government contracts, leases, statutory obligations, customer deposits and advances, surety, customs and appeal bonds, performance and completion bonds and other obligations of a like nature, in each case in the ordinary course of business, and Liens to secure letters of credit or bank guarantees supporting any of the foregoing;</w:t>
      </w:r>
    </w:p>
    <w:p>
      <w:pPr>
        <w:spacing w:after="0" w:line="165" w:lineRule="exact"/>
        <w:rPr>
          <w:rFonts w:ascii="Arial" w:cs="Arial" w:eastAsia="Arial" w:hAnsi="Arial"/>
          <w:sz w:val="17"/>
          <w:szCs w:val="17"/>
          <w:color w:val="auto"/>
        </w:rPr>
      </w:pPr>
    </w:p>
    <w:p>
      <w:pPr>
        <w:ind w:right="400" w:firstLine="656"/>
        <w:spacing w:after="0" w:line="277" w:lineRule="auto"/>
        <w:tabs>
          <w:tab w:leader="none" w:pos="130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judgment Liens in respect of judgments that do not constitute an Event of Default under Section 16.1(k) of the Lease or Liens securing appeal or surety bonds related to such judgments;</w:t>
      </w:r>
    </w:p>
    <w:p>
      <w:pPr>
        <w:spacing w:after="0" w:line="170" w:lineRule="exact"/>
        <w:rPr>
          <w:rFonts w:ascii="Arial" w:cs="Arial" w:eastAsia="Arial" w:hAnsi="Arial"/>
          <w:sz w:val="18"/>
          <w:szCs w:val="18"/>
          <w:color w:val="auto"/>
        </w:rPr>
      </w:pPr>
    </w:p>
    <w:p>
      <w:pPr>
        <w:ind w:right="320" w:firstLine="656"/>
        <w:spacing w:after="0" w:line="286" w:lineRule="auto"/>
        <w:tabs>
          <w:tab w:leader="none" w:pos="1301"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easements, zoning restrictions, rights-of-way and similar charges or encumbrances on real property imposed by law or arising in the ordinary course of business that do not secure any monetary obligations and do not materially detract from the value of the affected property or materially interfere with the ordinary conduct of business of the Parent Guarantor and its Subsidiaries, taken as a whole;</w:t>
      </w:r>
    </w:p>
    <w:p>
      <w:pPr>
        <w:spacing w:after="0" w:line="165" w:lineRule="exact"/>
        <w:rPr>
          <w:rFonts w:ascii="Arial" w:cs="Arial" w:eastAsia="Arial" w:hAnsi="Arial"/>
          <w:sz w:val="17"/>
          <w:szCs w:val="17"/>
          <w:color w:val="auto"/>
        </w:rPr>
      </w:pPr>
    </w:p>
    <w:p>
      <w:pPr>
        <w:ind w:right="200" w:firstLine="656"/>
        <w:spacing w:after="0" w:line="277" w:lineRule="auto"/>
        <w:tabs>
          <w:tab w:leader="none" w:pos="131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interest or title of a landlord, lessor or sublessor under any lease of real estate or any Lien affecting solely the interest of the landlord, lessor or sublessor;</w:t>
      </w:r>
    </w:p>
    <w:p>
      <w:pPr>
        <w:spacing w:after="0" w:line="170" w:lineRule="exact"/>
        <w:rPr>
          <w:rFonts w:ascii="Arial" w:cs="Arial" w:eastAsia="Arial" w:hAnsi="Arial"/>
          <w:sz w:val="18"/>
          <w:szCs w:val="18"/>
          <w:color w:val="auto"/>
        </w:rPr>
      </w:pPr>
    </w:p>
    <w:p>
      <w:pPr>
        <w:jc w:val="both"/>
        <w:ind w:right="620" w:firstLine="656"/>
        <w:spacing w:after="0" w:line="259" w:lineRule="auto"/>
        <w:tabs>
          <w:tab w:leader="none" w:pos="130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leases, licenses, subleases or sublicenses (i) that are granted to others and do not adversely interfere in any material respect with the business of the Parent Guarantor and its Subsidiaries as conducted at the time granted, taken as a whole, (ii) between or among any of the Lessee, any Guarantor or any of their respective Subsidiaries (or any combination thereof) or (iii) granted to other Persons and permitted under Section 9(c) of the Guaranty;</w:t>
      </w:r>
    </w:p>
    <w:p>
      <w:pPr>
        <w:spacing w:after="0" w:line="186" w:lineRule="exact"/>
        <w:rPr>
          <w:rFonts w:ascii="Arial" w:cs="Arial" w:eastAsia="Arial" w:hAnsi="Arial"/>
          <w:sz w:val="18"/>
          <w:szCs w:val="18"/>
          <w:color w:val="auto"/>
        </w:rPr>
      </w:pPr>
    </w:p>
    <w:p>
      <w:pPr>
        <w:ind w:firstLine="656"/>
        <w:spacing w:after="0" w:line="277" w:lineRule="auto"/>
        <w:tabs>
          <w:tab w:leader="none" w:pos="131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purported Liens evidenced by the filing of precautionary UCC financing statements or similar filings relating to operating leases of personal property entered into by the Parent Guarantor or any of its Subsidiaries in the ordinary course of business;</w:t>
      </w:r>
    </w:p>
    <w:p>
      <w:pPr>
        <w:spacing w:after="0" w:line="170" w:lineRule="exact"/>
        <w:rPr>
          <w:rFonts w:ascii="Arial" w:cs="Arial" w:eastAsia="Arial" w:hAnsi="Arial"/>
          <w:sz w:val="18"/>
          <w:szCs w:val="18"/>
          <w:color w:val="auto"/>
        </w:rPr>
      </w:pPr>
    </w:p>
    <w:p>
      <w:pPr>
        <w:ind w:right="400" w:firstLine="656"/>
        <w:spacing w:after="0" w:line="277" w:lineRule="auto"/>
        <w:tabs>
          <w:tab w:leader="none" w:pos="130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interest or title of a licensor under any license or sublicense entered into by the Parent Guarantor or any Subsidiary as a licensee or sublicensee (i) existing on the Document Closing Date or (ii) in the ordinary course of its business;</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with respect to any real property, immaterial title defects or irregularities that do not materially impair the use of such real property; and</w:t>
      </w:r>
    </w:p>
    <w:p>
      <w:pPr>
        <w:spacing w:after="0" w:line="236" w:lineRule="exact"/>
        <w:rPr>
          <w:rFonts w:ascii="Arial" w:cs="Arial" w:eastAsia="Arial" w:hAnsi="Arial"/>
          <w:sz w:val="17"/>
          <w:szCs w:val="17"/>
          <w:color w:val="auto"/>
        </w:rPr>
      </w:pPr>
    </w:p>
    <w:p>
      <w:pPr>
        <w:ind w:right="700" w:firstLine="656"/>
        <w:spacing w:after="0" w:line="277" w:lineRule="auto"/>
        <w:tabs>
          <w:tab w:leader="none" w:pos="131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Liens on real property, fixtures, equipment, other fixed or capital assets or other related assets in connection with a Tax Abatement Transaction in favor of the Related Municipal Party.</w:t>
      </w:r>
    </w:p>
    <w:p>
      <w:pPr>
        <w:spacing w:after="0" w:line="170"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i w:val="1"/>
          <w:iCs w:val="1"/>
          <w:color w:val="auto"/>
        </w:rPr>
        <w:t xml:space="preserve">“Permitted Lien” </w:t>
      </w:r>
      <w:r>
        <w:rPr>
          <w:rFonts w:ascii="Arial" w:cs="Arial" w:eastAsia="Arial" w:hAnsi="Arial"/>
          <w:sz w:val="17"/>
          <w:szCs w:val="17"/>
          <w:color w:val="auto"/>
        </w:rPr>
        <w:t>means (a) the respective rights and interests of the parties to the Operative Documents, as provided in the Operative Documents,</w:t>
      </w:r>
      <w:r>
        <w:rPr>
          <w:rFonts w:ascii="Arial" w:cs="Arial" w:eastAsia="Arial" w:hAnsi="Arial"/>
          <w:sz w:val="17"/>
          <w:szCs w:val="17"/>
          <w:i w:val="1"/>
          <w:iCs w:val="1"/>
          <w:color w:val="auto"/>
        </w:rPr>
        <w:t xml:space="preserve"> </w:t>
      </w:r>
      <w:r>
        <w:rPr>
          <w:rFonts w:ascii="Arial" w:cs="Arial" w:eastAsia="Arial" w:hAnsi="Arial"/>
          <w:sz w:val="17"/>
          <w:szCs w:val="17"/>
          <w:color w:val="auto"/>
        </w:rPr>
        <w:t>(b) Lessor Liens, (c) Liens for Taxes or utility charges that have not yet been paid (to the extent such non-payment does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violate the Lease, the Participation Agreement or Section 8(d) of the Guaranty) </w:t>
      </w:r>
      <w:r>
        <w:rPr>
          <w:rFonts w:ascii="Arial" w:cs="Arial" w:eastAsia="Arial" w:hAnsi="Arial"/>
          <w:sz w:val="15"/>
          <w:szCs w:val="15"/>
          <w:color w:val="auto"/>
        </w:rPr>
        <w:t>or being contested in good faith and by appropriate proceedings diligently</w:t>
      </w:r>
      <w:r>
        <w:rPr>
          <w:rFonts w:ascii="Arial" w:cs="Arial" w:eastAsia="Arial" w:hAnsi="Arial"/>
          <w:sz w:val="16"/>
          <w:szCs w:val="16"/>
          <w:color w:val="auto"/>
        </w:rPr>
        <w:t xml:space="preserve"> </w:t>
      </w:r>
      <w:r>
        <w:rPr>
          <w:rFonts w:ascii="Arial" w:cs="Arial" w:eastAsia="Arial" w:hAnsi="Arial"/>
          <w:sz w:val="15"/>
          <w:szCs w:val="15"/>
          <w:color w:val="auto"/>
        </w:rPr>
        <w:t>conducted, so long as (i) no Event of Default shall have occurred and be continuing, (ii) such proceedings shall not involve any meaningful risk of the sale, forfeiture or loss of any of the Leased Property, the other Collateral, the Operative Documents, title thereto or any interest therein and shall not interfere with the use or disposition of the Leased Property, the other Collateral, the Operative Documents or the payment of Rent</w:t>
      </w:r>
      <w:r>
        <w:rPr>
          <w:rFonts w:ascii="Arial" w:cs="Arial" w:eastAsia="Arial" w:hAnsi="Arial"/>
          <w:sz w:val="16"/>
          <w:szCs w:val="16"/>
          <w:color w:val="auto"/>
        </w:rPr>
        <w:t>, (iii) such proceedings do not impair the</w:t>
      </w:r>
      <w:r>
        <w:rPr>
          <w:rFonts w:ascii="Arial" w:cs="Arial" w:eastAsia="Arial" w:hAnsi="Arial"/>
          <w:sz w:val="15"/>
          <w:szCs w:val="15"/>
          <w:color w:val="auto"/>
        </w:rPr>
        <w:t xml:space="preserve"> </w:t>
      </w:r>
      <w:r>
        <w:rPr>
          <w:rFonts w:ascii="Arial" w:cs="Arial" w:eastAsia="Arial" w:hAnsi="Arial"/>
          <w:sz w:val="16"/>
          <w:szCs w:val="16"/>
          <w:color w:val="auto"/>
        </w:rPr>
        <w:t>perfection or priority of the Lien created by the Lease or the Security Instruments and (iv) the Lessee or the Parent Guarantor has set aside on its books adequate reserves in accordance with GAAP in respect of the Lien, (d) materialmen’s, mechanics’, workers’, repairmen’s, employees’, suppliers’ or other like Liens relating to the construction of any Improvements or in connection with any Modifications or arising in the ordinary course of business and securing obligations that are not overdue by more than sixty (60) days or being contested in good faith and by appropriate proceedings so long as (i) no Event of Default shall have occurred and be continuing, (ii) such proceedings shall not involve any meaningful risk of the sale, forfeiture or loss of any of the Leased</w:t>
      </w:r>
    </w:p>
    <w:p>
      <w:pPr>
        <w:sectPr>
          <w:pgSz w:w="11900" w:h="16939" w:orient="portrait"/>
          <w:cols w:equalWidth="0" w:num="1">
            <w:col w:w="11420"/>
          </w:cols>
          <w:pgMar w:left="240" w:top="125" w:right="239" w:bottom="0" w:gutter="0" w:footer="0" w:header="0"/>
        </w:sectPr>
      </w:pPr>
    </w:p>
    <w:bookmarkStart w:id="51" w:name="page52"/>
    <w:bookmarkEnd w:id="51"/>
    <w:p>
      <w:pPr>
        <w:ind w:right="20"/>
        <w:spacing w:after="0" w:line="267" w:lineRule="auto"/>
        <w:rPr>
          <w:sz w:val="20"/>
          <w:szCs w:val="20"/>
          <w:color w:val="auto"/>
        </w:rPr>
      </w:pPr>
      <w:r>
        <w:rPr>
          <w:rFonts w:ascii="Arial" w:cs="Arial" w:eastAsia="Arial" w:hAnsi="Arial"/>
          <w:sz w:val="17"/>
          <w:szCs w:val="17"/>
          <w:color w:val="auto"/>
        </w:rPr>
        <w:t>Property, the other Collateral, the Operative Documents, title thereto or any interest therein and shall not interfere with the use or disposition of the Leased Property, the other Collateral, the Operative Documents or the payment of Rent and (iii) such proceedings do not impair the perfection or priority of the Lien created by the Lease or the Security Instruments and, (e) Liens arising out of judgments or awards with respect to which appeals or other proceedings for review are being prosecuted in good faith and for the payment of which adequate reserves have been provided as required by GAAP or other appropriate provisions have been made, so long as such proceedings have the effect of staying the execution of such judgments or awards and satisfy the conditions for the continuation of proceedings set forth in Section 12.1 of the Lease, (f) the rights of any sublessee under a sublease permitted pursuant to and subject to the terms of the Lease, (g) easements, rights of way and other encumbrances permitted pursuant to Section 11.2 of the Lease, (h) Liens expressly permitted under the Purchase Agreement, (i) easements, zoning restrictions, rights-of-way and similar charges or other Liens imposed by law or arising in the ordinary course of business that do not secure any monetary obligations and do not materially detract from the value of the affected property or materially interfere with the ordinary conduct of business of the Parent Guarantor and its Subsidiaries, taken as a whole, (j) with respect to any real property, immaterial title defects or irregularities that do not materially impair the use of such real property, (k) Liens of any of the types referred to in clause (c), (d) or (e) above that have been bonded for not less than the full amount in dispute (or as to which other security arrangements satisfactory to the Lessor have been made), which bonding (or arrangements) shall comply with Applicable Laws, and has effectively stayed any execution or enforcement of such Liens, (l) Liens described on any of the Title Policies, (m) Liens on real property, fixtures, equipment, other fixed or capital assets or other related assets in connection with a Specified Tax Abatement Transaction in favor of the Related Municipal Party, (n) materialmen’s, mechanics’, workers’, repairmen’s, employees’, suppliers’ or other like Liens relating to the construction of any Improvements or in connection with any Modifications or arising in the ordinary course of business not exceeding (or, if less, attaching to Leased Property having a value not exceeding) $1,000,000 in the aggregate for this clause (n), and (o) Liens for Taxes that have not yet been paid securing obligations not exceeding (or, if less, attaching to Leased Property having a value not exceeding) $50,000 in the aggregate for this clause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Modification</w:t>
      </w:r>
      <w:r>
        <w:rPr>
          <w:rFonts w:ascii="Arial" w:cs="Arial" w:eastAsia="Arial" w:hAnsi="Arial"/>
          <w:sz w:val="18"/>
          <w:szCs w:val="18"/>
          <w:color w:val="auto"/>
        </w:rPr>
        <w:t>” is defined in Section 10.1(a) of the Lease.</w:t>
      </w:r>
    </w:p>
    <w:p>
      <w:pPr>
        <w:spacing w:after="0" w:line="22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Permitted Restructurings</w:t>
      </w:r>
      <w:r>
        <w:rPr>
          <w:rFonts w:ascii="Arial" w:cs="Arial" w:eastAsia="Arial" w:hAnsi="Arial"/>
          <w:sz w:val="16"/>
          <w:szCs w:val="16"/>
          <w:color w:val="auto"/>
        </w:rPr>
        <w:t>” means a transaction or series of transactions pursuant to which direct and indirect Subsidiaries of the Parent Guarantor are converted, restructured or reorganized for tax planning or due to changes or potential changes in any relevant legal or regulatory framework, whether by</w:t>
      </w:r>
    </w:p>
    <w:p>
      <w:pPr>
        <w:ind w:right="60" w:firstLine="8"/>
        <w:spacing w:after="0" w:line="292" w:lineRule="auto"/>
        <w:tabs>
          <w:tab w:leader="none" w:pos="21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transfer, (ii) acquisition, (iii) contribution, (iv) merger, (v) consolidation, (vi) voluntary dissolution, (vii) liquidation, (viii) recapitalization, (ix) change in identity, form, place of organization, domicile or, to the extent relevant, centre of main interests (as that term is used in Article 3(1) of the Council of the European Union Regulation No. 1346/2000 on Insolvency Proceedings), or (x) otherwise, in each case the result of which may cause a direct or indirect sale, assignment or transfer of Equity Interests and/or other assets between and among the Parent Guarantor and/or various Subsidiaries of the Parent Guarantor, and in each case to the extent the Administrative Agent (acting in its reasonable credit judgment) approves such Permitted Restructuring.</w:t>
      </w:r>
    </w:p>
    <w:p>
      <w:pPr>
        <w:spacing w:after="0" w:line="16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Personalty</w:t>
      </w:r>
      <w:r>
        <w:rPr>
          <w:rFonts w:ascii="Arial" w:cs="Arial" w:eastAsia="Arial" w:hAnsi="Arial"/>
          <w:sz w:val="18"/>
          <w:szCs w:val="18"/>
          <w:color w:val="auto"/>
        </w:rPr>
        <w:t>” is defined in Section 24.2(c) of the Lease.</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Parent Guarantor or any ERISA Affiliate is (or, if such plan were terminated, would under Section 4069 of ERISA be deemed to be) an “employer” as defined in Section 3(5) of ERISA.</w:t>
      </w:r>
    </w:p>
    <w:p>
      <w:pPr>
        <w:spacing w:after="0" w:line="181"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i w:val="1"/>
          <w:iCs w:val="1"/>
          <w:color w:val="auto"/>
        </w:rPr>
        <w:t xml:space="preserve">“Priority Indebtedness” </w:t>
      </w:r>
      <w:r>
        <w:rPr>
          <w:rFonts w:ascii="Arial" w:cs="Arial" w:eastAsia="Arial" w:hAnsi="Arial"/>
          <w:sz w:val="18"/>
          <w:szCs w:val="18"/>
          <w:color w:val="auto"/>
        </w:rPr>
        <w:t>means (a) Indebtedness of the Parent Guarantor or any Subsidiary secured by any Lien on any asset(s) of the Parent</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 or any Subsidiary and (b) unsecured Indebtedness of any Subsidiary that is not a Bank Credit Agreement Specified Loan Party or a Subsidiary Guarantor, in each case owing to a Person other than the Parent Guarantor or any Subsidiary.</w:t>
      </w:r>
    </w:p>
    <w:p>
      <w:pPr>
        <w:spacing w:after="0" w:line="181"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Agreement</w:t>
      </w:r>
      <w:r>
        <w:rPr>
          <w:rFonts w:ascii="Arial" w:cs="Arial" w:eastAsia="Arial" w:hAnsi="Arial"/>
          <w:sz w:val="18"/>
          <w:szCs w:val="18"/>
          <w:color w:val="auto"/>
        </w:rPr>
        <w:t xml:space="preserve">” means the Purchase Agreement, dated as of December 30, 2016, between Sellers and Lessee (as assignee of </w:t>
      </w:r>
      <w:r>
        <w:rPr>
          <w:rFonts w:ascii="Arial" w:cs="Arial" w:eastAsia="Arial" w:hAnsi="Arial"/>
          <w:sz w:val="17"/>
          <w:szCs w:val="17"/>
          <w:color w:val="auto"/>
        </w:rPr>
        <w:t>Parent</w:t>
      </w:r>
      <w:r>
        <w:rPr>
          <w:rFonts w:ascii="Arial" w:cs="Arial" w:eastAsia="Arial" w:hAnsi="Arial"/>
          <w:sz w:val="18"/>
          <w:szCs w:val="18"/>
          <w:color w:val="auto"/>
        </w:rPr>
        <w:t xml:space="preserve"> </w:t>
      </w:r>
      <w:r>
        <w:rPr>
          <w:rFonts w:ascii="Arial" w:cs="Arial" w:eastAsia="Arial" w:hAnsi="Arial"/>
          <w:sz w:val="17"/>
          <w:szCs w:val="17"/>
          <w:color w:val="auto"/>
        </w:rPr>
        <w:t>Guarantor)</w:t>
      </w:r>
      <w:r>
        <w:rPr>
          <w:rFonts w:ascii="Arial" w:cs="Arial" w:eastAsia="Arial" w:hAnsi="Arial"/>
          <w:sz w:val="18"/>
          <w:szCs w:val="18"/>
          <w:color w:val="auto"/>
        </w:rPr>
        <w:t>.</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 xml:space="preserve">“Purchase Amount” </w:t>
      </w:r>
      <w:r>
        <w:rPr>
          <w:rFonts w:ascii="Arial" w:cs="Arial" w:eastAsia="Arial" w:hAnsi="Arial"/>
          <w:sz w:val="18"/>
          <w:szCs w:val="18"/>
          <w:color w:val="auto"/>
        </w:rPr>
        <w:t>means, as of any date of determination and without duplication, the sum of (a) the Lease Balance,</w:t>
      </w:r>
      <w:r>
        <w:rPr>
          <w:rFonts w:ascii="Arial" w:cs="Arial" w:eastAsia="Arial" w:hAnsi="Arial"/>
          <w:sz w:val="18"/>
          <w:szCs w:val="18"/>
          <w:i w:val="1"/>
          <w:iCs w:val="1"/>
          <w:color w:val="auto"/>
        </w:rPr>
        <w:t xml:space="preserve"> plus </w:t>
      </w:r>
      <w:r>
        <w:rPr>
          <w:rFonts w:ascii="Arial" w:cs="Arial" w:eastAsia="Arial" w:hAnsi="Arial"/>
          <w:sz w:val="18"/>
          <w:szCs w:val="18"/>
          <w:color w:val="auto"/>
        </w:rPr>
        <w:t>(b) all other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owing by Lessee to the Administrative Agent, if any, and/or the Participants under the Operative Documents (including, but without duplication, accrued and unpaid Rent),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(c) all Break Costs.</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 xml:space="preserve">“Purchase Notice” </w:t>
      </w:r>
      <w:r>
        <w:rPr>
          <w:rFonts w:ascii="Arial" w:cs="Arial" w:eastAsia="Arial" w:hAnsi="Arial"/>
          <w:sz w:val="18"/>
          <w:szCs w:val="18"/>
          <w:color w:val="auto"/>
        </w:rPr>
        <w:t>means an irrevocable written notice by the Lessee delivered to the Lessor pursuant to Section 18.1 of the Lease, notifying the</w:t>
      </w:r>
      <w:r>
        <w:rPr>
          <w:rFonts w:ascii="Arial" w:cs="Arial" w:eastAsia="Arial" w:hAnsi="Arial"/>
          <w:sz w:val="18"/>
          <w:szCs w:val="18"/>
          <w:i w:val="1"/>
          <w:iCs w:val="1"/>
          <w:color w:val="auto"/>
        </w:rPr>
        <w:t xml:space="preserve"> </w:t>
      </w:r>
      <w:r>
        <w:rPr>
          <w:rFonts w:ascii="Arial" w:cs="Arial" w:eastAsia="Arial" w:hAnsi="Arial"/>
          <w:sz w:val="18"/>
          <w:szCs w:val="18"/>
          <w:color w:val="auto"/>
        </w:rPr>
        <w:t>Lessor of the Lessee’s intention to exercise its Early Termination Option, and the proposed purchase date therefor.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“Purchase Option” </w:t>
      </w:r>
      <w:r>
        <w:rPr>
          <w:rFonts w:ascii="Arial" w:cs="Arial" w:eastAsia="Arial" w:hAnsi="Arial"/>
          <w:sz w:val="18"/>
          <w:szCs w:val="18"/>
          <w:color w:val="auto"/>
        </w:rPr>
        <w:t>is defined in Section 19.1(b)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Price</w:t>
      </w:r>
      <w:r>
        <w:rPr>
          <w:rFonts w:ascii="Arial" w:cs="Arial" w:eastAsia="Arial" w:hAnsi="Arial"/>
          <w:sz w:val="18"/>
          <w:szCs w:val="18"/>
          <w:color w:val="auto"/>
        </w:rPr>
        <w:t>” means Seven Hundred Twenty Million Dollars ($720,000,000.00).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“PwC” </w:t>
      </w:r>
      <w:r>
        <w:rPr>
          <w:rFonts w:ascii="Arial" w:cs="Arial" w:eastAsia="Arial" w:hAnsi="Arial"/>
          <w:sz w:val="18"/>
          <w:szCs w:val="18"/>
          <w:color w:val="auto"/>
        </w:rPr>
        <w:t>means PricewaterhouseCoopers LLP.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Recipient</w:t>
      </w:r>
      <w:r>
        <w:rPr>
          <w:rFonts w:ascii="Arial" w:cs="Arial" w:eastAsia="Arial" w:hAnsi="Arial"/>
          <w:sz w:val="18"/>
          <w:szCs w:val="18"/>
          <w:color w:val="auto"/>
        </w:rPr>
        <w:t>” is defined in Section 12.3 of the Participation Agreement.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“Related Municipal Party” </w:t>
      </w:r>
      <w:r>
        <w:rPr>
          <w:rFonts w:ascii="Arial" w:cs="Arial" w:eastAsia="Arial" w:hAnsi="Arial"/>
          <w:sz w:val="18"/>
          <w:szCs w:val="18"/>
          <w:color w:val="auto"/>
        </w:rPr>
        <w:t>means the industrial development agency or other Governmental Authority party to a Tax Abatement Transaction and, if</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any trustee or agent with respect to such Tax Abatement Transaction.</w:t>
      </w:r>
    </w:p>
    <w:p>
      <w:pPr>
        <w:spacing w:after="0" w:line="170"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Related Parties</w:t>
      </w:r>
      <w:r>
        <w:rPr>
          <w:rFonts w:ascii="Arial" w:cs="Arial" w:eastAsia="Arial" w:hAnsi="Arial"/>
          <w:sz w:val="17"/>
          <w:szCs w:val="17"/>
          <w:color w:val="auto"/>
        </w:rPr>
        <w:t>” means, with respect to any specified Person, such Person’s Affiliates and the respective partners, directors, officers, employees, agents, trustees, administrators, managers, advisors and representatives of such Person and of such Person’s Affiliates.</w:t>
      </w:r>
    </w:p>
    <w:p>
      <w:pPr>
        <w:spacing w:after="0" w:line="147"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i w:val="1"/>
          <w:iCs w:val="1"/>
          <w:color w:val="auto"/>
        </w:rPr>
        <w:t xml:space="preserve">“Release” </w:t>
      </w:r>
      <w:r>
        <w:rPr>
          <w:rFonts w:ascii="Arial" w:cs="Arial" w:eastAsia="Arial" w:hAnsi="Arial"/>
          <w:sz w:val="16"/>
          <w:szCs w:val="16"/>
          <w:color w:val="auto"/>
        </w:rPr>
        <w:t>means any release, migrating, pumping, pouring, emptying, injecting, escaping, leaching, dumping, seepage, spill, leak, flow, discharge,</w:t>
      </w:r>
      <w:r>
        <w:rPr>
          <w:rFonts w:ascii="Arial" w:cs="Arial" w:eastAsia="Arial" w:hAnsi="Arial"/>
          <w:sz w:val="16"/>
          <w:szCs w:val="16"/>
          <w:i w:val="1"/>
          <w:iCs w:val="1"/>
          <w:color w:val="auto"/>
        </w:rPr>
        <w:t xml:space="preserve"> </w:t>
      </w:r>
      <w:r>
        <w:rPr>
          <w:rFonts w:ascii="Arial" w:cs="Arial" w:eastAsia="Arial" w:hAnsi="Arial"/>
          <w:sz w:val="16"/>
          <w:szCs w:val="16"/>
          <w:color w:val="auto"/>
        </w:rPr>
        <w:t>disposal or emission of a Hazardous Substance into the environment, including, without limitation, ambient air, surface water, ground water or land.</w:t>
      </w:r>
    </w:p>
    <w:p>
      <w:pPr>
        <w:sectPr>
          <w:pgSz w:w="11900" w:h="16838" w:orient="portrait"/>
          <w:cols w:equalWidth="0" w:num="1">
            <w:col w:w="11380"/>
          </w:cols>
          <w:pgMar w:left="240" w:top="125" w:right="279" w:bottom="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i w:val="1"/>
          <w:iCs w:val="1"/>
          <w:color w:val="auto"/>
        </w:rPr>
        <w:t xml:space="preserve">“Renewal Effective Date” </w:t>
      </w:r>
      <w:r>
        <w:rPr>
          <w:rFonts w:ascii="Arial" w:cs="Arial" w:eastAsia="Arial" w:hAnsi="Arial"/>
          <w:sz w:val="18"/>
          <w:szCs w:val="18"/>
          <w:color w:val="auto"/>
        </w:rPr>
        <w:t>is defined at Section 4.7(a)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“Renewal Option” </w:t>
      </w:r>
      <w:r>
        <w:rPr>
          <w:rFonts w:ascii="Arial" w:cs="Arial" w:eastAsia="Arial" w:hAnsi="Arial"/>
          <w:sz w:val="18"/>
          <w:szCs w:val="18"/>
          <w:color w:val="auto"/>
        </w:rPr>
        <w:t>is defined in Section 19.1(a)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“Renewal Option Request” </w:t>
      </w:r>
      <w:r>
        <w:rPr>
          <w:rFonts w:ascii="Arial" w:cs="Arial" w:eastAsia="Arial" w:hAnsi="Arial"/>
          <w:sz w:val="18"/>
          <w:szCs w:val="18"/>
          <w:color w:val="auto"/>
        </w:rPr>
        <w:t>is defined at Section 4.7(a)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“Renewal Option Response Date” </w:t>
      </w:r>
      <w:r>
        <w:rPr>
          <w:rFonts w:ascii="Arial" w:cs="Arial" w:eastAsia="Arial" w:hAnsi="Arial"/>
          <w:sz w:val="18"/>
          <w:szCs w:val="18"/>
          <w:color w:val="auto"/>
        </w:rPr>
        <w:t>is defined at Section 4.7(a)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“Renewal Rescission” </w:t>
      </w:r>
      <w:r>
        <w:rPr>
          <w:rFonts w:ascii="Arial" w:cs="Arial" w:eastAsia="Arial" w:hAnsi="Arial"/>
          <w:sz w:val="18"/>
          <w:szCs w:val="18"/>
          <w:color w:val="auto"/>
        </w:rPr>
        <w:t>is defined in Section 4.7(a)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“Renewal Rescission Period” </w:t>
      </w:r>
      <w:r>
        <w:rPr>
          <w:rFonts w:ascii="Arial" w:cs="Arial" w:eastAsia="Arial" w:hAnsi="Arial"/>
          <w:sz w:val="18"/>
          <w:szCs w:val="18"/>
          <w:color w:val="auto"/>
        </w:rPr>
        <w:t>is defined in Section 4.7(a)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“Rent” </w:t>
      </w:r>
      <w:r>
        <w:rPr>
          <w:rFonts w:ascii="Arial" w:cs="Arial" w:eastAsia="Arial" w:hAnsi="Arial"/>
          <w:sz w:val="18"/>
          <w:szCs w:val="18"/>
          <w:color w:val="auto"/>
        </w:rPr>
        <w:t>means, collectively, the Basic Rent and the Supplemental Rent, in each case payable under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Modification</w:t>
      </w:r>
      <w:r>
        <w:rPr>
          <w:rFonts w:ascii="Arial" w:cs="Arial" w:eastAsia="Arial" w:hAnsi="Arial"/>
          <w:sz w:val="18"/>
          <w:szCs w:val="18"/>
          <w:color w:val="auto"/>
        </w:rPr>
        <w:t>” is defined in Section 10.1(a) of the Lease.</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Required Participants</w:t>
      </w:r>
      <w:r>
        <w:rPr>
          <w:rFonts w:ascii="Arial" w:cs="Arial" w:eastAsia="Arial" w:hAnsi="Arial"/>
          <w:sz w:val="17"/>
          <w:szCs w:val="17"/>
          <w:color w:val="auto"/>
        </w:rPr>
        <w:t>” means, at any time, the Participants whose aggregate Credit Exposures (as hereinafter defined) constitute more than 50% of the aggregate Credit Exposure of all Participants at such time. For purposes of the preceding sentence, the term “</w:t>
      </w:r>
      <w:r>
        <w:rPr>
          <w:rFonts w:ascii="Arial" w:cs="Arial" w:eastAsia="Arial" w:hAnsi="Arial"/>
          <w:sz w:val="17"/>
          <w:szCs w:val="17"/>
          <w:i w:val="1"/>
          <w:iCs w:val="1"/>
          <w:color w:val="auto"/>
        </w:rPr>
        <w:t>Credit Exposure</w:t>
      </w:r>
      <w:r>
        <w:rPr>
          <w:rFonts w:ascii="Arial" w:cs="Arial" w:eastAsia="Arial" w:hAnsi="Arial"/>
          <w:sz w:val="17"/>
          <w:szCs w:val="17"/>
          <w:color w:val="auto"/>
        </w:rPr>
        <w:t xml:space="preserve">” as applied to (i) the Lessor shall mean the outstanding Lessor Amount owed to the Lessor at such time and (ii) each Lender shall mean the aggregate principal amount of Loans held by such Lender at such time net of any distributions (other than distributions of Interest) </w:t>
      </w:r>
      <w:r>
        <w:rPr>
          <w:rFonts w:ascii="Arial" w:cs="Arial" w:eastAsia="Arial" w:hAnsi="Arial"/>
          <w:sz w:val="16"/>
          <w:szCs w:val="16"/>
          <w:color w:val="auto"/>
        </w:rPr>
        <w:t>with respect</w:t>
      </w:r>
      <w:r>
        <w:rPr>
          <w:rFonts w:ascii="Arial" w:cs="Arial" w:eastAsia="Arial" w:hAnsi="Arial"/>
          <w:sz w:val="17"/>
          <w:szCs w:val="17"/>
          <w:color w:val="auto"/>
        </w:rPr>
        <w:t xml:space="preserv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relative to the Lessee or a Guarantor, as the context may require, the chief executive officer, president, a Financial Officer or chief legal officer of the Lessee or such Guarantor, as applicable, or any other Person designated by the Lessee or such Guarantor, as applicable, in writing to the Administrative Agent and reasonably acceptable to the Administrative Agent.</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Officer’s Certificate</w:t>
      </w:r>
      <w:r>
        <w:rPr>
          <w:rFonts w:ascii="Arial" w:cs="Arial" w:eastAsia="Arial" w:hAnsi="Arial"/>
          <w:sz w:val="18"/>
          <w:szCs w:val="18"/>
          <w:color w:val="auto"/>
        </w:rPr>
        <w:t xml:space="preserve">” means a certificate signed by any Responsible Officer of the Lessee or a Guarantor, as the context may require, </w:t>
      </w:r>
      <w:r>
        <w:rPr>
          <w:rFonts w:ascii="Arial" w:cs="Arial" w:eastAsia="Arial" w:hAnsi="Arial"/>
          <w:sz w:val="17"/>
          <w:szCs w:val="17"/>
          <w:color w:val="auto"/>
        </w:rPr>
        <w:t xml:space="preserve">which </w:t>
      </w:r>
      <w:r>
        <w:rPr>
          <w:rFonts w:ascii="Arial" w:cs="Arial" w:eastAsia="Arial" w:hAnsi="Arial"/>
          <w:sz w:val="18"/>
          <w:szCs w:val="18"/>
          <w:color w:val="auto"/>
        </w:rPr>
        <w:t>certificate shall certify as true and correct the subject matter being certified to in such certificate.</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Restricted Payment</w:t>
      </w:r>
      <w:r>
        <w:rPr>
          <w:rFonts w:ascii="Arial" w:cs="Arial" w:eastAsia="Arial" w:hAnsi="Arial"/>
          <w:sz w:val="17"/>
          <w:szCs w:val="17"/>
          <w:color w:val="auto"/>
        </w:rPr>
        <w:t>” means (a) any dividend or other distribution (whether in cash, securities or other property) with respect to any Equity Interests in the Parent Guarantor or any Subsidiary, and (b) any payment (whether in cash, securities or other property), including any sinking fund or similar deposit, on account of the purchase, redemption, retirement, acquisition, cancellation or termination of any Equity Interests in the Parent Guarantor or any option, warrant or other similar right to acquire any such Equity Interests in the Parent Guarantor. Notwithstanding the foregoing, and for the avoidance of doubt, any of the foregoing directly on account of any Permitted Convertible Notes or any Permitted Call Spread Swap Agreement, including (i) any issuance of, conversion of (including any cash payment upon conversion), or payment of any principal or premium on, or payment of any interest with respect to, or any other exercise of rights or performance of obligations under any Permitted Convertible Notes and (ii) any entry into, payment with respect to, or early unwind or settlement of, or any other exercise of rights or performance of obligations under any Permitted Call Spread Swap Agreement, in any such case, shall not constitute a Restricted Payment.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“S&amp;P” </w:t>
      </w:r>
      <w:r>
        <w:rPr>
          <w:rFonts w:ascii="Arial" w:cs="Arial" w:eastAsia="Arial" w:hAnsi="Arial"/>
          <w:sz w:val="18"/>
          <w:szCs w:val="18"/>
          <w:color w:val="auto"/>
        </w:rPr>
        <w:t>means Standard &amp; Poor’s Ratings Services, a Standard &amp; Poor’s Financial Services LLC business.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 xml:space="preserve">“Sale and Leaseback Transaction” </w:t>
      </w:r>
      <w:r>
        <w:rPr>
          <w:rFonts w:ascii="Arial" w:cs="Arial" w:eastAsia="Arial" w:hAnsi="Arial"/>
          <w:sz w:val="18"/>
          <w:szCs w:val="18"/>
          <w:color w:val="auto"/>
        </w:rPr>
        <w:t>means any sale or other transfer of any property or asset by any Person with the intent to lease such property or</w:t>
      </w:r>
      <w:r>
        <w:rPr>
          <w:rFonts w:ascii="Arial" w:cs="Arial" w:eastAsia="Arial" w:hAnsi="Arial"/>
          <w:sz w:val="18"/>
          <w:szCs w:val="18"/>
          <w:i w:val="1"/>
          <w:iCs w:val="1"/>
          <w:color w:val="auto"/>
        </w:rPr>
        <w:t xml:space="preserve"> </w:t>
      </w:r>
      <w:r>
        <w:rPr>
          <w:rFonts w:ascii="Arial" w:cs="Arial" w:eastAsia="Arial" w:hAnsi="Arial"/>
          <w:sz w:val="18"/>
          <w:szCs w:val="18"/>
          <w:color w:val="auto"/>
        </w:rPr>
        <w:t>asset as lessee.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“Sale Option” </w:t>
      </w:r>
      <w:r>
        <w:rPr>
          <w:rFonts w:ascii="Arial" w:cs="Arial" w:eastAsia="Arial" w:hAnsi="Arial"/>
          <w:sz w:val="18"/>
          <w:szCs w:val="18"/>
          <w:color w:val="auto"/>
        </w:rPr>
        <w:t>is defined in Section 19.1(c) of the Lease.</w:t>
      </w:r>
    </w:p>
    <w:p>
      <w:pPr>
        <w:spacing w:after="0" w:line="225" w:lineRule="exact"/>
        <w:rPr>
          <w:sz w:val="20"/>
          <w:szCs w:val="20"/>
          <w:color w:val="auto"/>
        </w:rPr>
      </w:pPr>
    </w:p>
    <w:p>
      <w:pPr>
        <w:ind w:right="760" w:firstLine="648"/>
        <w:spacing w:after="0" w:line="342" w:lineRule="auto"/>
        <w:rPr>
          <w:sz w:val="20"/>
          <w:szCs w:val="20"/>
          <w:color w:val="auto"/>
        </w:rPr>
      </w:pPr>
      <w:r>
        <w:rPr>
          <w:rFonts w:ascii="Arial" w:cs="Arial" w:eastAsia="Arial" w:hAnsi="Arial"/>
          <w:sz w:val="16"/>
          <w:szCs w:val="16"/>
          <w:i w:val="1"/>
          <w:iCs w:val="1"/>
          <w:color w:val="auto"/>
        </w:rPr>
        <w:t xml:space="preserve">“Sale Option Recourse Amount” </w:t>
      </w:r>
      <w:r>
        <w:rPr>
          <w:rFonts w:ascii="Arial" w:cs="Arial" w:eastAsia="Arial" w:hAnsi="Arial"/>
          <w:sz w:val="16"/>
          <w:szCs w:val="16"/>
          <w:color w:val="auto"/>
        </w:rPr>
        <w:t>means, as of any date of determination, the Lease Balance and all other amounts owing by Lessee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Agent, if any, and/or the Participants under the Operative Documents (including, but without duplication, accrued and unpaid Rent).</w:t>
      </w:r>
    </w:p>
    <w:p>
      <w:pPr>
        <w:spacing w:after="0" w:line="124"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i w:val="1"/>
          <w:iCs w:val="1"/>
          <w:color w:val="auto"/>
        </w:rPr>
        <w:t>“Sanctioned Country</w:t>
      </w:r>
      <w:r>
        <w:rPr>
          <w:rFonts w:ascii="Arial" w:cs="Arial" w:eastAsia="Arial" w:hAnsi="Arial"/>
          <w:sz w:val="16"/>
          <w:szCs w:val="16"/>
          <w:color w:val="auto"/>
        </w:rPr>
        <w:t>” means, at any time, a country or territory which is itself the subject or target of any comprehensive Sanctions (which for</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of illustration and clarification includes, as of the date of the Participation Agreement, Crimea, Cuba, Iran, North Korea, Sudan and Syria).</w:t>
      </w:r>
    </w:p>
    <w:p>
      <w:pPr>
        <w:spacing w:after="0" w:line="12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 xml:space="preserve">“Sanctioned Person” </w:t>
      </w:r>
      <w:r>
        <w:rPr>
          <w:rFonts w:ascii="Arial" w:cs="Arial" w:eastAsia="Arial" w:hAnsi="Arial"/>
          <w:sz w:val="18"/>
          <w:szCs w:val="18"/>
          <w:color w:val="auto"/>
        </w:rPr>
        <w:t>means, at any time, (a) any Person listed in any Sanctions-related list of designated Persons maintained by OFAC or the U.S.</w:t>
      </w:r>
      <w:r>
        <w:rPr>
          <w:rFonts w:ascii="Arial" w:cs="Arial" w:eastAsia="Arial" w:hAnsi="Arial"/>
          <w:sz w:val="18"/>
          <w:szCs w:val="18"/>
          <w:i w:val="1"/>
          <w:iCs w:val="1"/>
          <w:color w:val="auto"/>
        </w:rPr>
        <w:t xml:space="preserve"> </w:t>
      </w:r>
      <w:r>
        <w:rPr>
          <w:rFonts w:ascii="Arial" w:cs="Arial" w:eastAsia="Arial" w:hAnsi="Arial"/>
          <w:sz w:val="18"/>
          <w:szCs w:val="18"/>
          <w:color w:val="auto"/>
        </w:rPr>
        <w:t>Department of State, (b)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operating, organized or resident in a Sanctioned Country or (c) any Person controlled by any such Person described in clause (a) or (b) above.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“Sanctions” </w:t>
      </w:r>
      <w:r>
        <w:rPr>
          <w:rFonts w:ascii="Arial" w:cs="Arial" w:eastAsia="Arial" w:hAnsi="Arial"/>
          <w:sz w:val="17"/>
          <w:szCs w:val="17"/>
          <w:color w:val="auto"/>
        </w:rPr>
        <w:t>means economic or financial sanctions or trade embargoes imposed, administered or enforced from time to time by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 including those administered by OFAC or the U.S. Department of State.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w:t>
      </w:r>
      <w:r>
        <w:rPr>
          <w:rFonts w:ascii="Arial" w:cs="Arial" w:eastAsia="Arial" w:hAnsi="Arial"/>
          <w:sz w:val="16"/>
          <w:szCs w:val="16"/>
          <w:color w:val="auto"/>
        </w:rPr>
        <w:t>” means the United States Securities and Exchange Commission or any Governmental Authority succeeding to any of its principal functions.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United States Securities Act of 1933.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Instruments</w:t>
      </w:r>
      <w:r>
        <w:rPr>
          <w:rFonts w:ascii="Arial" w:cs="Arial" w:eastAsia="Arial" w:hAnsi="Arial"/>
          <w:sz w:val="18"/>
          <w:szCs w:val="18"/>
          <w:color w:val="auto"/>
        </w:rPr>
        <w:t>” means the Lease, the Assignment of Leases and the UCC Financing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Security Property</w:t>
      </w:r>
      <w:r>
        <w:rPr>
          <w:rFonts w:ascii="Arial" w:cs="Arial" w:eastAsia="Arial" w:hAnsi="Arial"/>
          <w:sz w:val="18"/>
          <w:szCs w:val="18"/>
          <w:color w:val="auto"/>
        </w:rPr>
        <w:t>” is defined in Section 24.2(b)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Sellers</w:t>
      </w:r>
      <w:r>
        <w:rPr>
          <w:rFonts w:ascii="Arial" w:cs="Arial" w:eastAsia="Arial" w:hAnsi="Arial"/>
          <w:sz w:val="18"/>
          <w:szCs w:val="18"/>
          <w:color w:val="auto"/>
        </w:rPr>
        <w:t>” means BMR-Landmark at Eastview LLC and BMR-Landmark Eastview IV LLC.</w:t>
      </w:r>
    </w:p>
    <w:p>
      <w:pPr>
        <w:sectPr>
          <w:pgSz w:w="11900" w:h="16838" w:orient="portrait"/>
          <w:cols w:equalWidth="0" w:num="1">
            <w:col w:w="11400"/>
          </w:cols>
          <w:pgMar w:left="240" w:top="125" w:right="259" w:bottom="32" w:gutter="0" w:footer="0" w:header="0"/>
        </w:sectPr>
      </w:pPr>
    </w:p>
    <w:bookmarkStart w:id="53" w:name="page54"/>
    <w:bookmarkEnd w:id="53"/>
    <w:p>
      <w:pPr>
        <w:spacing w:after="0" w:line="10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Casualty</w:t>
      </w:r>
      <w:r>
        <w:rPr>
          <w:rFonts w:ascii="Arial" w:cs="Arial" w:eastAsia="Arial" w:hAnsi="Arial"/>
          <w:sz w:val="18"/>
          <w:szCs w:val="18"/>
          <w:color w:val="auto"/>
        </w:rPr>
        <w:t>” means that the Leased Property shall suffer (i) damage or destruction if the resulting cost to repair or restore the Leased Property is in excess of $100,000,000 and cannot be restored prior to the Expiration Date or (ii) damage or destruction if the resulting cost to repair or restore the Leased Property is in excess of $250,000,000.</w:t>
      </w:r>
    </w:p>
    <w:p>
      <w:pPr>
        <w:spacing w:after="0" w:line="181"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i w:val="1"/>
          <w:iCs w:val="1"/>
          <w:color w:val="auto"/>
        </w:rPr>
        <w:t xml:space="preserve">“Significant Condemnation” </w:t>
      </w:r>
      <w:r>
        <w:rPr>
          <w:rFonts w:ascii="Arial" w:cs="Arial" w:eastAsia="Arial" w:hAnsi="Arial"/>
          <w:sz w:val="17"/>
          <w:szCs w:val="17"/>
          <w:color w:val="auto"/>
        </w:rPr>
        <w:t>means that (i) (x) title to all or any material portion of the Leased Property shall be taken or appropriated by a</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Authority under the power of eminent domain or otherwise, (y) all or any material portion of the Leased Property shall be taken, confiscated, seized or requisitioned for use by any Governmental Authority under the power of eminent domain or otherwise, and such taking, confiscation, seizure or requisition for use pursuant to this clause (y) is for a period that exceeds one hundred eighty (180) consecutive days or, if less, the remaining portion of the Term, or (ii) as a result of any rule, regulation, order or other action by any Governmental Authority, the use of the Leased Property in commercial operation shall have been prohibited, directly or indirectly, for a period of sixty (60) consecutive days.</w:t>
      </w:r>
    </w:p>
    <w:p>
      <w:pPr>
        <w:spacing w:after="0" w:line="178"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i w:val="1"/>
          <w:iCs w:val="1"/>
          <w:color w:val="auto"/>
        </w:rPr>
        <w:t>“</w:t>
      </w:r>
      <w:r>
        <w:rPr>
          <w:rFonts w:ascii="Arial" w:cs="Arial" w:eastAsia="Arial" w:hAnsi="Arial"/>
          <w:sz w:val="17"/>
          <w:szCs w:val="17"/>
          <w:i w:val="1"/>
          <w:iCs w:val="1"/>
          <w:color w:val="auto"/>
        </w:rPr>
        <w:t>Significant Environmental Event”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Environmental Violation the cost of remediation of which, in the reasonable judgment of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environmental consultant would exceed $1,000,000.</w:t>
      </w:r>
    </w:p>
    <w:p>
      <w:pPr>
        <w:spacing w:after="0" w:line="170" w:lineRule="exact"/>
        <w:rPr>
          <w:sz w:val="20"/>
          <w:szCs w:val="20"/>
          <w:color w:val="auto"/>
        </w:rPr>
      </w:pPr>
    </w:p>
    <w:p>
      <w:pPr>
        <w:jc w:val="both"/>
        <w:ind w:right="440" w:firstLine="648"/>
        <w:spacing w:after="0" w:line="264" w:lineRule="auto"/>
        <w:rPr>
          <w:sz w:val="20"/>
          <w:szCs w:val="20"/>
          <w:color w:val="auto"/>
        </w:rPr>
      </w:pPr>
      <w:r>
        <w:rPr>
          <w:rFonts w:ascii="Arial" w:cs="Arial" w:eastAsia="Arial" w:hAnsi="Arial"/>
          <w:sz w:val="18"/>
          <w:szCs w:val="18"/>
          <w:i w:val="1"/>
          <w:iCs w:val="1"/>
          <w:color w:val="auto"/>
        </w:rPr>
        <w:t>“Site</w:t>
      </w:r>
      <w:r>
        <w:rPr>
          <w:rFonts w:ascii="Arial" w:cs="Arial" w:eastAsia="Arial" w:hAnsi="Arial"/>
          <w:sz w:val="18"/>
          <w:szCs w:val="18"/>
          <w:color w:val="auto"/>
        </w:rPr>
        <w:t>” means an approximately 150-acre parcel of real property and the Facility and other improvements thereon located in the towns of Mount</w:t>
      </w:r>
      <w:r>
        <w:rPr>
          <w:rFonts w:ascii="Arial" w:cs="Arial" w:eastAsia="Arial" w:hAnsi="Arial"/>
          <w:sz w:val="18"/>
          <w:szCs w:val="18"/>
          <w:i w:val="1"/>
          <w:iCs w:val="1"/>
          <w:color w:val="auto"/>
        </w:rPr>
        <w:t xml:space="preserve"> </w:t>
      </w:r>
      <w:r>
        <w:rPr>
          <w:rFonts w:ascii="Arial" w:cs="Arial" w:eastAsia="Arial" w:hAnsi="Arial"/>
          <w:sz w:val="18"/>
          <w:szCs w:val="18"/>
          <w:color w:val="auto"/>
        </w:rPr>
        <w:t>Pleasant and Greenburgh, New York as more fully described in the Lease, including any Appurtenant Rights, but, in any such case, excluding Excluded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“Specified Lease Arrangements</w:t>
      </w:r>
      <w:r>
        <w:rPr>
          <w:rFonts w:ascii="Arial" w:cs="Arial" w:eastAsia="Arial" w:hAnsi="Arial"/>
          <w:sz w:val="17"/>
          <w:szCs w:val="17"/>
          <w:color w:val="auto"/>
        </w:rPr>
        <w:t>” means, to the extent any of the following constitute Capital Lease Obligations (but for the provisions set forth in</w:t>
      </w:r>
      <w:r>
        <w:rPr>
          <w:rFonts w:ascii="Arial" w:cs="Arial" w:eastAsia="Arial" w:hAnsi="Arial"/>
          <w:sz w:val="17"/>
          <w:szCs w:val="17"/>
          <w:i w:val="1"/>
          <w:iCs w:val="1"/>
          <w:color w:val="auto"/>
        </w:rPr>
        <w:t xml:space="preserve"> </w:t>
      </w:r>
      <w:r>
        <w:rPr>
          <w:rFonts w:ascii="Arial" w:cs="Arial" w:eastAsia="Arial" w:hAnsi="Arial"/>
          <w:sz w:val="17"/>
          <w:szCs w:val="17"/>
          <w:color w:val="auto"/>
        </w:rPr>
        <w:t>clause (b) of this Appendix 1 to the Participation Agreement) or other obligations reflected as a liability on the consolidated balance sheet of the Parent Guarantor, (a) any obligations of the Parent Guarantor and its Subsidiaries owed to any Affiliates of the Parent Guarantor related to leases of assets (whether pursuant to a Sale and Leaseback Transaction or otherwise), (b) any arrangement similar to either of the Existing Leases identified in clause “(a)” or “(b)” of the definition thereof (each as in effect immediately prior to the date of the Purchase Agreement), (c) the Obligations and Liabilities and (d) any lease or other obligation that was or would have been categorized as “facility lease obligations” or “facility financing obligations” on the Parent Guarantor’s consolidated balance sheet as of the Bank Credit Agreement Effective Date.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“Specified Material Environmental Violation</w:t>
      </w:r>
      <w:r>
        <w:rPr>
          <w:rFonts w:ascii="Arial" w:cs="Arial" w:eastAsia="Arial" w:hAnsi="Arial"/>
          <w:sz w:val="18"/>
          <w:szCs w:val="18"/>
          <w:color w:val="auto"/>
        </w:rPr>
        <w:t>” is defined in Section 14.3(b) of the Lease.</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i w:val="1"/>
          <w:iCs w:val="1"/>
          <w:color w:val="auto"/>
        </w:rPr>
        <w:t xml:space="preserve">“Specified Significant Environmental Event” </w:t>
      </w:r>
      <w:r>
        <w:rPr>
          <w:rFonts w:ascii="Arial" w:cs="Arial" w:eastAsia="Arial" w:hAnsi="Arial"/>
          <w:sz w:val="18"/>
          <w:szCs w:val="18"/>
          <w:color w:val="auto"/>
        </w:rPr>
        <w:t>means (a) the occurrence of a Specified Material Environmental Violation but only to the extent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so long as the Lessor shall have the right to terminate the Lease pursuant to Section 14.3(b) of the Lease due to such Specified Material Environmental Violation or (b) an Environmental Violation the cost of remediation of which, in the reasonable judgment of the Participants, after consultation with an independent environmental consultant and the Lessee, would exceed $25,000,000.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Tax Abatement Documents</w:t>
      </w:r>
      <w:r>
        <w:rPr>
          <w:rFonts w:ascii="Arial" w:cs="Arial" w:eastAsia="Arial" w:hAnsi="Arial"/>
          <w:sz w:val="18"/>
          <w:szCs w:val="18"/>
          <w:color w:val="auto"/>
        </w:rPr>
        <w:t>” means the documents evidencing each Specified Tax Abatement Transaction.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Tax Abatement Transaction</w:t>
      </w:r>
      <w:r>
        <w:rPr>
          <w:rFonts w:ascii="Arial" w:cs="Arial" w:eastAsia="Arial" w:hAnsi="Arial"/>
          <w:sz w:val="18"/>
          <w:szCs w:val="18"/>
          <w:color w:val="auto"/>
        </w:rPr>
        <w:t>” means any Tax Abatement Transaction with respect to all or any part of the Leased Property.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“Subject Contract” </w:t>
      </w:r>
      <w:r>
        <w:rPr>
          <w:rFonts w:ascii="Arial" w:cs="Arial" w:eastAsia="Arial" w:hAnsi="Arial"/>
          <w:sz w:val="18"/>
          <w:szCs w:val="18"/>
          <w:color w:val="auto"/>
        </w:rPr>
        <w:t>is defined in Section 24.2(b)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“Subject Leases” </w:t>
      </w:r>
      <w:r>
        <w:rPr>
          <w:rFonts w:ascii="Arial" w:cs="Arial" w:eastAsia="Arial" w:hAnsi="Arial"/>
          <w:sz w:val="18"/>
          <w:szCs w:val="18"/>
          <w:color w:val="auto"/>
        </w:rPr>
        <w:t>is defined in Section 24.2(b)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Sub-Participant</w:t>
      </w:r>
      <w:r>
        <w:rPr>
          <w:rFonts w:ascii="Arial" w:cs="Arial" w:eastAsia="Arial" w:hAnsi="Arial"/>
          <w:sz w:val="18"/>
          <w:szCs w:val="18"/>
          <w:color w:val="auto"/>
        </w:rPr>
        <w:t>” is defined in Section 12.2 of the Participation Agreement.</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i w:val="1"/>
          <w:iCs w:val="1"/>
          <w:color w:val="auto"/>
        </w:rPr>
        <w:t>“Subsidiary</w:t>
      </w:r>
      <w:r>
        <w:rPr>
          <w:rFonts w:ascii="Arial" w:cs="Arial" w:eastAsia="Arial" w:hAnsi="Arial"/>
          <w:sz w:val="16"/>
          <w:szCs w:val="16"/>
          <w:color w:val="auto"/>
        </w:rPr>
        <w:t>” or “</w:t>
      </w:r>
      <w:r>
        <w:rPr>
          <w:rFonts w:ascii="Arial" w:cs="Arial" w:eastAsia="Arial" w:hAnsi="Arial"/>
          <w:sz w:val="16"/>
          <w:szCs w:val="16"/>
          <w:i w:val="1"/>
          <w:iCs w:val="1"/>
          <w:color w:val="auto"/>
        </w:rPr>
        <w:t>subsidiary</w:t>
      </w:r>
      <w:r>
        <w:rPr>
          <w:rFonts w:ascii="Arial" w:cs="Arial" w:eastAsia="Arial" w:hAnsi="Arial"/>
          <w:sz w:val="16"/>
          <w:szCs w:val="16"/>
          <w:color w:val="auto"/>
        </w:rPr>
        <w:t>” means, with respect to any Person (the “</w:t>
      </w:r>
      <w:r>
        <w:rPr>
          <w:rFonts w:ascii="Arial" w:cs="Arial" w:eastAsia="Arial" w:hAnsi="Arial"/>
          <w:sz w:val="16"/>
          <w:szCs w:val="16"/>
          <w:i w:val="1"/>
          <w:iCs w:val="1"/>
          <w:color w:val="auto"/>
        </w:rPr>
        <w:t>parent</w:t>
      </w:r>
      <w:r>
        <w:rPr>
          <w:rFonts w:ascii="Arial" w:cs="Arial" w:eastAsia="Arial" w:hAnsi="Arial"/>
          <w:sz w:val="16"/>
          <w:szCs w:val="16"/>
          <w:color w:val="auto"/>
        </w:rPr>
        <w:t>”) at any date, any corporation, limited liability company, partnership,</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Unless otherwise qualified, all references to a “Subsidiary” or “subsidiary” in any Operative Document shall refer to a Subsidiary of the Parent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w:t>
      </w:r>
      <w:r>
        <w:rPr>
          <w:rFonts w:ascii="Arial" w:cs="Arial" w:eastAsia="Arial" w:hAnsi="Arial"/>
          <w:sz w:val="18"/>
          <w:szCs w:val="18"/>
          <w:color w:val="auto"/>
        </w:rPr>
        <w:t>” means each Material Domestic Subsidiary that is a party to the Guaranty. The Subsidiary Guarantors on the Document Closing Date are identified as such in Schedule IV attached to the Participation Agreement.</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“Supplemental Rent” </w:t>
      </w:r>
      <w:r>
        <w:rPr>
          <w:rFonts w:ascii="Arial" w:cs="Arial" w:eastAsia="Arial" w:hAnsi="Arial"/>
          <w:sz w:val="18"/>
          <w:szCs w:val="18"/>
          <w:color w:val="auto"/>
        </w:rPr>
        <w:t>means all amounts, liabilities and obligations for the payment of money (other than Basic Rent) which Lessee assumes or</w:t>
      </w:r>
      <w:r>
        <w:rPr>
          <w:rFonts w:ascii="Arial" w:cs="Arial" w:eastAsia="Arial" w:hAnsi="Arial"/>
          <w:sz w:val="18"/>
          <w:szCs w:val="18"/>
          <w:i w:val="1"/>
          <w:iCs w:val="1"/>
          <w:color w:val="auto"/>
        </w:rPr>
        <w:t xml:space="preserve"> </w:t>
      </w:r>
      <w:r>
        <w:rPr>
          <w:rFonts w:ascii="Arial" w:cs="Arial" w:eastAsia="Arial" w:hAnsi="Arial"/>
          <w:sz w:val="18"/>
          <w:szCs w:val="18"/>
          <w:color w:val="auto"/>
        </w:rPr>
        <w:t>agrees to pay or is otherwise obligated to pay under the Lease or any other Operative Document (whether or not designated as Supplemental Rent) to Lessor, Administrative Agent or any other Person, including, without limitation, Break Costs, any Sale Option Recourse Amount, any Lease Balance and all rent and other amounts payable under the Lease.</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i w:val="1"/>
          <w:iCs w:val="1"/>
          <w:color w:val="auto"/>
        </w:rPr>
        <w:t xml:space="preserve">“Swap Agreement” </w:t>
      </w:r>
      <w:r>
        <w:rPr>
          <w:rFonts w:ascii="Arial" w:cs="Arial" w:eastAsia="Arial" w:hAnsi="Arial"/>
          <w:sz w:val="18"/>
          <w:szCs w:val="18"/>
          <w:color w:val="auto"/>
        </w:rPr>
        <w:t>means any agreement with respect to any swap, forward, future or derivative transaction or option or similar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the Parent Guarantor, Lessee or any Subsidiary shall be a Swap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“Tax Abatement Documents” </w:t>
      </w:r>
      <w:r>
        <w:rPr>
          <w:rFonts w:ascii="Arial" w:cs="Arial" w:eastAsia="Arial" w:hAnsi="Arial"/>
          <w:sz w:val="18"/>
          <w:szCs w:val="18"/>
          <w:color w:val="auto"/>
        </w:rPr>
        <w:t>means the documents evidencing each Tax Abatement Transaction.</w:t>
      </w:r>
    </w:p>
    <w:p>
      <w:pPr>
        <w:spacing w:after="0" w:line="225"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i w:val="1"/>
          <w:iCs w:val="1"/>
          <w:color w:val="auto"/>
        </w:rPr>
        <w:t xml:space="preserve">“Tax Abatement Transaction” </w:t>
      </w:r>
      <w:r>
        <w:rPr>
          <w:rFonts w:ascii="Arial" w:cs="Arial" w:eastAsia="Arial" w:hAnsi="Arial"/>
          <w:sz w:val="16"/>
          <w:szCs w:val="16"/>
          <w:color w:val="auto"/>
        </w:rPr>
        <w:t>means a transaction between the Parent Guarantor, Lessee and/or any Subsidiary, on the one hand, and a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Municipal Party, on the other hand (and, if applicable, other Person(s)), entered into for the purposes of reducing certain of the Parent Guarantor’s, Lessee’s and/or any Subsidiary’s Tax liabilities through (a) the sale, other transfer, lease or license to such Related Municipal Party of title to or an interest in real property, fixtures, equipment, other fixed or capital assets or other related assets of the Parent Guarantor, Lessee or such Subsidiary, (b) the granting to such</w:t>
      </w:r>
    </w:p>
    <w:p>
      <w:pPr>
        <w:sectPr>
          <w:pgSz w:w="11900" w:h="16945" w:orient="portrait"/>
          <w:cols w:equalWidth="0" w:num="1">
            <w:col w:w="11420"/>
          </w:cols>
          <w:pgMar w:left="240" w:top="125" w:right="239" w:bottom="0" w:gutter="0" w:footer="0" w:header="0"/>
        </w:sectPr>
      </w:pPr>
    </w:p>
    <w:bookmarkStart w:id="54" w:name="page55"/>
    <w:bookmarkEnd w:id="54"/>
    <w:p>
      <w:pPr>
        <w:ind w:right="120"/>
        <w:spacing w:after="0" w:line="286" w:lineRule="auto"/>
        <w:rPr>
          <w:sz w:val="20"/>
          <w:szCs w:val="20"/>
          <w:color w:val="auto"/>
        </w:rPr>
      </w:pPr>
      <w:r>
        <w:rPr>
          <w:rFonts w:ascii="Arial" w:cs="Arial" w:eastAsia="Arial" w:hAnsi="Arial"/>
          <w:sz w:val="16"/>
          <w:szCs w:val="16"/>
          <w:color w:val="auto"/>
        </w:rPr>
        <w:t>Related Municipal Party of Liens on real property, fixtures, equipment, other fixed or capital assets or other related assets of the Parent Guarantor, Lessee or such Subsidiary, (c) a Sale and Leaseback Transaction or other transfer and licensing arrangement between the Parent Guarantor, Lessee and/or any Subsidiary, on the one hand, and such Related Municipal Party, on the other hand (and, if applicable, such other Person(s)), with respect to real property, fixtures, equipment, other fixed or capital assets or other related assets of the Parent Guarantor, Lessee or such Subsidiary, (d) any PILOT agreement or</w:t>
      </w:r>
    </w:p>
    <w:p>
      <w:pPr>
        <w:spacing w:after="0" w:line="2" w:lineRule="exact"/>
        <w:rPr>
          <w:sz w:val="20"/>
          <w:szCs w:val="20"/>
          <w:color w:val="auto"/>
        </w:rPr>
      </w:pPr>
    </w:p>
    <w:p>
      <w:pPr>
        <w:ind w:left="660" w:right="5760" w:hanging="652"/>
        <w:spacing w:after="0" w:line="524" w:lineRule="auto"/>
        <w:tabs>
          <w:tab w:leader="none" w:pos="257" w:val="left"/>
        </w:tabs>
        <w:numPr>
          <w:ilvl w:val="0"/>
          <w:numId w:val="111"/>
        </w:numPr>
        <w:rPr>
          <w:rFonts w:ascii="Arial" w:cs="Arial" w:eastAsia="Arial" w:hAnsi="Arial"/>
          <w:sz w:val="17"/>
          <w:szCs w:val="17"/>
          <w:color w:val="auto"/>
        </w:rPr>
      </w:pPr>
      <w:r>
        <w:rPr>
          <w:rFonts w:ascii="Arial" w:cs="Arial" w:eastAsia="Arial" w:hAnsi="Arial"/>
          <w:sz w:val="17"/>
          <w:szCs w:val="17"/>
          <w:color w:val="auto"/>
        </w:rPr>
        <w:t xml:space="preserve">any combination of the foregoing or through arrangements similar thereto. </w:t>
      </w:r>
      <w:r>
        <w:rPr>
          <w:rFonts w:ascii="Arial" w:cs="Arial" w:eastAsia="Arial" w:hAnsi="Arial"/>
          <w:sz w:val="17"/>
          <w:szCs w:val="17"/>
          <w:i w:val="1"/>
          <w:iCs w:val="1"/>
          <w:color w:val="auto"/>
        </w:rPr>
        <w:t xml:space="preserve">“Tax Indemnitee” </w:t>
      </w:r>
      <w:r>
        <w:rPr>
          <w:rFonts w:ascii="Arial" w:cs="Arial" w:eastAsia="Arial" w:hAnsi="Arial"/>
          <w:sz w:val="17"/>
          <w:szCs w:val="17"/>
          <w:color w:val="auto"/>
        </w:rPr>
        <w:t>is defined in the definition of General Indemnitee.</w:t>
      </w:r>
      <w:r>
        <w:rPr>
          <w:rFonts w:ascii="Arial" w:cs="Arial" w:eastAsia="Arial" w:hAnsi="Arial"/>
          <w:sz w:val="17"/>
          <w:szCs w:val="17"/>
          <w:i w:val="1"/>
          <w:iCs w:val="1"/>
          <w:color w:val="auto"/>
        </w:rPr>
        <w:t xml:space="preserve"> “Taxes” </w:t>
      </w:r>
      <w:r>
        <w:rPr>
          <w:rFonts w:ascii="Arial" w:cs="Arial" w:eastAsia="Arial" w:hAnsi="Arial"/>
          <w:sz w:val="17"/>
          <w:szCs w:val="17"/>
          <w:color w:val="auto"/>
        </w:rPr>
        <w:t>is defined in the definition of Impositions.</w:t>
      </w:r>
    </w:p>
    <w:p>
      <w:pPr>
        <w:spacing w:after="0" w:line="1" w:lineRule="exact"/>
        <w:rPr>
          <w:rFonts w:ascii="Arial" w:cs="Arial" w:eastAsia="Arial" w:hAnsi="Arial"/>
          <w:sz w:val="17"/>
          <w:szCs w:val="17"/>
          <w:color w:val="auto"/>
        </w:rPr>
      </w:pPr>
    </w:p>
    <w:p>
      <w:pPr>
        <w:ind w:left="660" w:right="6400"/>
        <w:spacing w:after="0" w:line="624" w:lineRule="auto"/>
        <w:rPr>
          <w:rFonts w:ascii="Arial" w:cs="Arial" w:eastAsia="Arial" w:hAnsi="Arial"/>
          <w:sz w:val="17"/>
          <w:szCs w:val="17"/>
          <w:color w:val="auto"/>
        </w:rPr>
      </w:pPr>
      <w:r>
        <w:rPr>
          <w:rFonts w:ascii="Arial" w:cs="Arial" w:eastAsia="Arial" w:hAnsi="Arial"/>
          <w:sz w:val="16"/>
          <w:szCs w:val="16"/>
          <w:i w:val="1"/>
          <w:iCs w:val="1"/>
          <w:color w:val="auto"/>
        </w:rPr>
        <w:t xml:space="preserve">“Term” </w:t>
      </w:r>
      <w:r>
        <w:rPr>
          <w:rFonts w:ascii="Arial" w:cs="Arial" w:eastAsia="Arial" w:hAnsi="Arial"/>
          <w:sz w:val="16"/>
          <w:szCs w:val="16"/>
          <w:color w:val="auto"/>
        </w:rPr>
        <w:t>is defined in Section 2.3 of the Lease.</w:t>
      </w:r>
      <w:r>
        <w:rPr>
          <w:rFonts w:ascii="Arial" w:cs="Arial" w:eastAsia="Arial" w:hAnsi="Arial"/>
          <w:sz w:val="16"/>
          <w:szCs w:val="16"/>
          <w:i w:val="1"/>
          <w:iCs w:val="1"/>
          <w:color w:val="auto"/>
        </w:rPr>
        <w:t xml:space="preserve"> “Termination Date” </w:t>
      </w:r>
      <w:r>
        <w:rPr>
          <w:rFonts w:ascii="Arial" w:cs="Arial" w:eastAsia="Arial" w:hAnsi="Arial"/>
          <w:sz w:val="16"/>
          <w:szCs w:val="16"/>
          <w:color w:val="auto"/>
        </w:rPr>
        <w:t>is defined in Section 15.2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“Termination Notice” </w:t>
      </w:r>
      <w:r>
        <w:rPr>
          <w:rFonts w:ascii="Arial" w:cs="Arial" w:eastAsia="Arial" w:hAnsi="Arial"/>
          <w:sz w:val="18"/>
          <w:szCs w:val="18"/>
          <w:color w:val="auto"/>
        </w:rPr>
        <w:t>is defined in Section 15.1(a) of the Lease.</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“Title Insurance Company” </w:t>
      </w:r>
      <w:r>
        <w:rPr>
          <w:rFonts w:ascii="Arial" w:cs="Arial" w:eastAsia="Arial" w:hAnsi="Arial"/>
          <w:sz w:val="18"/>
          <w:szCs w:val="18"/>
          <w:color w:val="auto"/>
        </w:rPr>
        <w:t>means (i) Chicago Title Insurance Company and First American Title Insurance Company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Agent’s Policy and (ii) Chicago Title Insurance Company, First American Title Insurance Company, Commonwealth Land Title Insurance Company and Old Republic National Title Insurance Company with respect to the Owner’s Policy, and, in each case, their successors or another national title insurance company selected by Lessee and reasonably satisfactory to the Administrative Agent.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“Title Policies” </w:t>
      </w:r>
      <w:r>
        <w:rPr>
          <w:rFonts w:ascii="Arial" w:cs="Arial" w:eastAsia="Arial" w:hAnsi="Arial"/>
          <w:sz w:val="18"/>
          <w:szCs w:val="18"/>
          <w:color w:val="auto"/>
        </w:rPr>
        <w:t>is defined in Section 6.1(x) of the Participation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Leverage Ratio</w:t>
      </w:r>
      <w:r>
        <w:rPr>
          <w:rFonts w:ascii="Arial" w:cs="Arial" w:eastAsia="Arial" w:hAnsi="Arial"/>
          <w:sz w:val="18"/>
          <w:szCs w:val="18"/>
          <w:color w:val="auto"/>
        </w:rPr>
        <w:t>” is defined in Section 9(f) of the Guaranty.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Transaction Expenses</w:t>
      </w:r>
      <w:r>
        <w:rPr>
          <w:rFonts w:ascii="Arial" w:cs="Arial" w:eastAsia="Arial" w:hAnsi="Arial"/>
          <w:sz w:val="17"/>
          <w:szCs w:val="17"/>
          <w:color w:val="auto"/>
        </w:rPr>
        <w:t>” means all reasonable costs and expenses incurred in connection with the preparation, execution and delivery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Operative Documents and the transactions contemplated by the Operative Documents, including, without limitation:</w:t>
      </w:r>
    </w:p>
    <w:p>
      <w:pPr>
        <w:spacing w:after="0" w:line="211" w:lineRule="exact"/>
        <w:rPr>
          <w:sz w:val="20"/>
          <w:szCs w:val="20"/>
          <w:color w:val="auto"/>
        </w:rPr>
      </w:pPr>
    </w:p>
    <w:p>
      <w:pPr>
        <w:ind w:left="660" w:right="60" w:firstLine="645"/>
        <w:spacing w:after="0" w:line="259" w:lineRule="auto"/>
        <w:tabs>
          <w:tab w:leader="none" w:pos="195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Arranger Fee (which shall be payable if and only if the Advance is made and the transactions contemplated by the Operative Documents are consummated) payable to BALC and BALC’s reasonable and documented out-of-pocket costs and expenses, including the costs and expenses incurred by BALC, with respect to any syndication and any other reasonable and documented out-of-pocket expenses of Arranger in connection with the consummation of the Overall Transaction;</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reasonable and documented fees and expenses of Chapman and Cutler LLP, special counsel to the Lessor;</w:t>
      </w:r>
    </w:p>
    <w:p>
      <w:pPr>
        <w:spacing w:after="0" w:line="225" w:lineRule="exact"/>
        <w:rPr>
          <w:rFonts w:ascii="Arial" w:cs="Arial" w:eastAsia="Arial" w:hAnsi="Arial"/>
          <w:sz w:val="18"/>
          <w:szCs w:val="18"/>
          <w:color w:val="auto"/>
        </w:rPr>
      </w:pPr>
    </w:p>
    <w:p>
      <w:pPr>
        <w:ind w:left="660" w:right="300" w:firstLine="734"/>
        <w:spacing w:after="0" w:line="277" w:lineRule="auto"/>
        <w:tabs>
          <w:tab w:leader="none" w:pos="1963"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initial fees and reasonable and documented out-of-pocket expenses of each of Lessor and Administrative Agent incurred in connection with the consummation of the Overall Transaction;</w:t>
      </w:r>
    </w:p>
    <w:p>
      <w:pPr>
        <w:spacing w:after="0" w:line="170" w:lineRule="exact"/>
        <w:rPr>
          <w:sz w:val="20"/>
          <w:szCs w:val="20"/>
          <w:color w:val="auto"/>
        </w:rPr>
      </w:pPr>
    </w:p>
    <w:p>
      <w:pPr>
        <w:ind w:left="1960" w:hanging="655"/>
        <w:spacing w:after="0"/>
        <w:tabs>
          <w:tab w:leader="none" w:pos="19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all applicable reasonable and documented appraisal fees and reasonable and documented expenses incurred in connection with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Appraisal;</w:t>
      </w:r>
    </w:p>
    <w:p>
      <w:pPr>
        <w:spacing w:after="0" w:line="210" w:lineRule="exact"/>
        <w:rPr>
          <w:rFonts w:ascii="Arial" w:cs="Arial" w:eastAsia="Arial" w:hAnsi="Arial"/>
          <w:sz w:val="16"/>
          <w:szCs w:val="16"/>
          <w:color w:val="auto"/>
        </w:rPr>
      </w:pPr>
    </w:p>
    <w:p>
      <w:pPr>
        <w:ind w:left="660" w:right="500" w:firstLine="734"/>
        <w:spacing w:after="0" w:line="277" w:lineRule="auto"/>
        <w:tabs>
          <w:tab w:leader="none" w:pos="196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search fees, recording fees, filing fees and Taxes incurred in connection with Lien searches and the filing of UCC Financing Statements, Memorandum of Lease and any and all mortgages, deeds of trust or other Operative Documents;</w:t>
      </w:r>
    </w:p>
    <w:p>
      <w:pPr>
        <w:spacing w:after="0" w:line="170" w:lineRule="exact"/>
        <w:rPr>
          <w:rFonts w:ascii="Arial" w:cs="Arial" w:eastAsia="Arial" w:hAnsi="Arial"/>
          <w:sz w:val="18"/>
          <w:szCs w:val="18"/>
          <w:color w:val="auto"/>
        </w:rPr>
      </w:pPr>
    </w:p>
    <w:p>
      <w:pPr>
        <w:ind w:left="660" w:firstLine="734"/>
        <w:spacing w:after="0" w:line="308" w:lineRule="auto"/>
        <w:tabs>
          <w:tab w:leader="none" w:pos="1956" w:val="left"/>
        </w:tabs>
        <w:numPr>
          <w:ilvl w:val="1"/>
          <w:numId w:val="113"/>
        </w:numPr>
        <w:rPr>
          <w:rFonts w:ascii="Arial" w:cs="Arial" w:eastAsia="Arial" w:hAnsi="Arial"/>
          <w:sz w:val="17"/>
          <w:szCs w:val="17"/>
          <w:color w:val="auto"/>
        </w:rPr>
      </w:pPr>
      <w:r>
        <w:rPr>
          <w:rFonts w:ascii="Arial" w:cs="Arial" w:eastAsia="Arial" w:hAnsi="Arial"/>
          <w:sz w:val="17"/>
          <w:szCs w:val="17"/>
          <w:color w:val="auto"/>
        </w:rPr>
        <w:t>any title fees, premiums and escrow costs and other expenses relating to title insurance incurred in connection with the Advance as contemplated by the Operative Documents, and any reasonable and documented expenses incurred for the inspection of the site;</w:t>
      </w:r>
    </w:p>
    <w:p>
      <w:pPr>
        <w:spacing w:after="0" w:line="146" w:lineRule="exact"/>
        <w:rPr>
          <w:rFonts w:ascii="Arial" w:cs="Arial" w:eastAsia="Arial" w:hAnsi="Arial"/>
          <w:sz w:val="17"/>
          <w:szCs w:val="17"/>
          <w:color w:val="auto"/>
        </w:rPr>
      </w:pPr>
    </w:p>
    <w:p>
      <w:pPr>
        <w:ind w:left="1960" w:hanging="566"/>
        <w:spacing w:after="0"/>
        <w:tabs>
          <w:tab w:leader="none" w:pos="19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reasonable and documented costs and expenses for the survey of the Site;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1960" w:hanging="566"/>
        <w:spacing w:after="0"/>
        <w:tabs>
          <w:tab w:leader="none" w:pos="19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reasonable and documented costs and expenses for the review of the environmental reports of the Site by Lessor;</w:t>
      </w:r>
    </w:p>
    <w:p>
      <w:pPr>
        <w:spacing w:after="0" w:line="225" w:lineRule="exact"/>
        <w:rPr>
          <w:rFonts w:ascii="Arial" w:cs="Arial" w:eastAsia="Arial" w:hAnsi="Arial"/>
          <w:sz w:val="18"/>
          <w:szCs w:val="18"/>
          <w:color w:val="auto"/>
        </w:rPr>
      </w:pPr>
    </w:p>
    <w:p>
      <w:pPr>
        <w:ind w:left="1960" w:hanging="566"/>
        <w:spacing w:after="0"/>
        <w:tabs>
          <w:tab w:leader="none" w:pos="19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Fees payable to Administrative Agent; and</w:t>
      </w:r>
    </w:p>
    <w:p>
      <w:pPr>
        <w:spacing w:after="0" w:line="225" w:lineRule="exact"/>
        <w:rPr>
          <w:rFonts w:ascii="Arial" w:cs="Arial" w:eastAsia="Arial" w:hAnsi="Arial"/>
          <w:sz w:val="18"/>
          <w:szCs w:val="18"/>
          <w:color w:val="auto"/>
        </w:rPr>
      </w:pPr>
    </w:p>
    <w:p>
      <w:pPr>
        <w:ind w:left="1960" w:hanging="566"/>
        <w:spacing w:after="0"/>
        <w:tabs>
          <w:tab w:leader="none" w:pos="19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reasonable and documented fees and expenses of the Insurance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-1058545</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UCC Financing Statements</w:t>
      </w:r>
      <w:r>
        <w:rPr>
          <w:rFonts w:ascii="Arial" w:cs="Arial" w:eastAsia="Arial" w:hAnsi="Arial"/>
          <w:sz w:val="18"/>
          <w:szCs w:val="18"/>
          <w:color w:val="auto"/>
        </w:rPr>
        <w:t>” means collectively the Participant Financing Statements and the Lessor Financing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Uniform Commercial Code</w:t>
      </w:r>
      <w:r>
        <w:rPr>
          <w:rFonts w:ascii="Arial" w:cs="Arial" w:eastAsia="Arial" w:hAnsi="Arial"/>
          <w:sz w:val="17"/>
          <w:szCs w:val="17"/>
          <w:color w:val="auto"/>
        </w:rPr>
        <w:t>” and “</w:t>
      </w:r>
      <w:r>
        <w:rPr>
          <w:rFonts w:ascii="Arial" w:cs="Arial" w:eastAsia="Arial" w:hAnsi="Arial"/>
          <w:sz w:val="17"/>
          <w:szCs w:val="17"/>
          <w:i w:val="1"/>
          <w:iCs w:val="1"/>
          <w:color w:val="auto"/>
        </w:rPr>
        <w:t>UCC</w:t>
      </w:r>
      <w:r>
        <w:rPr>
          <w:rFonts w:ascii="Arial" w:cs="Arial" w:eastAsia="Arial" w:hAnsi="Arial"/>
          <w:sz w:val="17"/>
          <w:szCs w:val="17"/>
          <w:color w:val="auto"/>
        </w:rPr>
        <w:t>” means the Uniform Commercial Code as in effect from time to time in any applicable jurisdiction.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United States</w:t>
      </w:r>
      <w:r>
        <w:rPr>
          <w:rFonts w:ascii="Arial" w:cs="Arial" w:eastAsia="Arial" w:hAnsi="Arial"/>
          <w:sz w:val="18"/>
          <w:szCs w:val="18"/>
          <w:color w:val="auto"/>
        </w:rPr>
        <w:t>” and “</w:t>
      </w:r>
      <w:r>
        <w:rPr>
          <w:rFonts w:ascii="Arial" w:cs="Arial" w:eastAsia="Arial" w:hAnsi="Arial"/>
          <w:sz w:val="18"/>
          <w:szCs w:val="18"/>
          <w:i w:val="1"/>
          <w:iCs w:val="1"/>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Upfront Fee</w:t>
      </w:r>
      <w:r>
        <w:rPr>
          <w:rFonts w:ascii="Arial" w:cs="Arial" w:eastAsia="Arial" w:hAnsi="Arial"/>
          <w:sz w:val="16"/>
          <w:szCs w:val="16"/>
          <w:color w:val="auto"/>
        </w:rPr>
        <w:t>” means an amount payable to the Administrative Agent, for the account of each Participant, on the Document Closing Date, equal to</w:t>
      </w:r>
    </w:p>
    <w:p>
      <w:pPr>
        <w:spacing w:after="0" w:line="46" w:lineRule="exact"/>
        <w:rPr>
          <w:sz w:val="20"/>
          <w:szCs w:val="20"/>
          <w:color w:val="auto"/>
        </w:rPr>
      </w:pPr>
    </w:p>
    <w:p>
      <w:pPr>
        <w:ind w:firstLine="8"/>
        <w:spacing w:after="0" w:line="270" w:lineRule="auto"/>
        <w:tabs>
          <w:tab w:leader="none" w:pos="295"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 15 basis points (0.15%) if the commitment provided by such Participant (on a combined basis with all affiliates of such Participant) during syndication prior to the Document Closing Date is less than $50,000,000, (ii) 20 basis points (0.20%) if the commitment provided by such Participant (on a combined basis with all affiliates of such Participant) during syndication prior to the Document Closing Date is equal to or greater than $50,000,000 but less than $100,000,000 or (iii) 30 basis points (0.30%) if the commitment provided by such Participant (on a combined basis with all affiliates of such Participant) during syndication prior to the Document Closing Date is equal to or greater than $100,000,000, multiplied by, in each such case, (B) the final allocated Commitment of such Participant (to the extent actually funded on the Document Closing Date).</w:t>
      </w:r>
    </w:p>
    <w:p>
      <w:pPr>
        <w:sectPr>
          <w:pgSz w:w="11900" w:h="16838" w:orient="portrait"/>
          <w:cols w:equalWidth="0" w:num="1">
            <w:col w:w="11380"/>
          </w:cols>
          <w:pgMar w:left="240" w:top="125" w:right="279" w:bottom="0" w:gutter="0" w:footer="0" w:header="0"/>
        </w:sectPr>
      </w:pPr>
    </w:p>
    <w:bookmarkStart w:id="55" w:name="page56"/>
    <w:bookmarkEnd w:id="55"/>
    <w:p>
      <w:pPr>
        <w:ind w:right="22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wholly-owned Subsidiary</w:t>
      </w:r>
      <w:r>
        <w:rPr>
          <w:rFonts w:ascii="Arial" w:cs="Arial" w:eastAsia="Arial" w:hAnsi="Arial"/>
          <w:sz w:val="16"/>
          <w:szCs w:val="16"/>
          <w:color w:val="auto"/>
        </w:rPr>
        <w:t>” means a Subsidiary with respect to which 100% of the issued and outstanding Equity Interests are owned directly or indirectly by the Parent Guarantor (other than (x) directors’ qualifying shares; (y) shares issued to foreign nationals to the extent required by applicable law; and (z) shares held by a Person on trust for, or otherwise where the beneficial interest is held by, the Parent Guarantor (directly or indirectly)).</w:t>
      </w:r>
    </w:p>
    <w:p>
      <w:pPr>
        <w:spacing w:after="0" w:line="14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Withholding Taxes</w:t>
      </w:r>
      <w:r>
        <w:rPr>
          <w:rFonts w:ascii="Arial" w:cs="Arial" w:eastAsia="Arial" w:hAnsi="Arial"/>
          <w:sz w:val="18"/>
          <w:szCs w:val="18"/>
          <w:color w:val="auto"/>
        </w:rPr>
        <w:t>” means Taxes arising under the laws of any national, municipal or local government, political subdivision or taxing authority of the United States or any other jurisdiction imposed or collected by way of withholding (regardless of whether such taxes may also be imposed upon or collected from the recipient of a payment), and fines, interest, penalties or other additions thereto, thereon, in lieu thereof or for non-collection or in respect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“Yield” </w:t>
      </w:r>
      <w:r>
        <w:rPr>
          <w:rFonts w:ascii="Arial" w:cs="Arial" w:eastAsia="Arial" w:hAnsi="Arial"/>
          <w:sz w:val="18"/>
          <w:szCs w:val="18"/>
          <w:color w:val="auto"/>
        </w:rPr>
        <w:t>means, with respect to each Interest Period, the product of (a) the Yield Rate for such Interest Period and (b) the aggregate Lessor Amount</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as determined for the applicable Interest Period in accordance with Section 4.1 of the Participation Agreement.</w:t>
      </w:r>
    </w:p>
    <w:p>
      <w:pPr>
        <w:spacing w:after="0" w:line="170"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i w:val="1"/>
          <w:iCs w:val="1"/>
          <w:color w:val="auto"/>
        </w:rPr>
        <w:t xml:space="preserve">“Yield Rate” </w:t>
      </w:r>
      <w:r>
        <w:rPr>
          <w:rFonts w:ascii="Arial" w:cs="Arial" w:eastAsia="Arial" w:hAnsi="Arial"/>
          <w:sz w:val="18"/>
          <w:szCs w:val="18"/>
          <w:color w:val="auto"/>
        </w:rPr>
        <w:t>means, with respect to any Interest Period (A) the sum of the LIBO Rate for such Interest Period, plus the Applicable Margin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Lessor Amount, and (B) if the provisions of Section 14.1 or Section 14.2 of the Participation Agreement for such Interest Period shall apply, the Alternate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LESSOR COMMITMENT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rPr>
              <w:t>LESSOR</w:t>
            </w:r>
          </w:p>
        </w:tc>
        <w:tc>
          <w:tcPr>
            <w:tcW w:w="4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COMMITMENT PERCENTAGE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LESSOR</w:t>
            </w:r>
          </w:p>
        </w:tc>
        <w:tc>
          <w:tcPr>
            <w:tcW w:w="28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2820" w:type="dxa"/>
            <w:vAlign w:val="bottom"/>
            <w:gridSpan w:val="2"/>
            <w:vMerge w:val="continue"/>
          </w:tcPr>
          <w:p>
            <w:pPr>
              <w:spacing w:after="0"/>
              <w:rPr>
                <w:sz w:val="12"/>
                <w:szCs w:val="12"/>
                <w:color w:val="auto"/>
              </w:rPr>
            </w:pPr>
          </w:p>
        </w:tc>
        <w:tc>
          <w:tcPr>
            <w:tcW w:w="4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(OF THE AGGREGATE COMMITMENT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rPr>
              <w:t>COMMITMENT</w:t>
            </w:r>
          </w:p>
        </w:tc>
        <w:tc>
          <w:tcPr>
            <w:tcW w:w="280" w:type="dxa"/>
            <w:vAlign w:val="bottom"/>
            <w:tcBorders>
              <w:bottom w:val="single" w:sz="8" w:color="CCEEFF"/>
            </w:tcBorders>
          </w:tcPr>
          <w:p>
            <w:pPr>
              <w:spacing w:after="0"/>
              <w:rPr>
                <w:sz w:val="14"/>
                <w:szCs w:val="14"/>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BA LEASING BSC, LLC</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72,000,000</w:t>
            </w:r>
          </w:p>
        </w:tc>
        <w:tc>
          <w:tcPr>
            <w:tcW w:w="28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SCHEDULE I</w:t>
            </w:r>
          </w:p>
        </w:tc>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(to Participation Agreement)</w:t>
            </w: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38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LENDERS’ COMMITMENTS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COMMITMENT</w:t>
            </w:r>
          </w:p>
        </w:tc>
        <w:tc>
          <w:tcPr>
            <w:tcW w:w="2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PERCENTAGE</w:t>
            </w:r>
          </w:p>
        </w:tc>
        <w:tc>
          <w:tcPr>
            <w:tcW w:w="24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0" w:type="dxa"/>
            <w:vAlign w:val="bottom"/>
            <w:gridSpan w:val="2"/>
            <w:vMerge w:val="restart"/>
          </w:tcPr>
          <w:p>
            <w:pPr>
              <w:jc w:val="right"/>
              <w:ind w:right="1200"/>
              <w:spacing w:after="0"/>
              <w:rPr>
                <w:sz w:val="20"/>
                <w:szCs w:val="20"/>
                <w:color w:val="auto"/>
              </w:rPr>
            </w:pPr>
            <w:r>
              <w:rPr>
                <w:rFonts w:ascii="Arial" w:cs="Arial" w:eastAsia="Arial" w:hAnsi="Arial"/>
                <w:sz w:val="14"/>
                <w:szCs w:val="14"/>
                <w:b w:val="1"/>
                <w:bCs w:val="1"/>
                <w:color w:val="auto"/>
              </w:rPr>
              <w:t>LOAN</w:t>
            </w:r>
          </w:p>
        </w:tc>
        <w:tc>
          <w:tcPr>
            <w:tcW w:w="2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(OF THE AGGREGATE</w:t>
            </w:r>
          </w:p>
        </w:tc>
        <w:tc>
          <w:tcPr>
            <w:tcW w:w="24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(OF THE AGGREGATE</w:t>
            </w:r>
          </w:p>
        </w:tc>
        <w:tc>
          <w:tcPr>
            <w:tcW w:w="0" w:type="dxa"/>
            <w:vAlign w:val="bottom"/>
          </w:tcPr>
          <w:p>
            <w:pPr>
              <w:spacing w:after="0"/>
              <w:rPr>
                <w:sz w:val="1"/>
                <w:szCs w:val="1"/>
                <w:color w:val="auto"/>
              </w:rPr>
            </w:pPr>
          </w:p>
        </w:tc>
      </w:tr>
      <w:tr>
        <w:trPr>
          <w:trHeight w:val="149"/>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LENDERS</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LOAN COMMITMENT</w:t>
            </w:r>
          </w:p>
        </w:tc>
        <w:tc>
          <w:tcPr>
            <w:tcW w:w="24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171"/>
        </w:trPr>
        <w:tc>
          <w:tcPr>
            <w:tcW w:w="35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COMMITMENT</w:t>
            </w:r>
          </w:p>
        </w:tc>
        <w:tc>
          <w:tcPr>
            <w:tcW w:w="280" w:type="dxa"/>
            <w:vAlign w:val="bottom"/>
            <w:tcBorders>
              <w:bottom w:val="single" w:sz="8" w:color="CCEEFF"/>
            </w:tcBorders>
          </w:tcPr>
          <w:p>
            <w:pPr>
              <w:spacing w:after="0"/>
              <w:rPr>
                <w:sz w:val="14"/>
                <w:szCs w:val="14"/>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CCEEFF"/>
            </w:tcBorders>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 Leasing BSC, LLC</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153,000,000</w:t>
            </w:r>
          </w:p>
        </w:tc>
        <w:tc>
          <w:tcPr>
            <w:tcW w:w="28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23.61%</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The Bank of Tokyo-Mitsubishi UFJ, Ltd.</w:t>
            </w:r>
          </w:p>
        </w:tc>
        <w:tc>
          <w:tcPr>
            <w:tcW w:w="6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280"/>
              <w:spacing w:after="0"/>
              <w:rPr>
                <w:sz w:val="20"/>
                <w:szCs w:val="20"/>
                <w:color w:val="auto"/>
              </w:rPr>
            </w:pPr>
            <w:r>
              <w:rPr>
                <w:rFonts w:ascii="Arial" w:cs="Arial" w:eastAsia="Arial" w:hAnsi="Arial"/>
                <w:sz w:val="18"/>
                <w:szCs w:val="18"/>
                <w:color w:val="auto"/>
              </w:rPr>
              <w:t>95,000,000</w:t>
            </w:r>
          </w:p>
        </w:tc>
        <w:tc>
          <w:tcPr>
            <w:tcW w:w="2580" w:type="dxa"/>
            <w:vAlign w:val="bottom"/>
            <w:gridSpan w:val="2"/>
          </w:tcPr>
          <w:p>
            <w:pPr>
              <w:jc w:val="right"/>
              <w:ind w:right="140"/>
              <w:spacing w:after="0"/>
              <w:rPr>
                <w:sz w:val="20"/>
                <w:szCs w:val="20"/>
                <w:color w:val="auto"/>
              </w:rPr>
            </w:pPr>
            <w:r>
              <w:rPr>
                <w:rFonts w:ascii="Arial" w:cs="Arial" w:eastAsia="Arial" w:hAnsi="Arial"/>
                <w:sz w:val="18"/>
                <w:szCs w:val="18"/>
                <w:color w:val="auto"/>
              </w:rPr>
              <w:t>14.66%</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6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95,000,000</w:t>
            </w:r>
          </w:p>
        </w:tc>
        <w:tc>
          <w:tcPr>
            <w:tcW w:w="2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14.66%</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U.S. Bank National Association</w:t>
            </w:r>
          </w:p>
        </w:tc>
        <w:tc>
          <w:tcPr>
            <w:tcW w:w="6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280"/>
              <w:spacing w:after="0"/>
              <w:rPr>
                <w:sz w:val="20"/>
                <w:szCs w:val="20"/>
                <w:color w:val="auto"/>
              </w:rPr>
            </w:pPr>
            <w:r>
              <w:rPr>
                <w:rFonts w:ascii="Arial" w:cs="Arial" w:eastAsia="Arial" w:hAnsi="Arial"/>
                <w:sz w:val="18"/>
                <w:szCs w:val="18"/>
                <w:color w:val="auto"/>
              </w:rPr>
              <w:t>95,000,000</w:t>
            </w:r>
          </w:p>
        </w:tc>
        <w:tc>
          <w:tcPr>
            <w:tcW w:w="2580" w:type="dxa"/>
            <w:vAlign w:val="bottom"/>
            <w:gridSpan w:val="2"/>
          </w:tcPr>
          <w:p>
            <w:pPr>
              <w:jc w:val="right"/>
              <w:ind w:right="140"/>
              <w:spacing w:after="0"/>
              <w:rPr>
                <w:sz w:val="20"/>
                <w:szCs w:val="20"/>
                <w:color w:val="auto"/>
              </w:rPr>
            </w:pPr>
            <w:r>
              <w:rPr>
                <w:rFonts w:ascii="Arial" w:cs="Arial" w:eastAsia="Arial" w:hAnsi="Arial"/>
                <w:sz w:val="18"/>
                <w:szCs w:val="18"/>
                <w:color w:val="auto"/>
              </w:rPr>
              <w:t>14.66%</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Fifth Third Bank</w:t>
            </w:r>
          </w:p>
        </w:tc>
        <w:tc>
          <w:tcPr>
            <w:tcW w:w="6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65,000,000</w:t>
            </w:r>
          </w:p>
        </w:tc>
        <w:tc>
          <w:tcPr>
            <w:tcW w:w="2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10.03%</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Citibank, N.A.</w:t>
            </w:r>
          </w:p>
        </w:tc>
        <w:tc>
          <w:tcPr>
            <w:tcW w:w="6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280"/>
              <w:spacing w:after="0"/>
              <w:rPr>
                <w:sz w:val="20"/>
                <w:szCs w:val="20"/>
                <w:color w:val="auto"/>
              </w:rPr>
            </w:pPr>
            <w:r>
              <w:rPr>
                <w:rFonts w:ascii="Arial" w:cs="Arial" w:eastAsia="Arial" w:hAnsi="Arial"/>
                <w:sz w:val="18"/>
                <w:szCs w:val="18"/>
                <w:color w:val="auto"/>
              </w:rPr>
              <w:t>40,000,000</w:t>
            </w:r>
          </w:p>
        </w:tc>
        <w:tc>
          <w:tcPr>
            <w:tcW w:w="2580" w:type="dxa"/>
            <w:vAlign w:val="bottom"/>
            <w:gridSpan w:val="2"/>
          </w:tcPr>
          <w:p>
            <w:pPr>
              <w:jc w:val="right"/>
              <w:ind w:right="140"/>
              <w:spacing w:after="0"/>
              <w:rPr>
                <w:sz w:val="20"/>
                <w:szCs w:val="20"/>
                <w:color w:val="auto"/>
              </w:rPr>
            </w:pPr>
            <w:r>
              <w:rPr>
                <w:rFonts w:ascii="Arial" w:cs="Arial" w:eastAsia="Arial" w:hAnsi="Arial"/>
                <w:sz w:val="18"/>
                <w:szCs w:val="18"/>
                <w:color w:val="auto"/>
              </w:rPr>
              <w:t>6.17%</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Goldman Sachs Bank USA</w:t>
            </w:r>
          </w:p>
        </w:tc>
        <w:tc>
          <w:tcPr>
            <w:tcW w:w="6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40,000,000</w:t>
            </w:r>
          </w:p>
        </w:tc>
        <w:tc>
          <w:tcPr>
            <w:tcW w:w="2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The Northern Trust Company</w:t>
            </w:r>
          </w:p>
        </w:tc>
        <w:tc>
          <w:tcPr>
            <w:tcW w:w="6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280"/>
              <w:spacing w:after="0"/>
              <w:rPr>
                <w:sz w:val="20"/>
                <w:szCs w:val="20"/>
                <w:color w:val="auto"/>
              </w:rPr>
            </w:pPr>
            <w:r>
              <w:rPr>
                <w:rFonts w:ascii="Arial" w:cs="Arial" w:eastAsia="Arial" w:hAnsi="Arial"/>
                <w:sz w:val="18"/>
                <w:szCs w:val="18"/>
                <w:color w:val="auto"/>
              </w:rPr>
              <w:t>15,000,000</w:t>
            </w:r>
          </w:p>
        </w:tc>
        <w:tc>
          <w:tcPr>
            <w:tcW w:w="2580" w:type="dxa"/>
            <w:vAlign w:val="bottom"/>
            <w:gridSpan w:val="2"/>
          </w:tcPr>
          <w:p>
            <w:pPr>
              <w:jc w:val="right"/>
              <w:ind w:right="140"/>
              <w:spacing w:after="0"/>
              <w:rPr>
                <w:sz w:val="20"/>
                <w:szCs w:val="20"/>
                <w:color w:val="auto"/>
              </w:rPr>
            </w:pPr>
            <w:r>
              <w:rPr>
                <w:rFonts w:ascii="Arial" w:cs="Arial" w:eastAsia="Arial" w:hAnsi="Arial"/>
                <w:sz w:val="18"/>
                <w:szCs w:val="18"/>
                <w:color w:val="auto"/>
              </w:rPr>
              <w:t>2.31%</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PNC Equipment Finance, LLC</w:t>
            </w:r>
          </w:p>
        </w:tc>
        <w:tc>
          <w:tcPr>
            <w:tcW w:w="6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25,000,000</w:t>
            </w:r>
          </w:p>
        </w:tc>
        <w:tc>
          <w:tcPr>
            <w:tcW w:w="2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Citizens Bank, N.A.</w:t>
            </w:r>
          </w:p>
        </w:tc>
        <w:tc>
          <w:tcPr>
            <w:tcW w:w="6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2200" w:type="dxa"/>
            <w:vAlign w:val="bottom"/>
            <w:gridSpan w:val="2"/>
          </w:tcPr>
          <w:p>
            <w:pPr>
              <w:jc w:val="right"/>
              <w:ind w:right="280"/>
              <w:spacing w:after="0"/>
              <w:rPr>
                <w:sz w:val="20"/>
                <w:szCs w:val="20"/>
                <w:color w:val="auto"/>
              </w:rPr>
            </w:pPr>
            <w:r>
              <w:rPr>
                <w:rFonts w:ascii="Arial" w:cs="Arial" w:eastAsia="Arial" w:hAnsi="Arial"/>
                <w:sz w:val="18"/>
                <w:szCs w:val="18"/>
                <w:color w:val="auto"/>
              </w:rPr>
              <w:t>25,000,000</w:t>
            </w:r>
          </w:p>
        </w:tc>
        <w:tc>
          <w:tcPr>
            <w:tcW w:w="2580" w:type="dxa"/>
            <w:vAlign w:val="bottom"/>
            <w:gridSpan w:val="2"/>
          </w:tcPr>
          <w:p>
            <w:pPr>
              <w:jc w:val="right"/>
              <w:ind w:right="140"/>
              <w:spacing w:after="0"/>
              <w:rPr>
                <w:sz w:val="20"/>
                <w:szCs w:val="20"/>
                <w:color w:val="auto"/>
              </w:rPr>
            </w:pPr>
            <w:r>
              <w:rPr>
                <w:rFonts w:ascii="Arial" w:cs="Arial" w:eastAsia="Arial" w:hAnsi="Arial"/>
                <w:sz w:val="18"/>
                <w:szCs w:val="18"/>
                <w:color w:val="auto"/>
              </w:rPr>
              <w:t>3.86%</w:t>
            </w:r>
          </w:p>
        </w:tc>
        <w:tc>
          <w:tcPr>
            <w:tcW w:w="2440" w:type="dxa"/>
            <w:vAlign w:val="bottom"/>
            <w:gridSpan w:val="2"/>
          </w:tcPr>
          <w:p>
            <w:pPr>
              <w:jc w:val="right"/>
              <w:ind w:right="2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648,000,000</w:t>
            </w:r>
          </w:p>
        </w:tc>
        <w:tc>
          <w:tcPr>
            <w:tcW w:w="280" w:type="dxa"/>
            <w:vAlign w:val="bottom"/>
            <w:vMerge w:val="continue"/>
            <w:shd w:val="clear" w:color="auto" w:fill="CCEEFF"/>
          </w:tcPr>
          <w:p>
            <w:pPr>
              <w:spacing w:after="0"/>
              <w:rPr>
                <w:sz w:val="18"/>
                <w:szCs w:val="18"/>
                <w:color w:val="auto"/>
              </w:rPr>
            </w:pPr>
          </w:p>
        </w:tc>
        <w:tc>
          <w:tcPr>
            <w:tcW w:w="2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SCHEDULE II</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(to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INFORMATION, PAYMENT OFFICES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APPLICABLE LENDING OFFICES</w:t>
      </w:r>
    </w:p>
    <w:p>
      <w:pPr>
        <w:spacing w:after="0" w:line="211" w:lineRule="exact"/>
        <w:rPr>
          <w:sz w:val="20"/>
          <w:szCs w:val="20"/>
          <w:color w:val="auto"/>
        </w:rPr>
      </w:pPr>
    </w:p>
    <w:p>
      <w:pPr>
        <w:ind w:left="3660"/>
        <w:spacing w:after="0"/>
        <w:rPr>
          <w:sz w:val="20"/>
          <w:szCs w:val="20"/>
          <w:color w:val="auto"/>
        </w:rPr>
      </w:pPr>
      <w:r>
        <w:rPr>
          <w:rFonts w:ascii="Arial" w:cs="Arial" w:eastAsia="Arial" w:hAnsi="Arial"/>
          <w:sz w:val="18"/>
          <w:szCs w:val="18"/>
          <w:b w:val="1"/>
          <w:bCs w:val="1"/>
          <w:i w:val="1"/>
          <w:iCs w:val="1"/>
          <w:color w:val="auto"/>
        </w:rPr>
        <w:t>[A copy of Schedule III to the Participation Agreement</w:t>
      </w:r>
    </w:p>
    <w:p>
      <w:pPr>
        <w:spacing w:after="0" w:line="23" w:lineRule="exact"/>
        <w:rPr>
          <w:sz w:val="20"/>
          <w:szCs w:val="20"/>
          <w:color w:val="auto"/>
        </w:rPr>
      </w:pPr>
    </w:p>
    <w:p>
      <w:pPr>
        <w:ind w:left="3660"/>
        <w:spacing w:after="0"/>
        <w:rPr>
          <w:sz w:val="20"/>
          <w:szCs w:val="20"/>
          <w:color w:val="auto"/>
        </w:rPr>
      </w:pPr>
      <w:r>
        <w:rPr>
          <w:rFonts w:ascii="Arial" w:cs="Arial" w:eastAsia="Arial" w:hAnsi="Arial"/>
          <w:sz w:val="18"/>
          <w:szCs w:val="18"/>
          <w:b w:val="1"/>
          <w:bCs w:val="1"/>
          <w:i w:val="1"/>
          <w:iCs w:val="1"/>
          <w:color w:val="auto"/>
        </w:rPr>
        <w:t>is on file with the Lessee and the Administrative Agent]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SCHEDULE III</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(to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INITIAL SUBSIDIARY GUARANTORS</w:t>
      </w:r>
    </w:p>
    <w:p>
      <w:pPr>
        <w:sectPr>
          <w:pgSz w:w="11900" w:h="16838" w:orient="portrait"/>
          <w:cols w:equalWidth="0" w:num="1">
            <w:col w:w="11460"/>
          </w:cols>
          <w:pgMar w:left="240" w:top="125" w:right="199" w:bottom="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REGENERON HEALTHCARE SOLUTIONS, INC., a New York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GENETICS CENTER LLC, a Delaware limited liability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IV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GOVERNMENTAL ACTIONS; FILINGS AND RECORDINGS AS OF DOCUMENT CLOSING DATE</w:t>
      </w:r>
    </w:p>
    <w:p>
      <w:pPr>
        <w:spacing w:after="0" w:line="229"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Recordation of the following instruments and documents in the Office of the County Clerk of the County of Westchester, New York:</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Deed;</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Memorandum of Lease;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Assignment of Leases;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the Subordination Agreement by and among Lessee and Parent Guarantor in favor of Administrative Agent dated March 3, 2017</w:t>
      </w:r>
    </w:p>
    <w:p>
      <w:pPr>
        <w:spacing w:after="0" w:line="222" w:lineRule="exact"/>
        <w:rPr>
          <w:rFonts w:ascii="Arial" w:cs="Arial" w:eastAsia="Arial" w:hAnsi="Arial"/>
          <w:sz w:val="17"/>
          <w:szCs w:val="17"/>
          <w:color w:val="auto"/>
        </w:rPr>
      </w:pPr>
    </w:p>
    <w:p>
      <w:pPr>
        <w:ind w:right="680" w:firstLine="8"/>
        <w:spacing w:after="0" w:line="342" w:lineRule="auto"/>
        <w:tabs>
          <w:tab w:leader="none" w:pos="64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Filing of a UCC-1 financing statement in the Office of the County Clerk of the County of Westchester, New York, naming Lessee as debtor, Administrative Agent (as Administrative Agent for the Lenders), as total assignee secured party, and Lessor, as assignor secured party.</w:t>
      </w:r>
    </w:p>
    <w:p>
      <w:pPr>
        <w:spacing w:after="0" w:line="123" w:lineRule="exact"/>
        <w:rPr>
          <w:rFonts w:ascii="Arial" w:cs="Arial" w:eastAsia="Arial" w:hAnsi="Arial"/>
          <w:sz w:val="16"/>
          <w:szCs w:val="16"/>
          <w:color w:val="auto"/>
        </w:rPr>
      </w:pPr>
    </w:p>
    <w:p>
      <w:pPr>
        <w:ind w:right="400" w:firstLine="8"/>
        <w:spacing w:after="0" w:line="277" w:lineRule="auto"/>
        <w:tabs>
          <w:tab w:leader="none" w:pos="64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Filing of a UCC-1 financing statement in the office of the Secretary of State of the State of New York, naming Lessee as debtor, Administrative Agent (as Administrative Agent for the Lenders), as total assignee secured party, and Lessor, as assignor secured party.</w:t>
      </w:r>
    </w:p>
    <w:p>
      <w:pPr>
        <w:spacing w:after="0" w:line="170" w:lineRule="exact"/>
        <w:rPr>
          <w:rFonts w:ascii="Arial" w:cs="Arial" w:eastAsia="Arial" w:hAnsi="Arial"/>
          <w:sz w:val="18"/>
          <w:szCs w:val="18"/>
          <w:color w:val="auto"/>
        </w:rPr>
      </w:pPr>
    </w:p>
    <w:p>
      <w:pPr>
        <w:ind w:right="420" w:firstLine="8"/>
        <w:spacing w:after="0" w:line="277" w:lineRule="auto"/>
        <w:tabs>
          <w:tab w:leader="none" w:pos="64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Filing of a UCC-1 financing statement in the Office of the County Clerk of the County of Westchester, New York, naming Lessor as debtor and Administrative Agent (as Administrative Agent for the Lenders) as secured party.</w:t>
      </w:r>
    </w:p>
    <w:p>
      <w:pPr>
        <w:spacing w:after="0" w:line="170" w:lineRule="exact"/>
        <w:rPr>
          <w:rFonts w:ascii="Arial" w:cs="Arial" w:eastAsia="Arial" w:hAnsi="Arial"/>
          <w:sz w:val="18"/>
          <w:szCs w:val="18"/>
          <w:color w:val="auto"/>
        </w:rPr>
      </w:pPr>
    </w:p>
    <w:p>
      <w:pPr>
        <w:ind w:right="200" w:firstLine="8"/>
        <w:spacing w:after="0" w:line="277" w:lineRule="auto"/>
        <w:tabs>
          <w:tab w:leader="none" w:pos="64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Filing of a UCC-1 financing statement in the office of the Secretary of State of the State of Delaware, naming Lessor as debtor and Administrative Agent (as Administrative Agent for the Lenders) as secured party.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6.1(xi)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ADVANCE REQUEST</w:t>
      </w:r>
    </w:p>
    <w:p>
      <w:pPr>
        <w:sectPr>
          <w:pgSz w:w="11900" w:h="16838" w:orient="portrait"/>
          <w:cols w:equalWidth="0" w:num="1">
            <w:col w:w="11400"/>
          </w:cols>
          <w:pgMar w:left="240" w:top="125" w:right="259" w:bottom="666"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firstLine="3"/>
        <w:spacing w:after="0" w:line="273" w:lineRule="auto"/>
        <w:rPr>
          <w:sz w:val="20"/>
          <w:szCs w:val="20"/>
          <w:color w:val="auto"/>
        </w:rPr>
      </w:pPr>
      <w:r>
        <w:rPr>
          <w:rFonts w:ascii="Arial" w:cs="Arial" w:eastAsia="Arial" w:hAnsi="Arial"/>
          <w:sz w:val="17"/>
          <w:szCs w:val="17"/>
          <w:color w:val="auto"/>
        </w:rPr>
        <w:t>BANK OF AMERICA, N.A., not in its individual capacity, except as expressly stated in the Participation Agreement (as defined below), but solely as Administrative Agent (in such capacity, the “</w:t>
      </w:r>
      <w:r>
        <w:rPr>
          <w:rFonts w:ascii="Arial" w:cs="Arial" w:eastAsia="Arial" w:hAnsi="Arial"/>
          <w:sz w:val="17"/>
          <w:szCs w:val="17"/>
          <w:i w:val="1"/>
          <w:iCs w:val="1"/>
          <w:color w:val="auto"/>
        </w:rPr>
        <w:t>Administrative Agent</w:t>
      </w:r>
      <w:r>
        <w:rPr>
          <w:rFonts w:ascii="Arial" w:cs="Arial" w:eastAsia="Arial" w:hAnsi="Arial"/>
          <w:sz w:val="17"/>
          <w:szCs w:val="17"/>
          <w:color w:val="auto"/>
        </w:rPr>
        <w:t>”) under the Participation Agreement to be dated on or about March 3, 2017 among the Administrative Agent, BA LEASING BSC, LLC, as Lessor, OLD SAW MILL HOLDINGS LLC, a New York limited liability company, as Lessee, and the financial institutions listed on Schedule II thereto, as Lenders (as amended, supplemented or otherwise modified from time to time pursuant thereto, the “</w:t>
      </w:r>
      <w:r>
        <w:rPr>
          <w:rFonts w:ascii="Arial" w:cs="Arial" w:eastAsia="Arial" w:hAnsi="Arial"/>
          <w:sz w:val="17"/>
          <w:szCs w:val="17"/>
          <w:i w:val="1"/>
          <w:iCs w:val="1"/>
          <w:color w:val="auto"/>
        </w:rPr>
        <w:t>Participation Agreement</w:t>
      </w:r>
      <w:r>
        <w:rPr>
          <w:rFonts w:ascii="Arial" w:cs="Arial" w:eastAsia="Arial" w:hAnsi="Arial"/>
          <w:sz w:val="17"/>
          <w:szCs w:val="17"/>
          <w:color w:val="auto"/>
        </w:rPr>
        <w:t>”). All capitalized terms used herein and not otherwise defined shall have the meanings assigned to them in Appendix 1 to the Participation Agreement, unless the context otherwise requires.</w:t>
      </w:r>
    </w:p>
    <w:p>
      <w:pPr>
        <w:spacing w:after="0" w:line="178" w:lineRule="exact"/>
        <w:rPr>
          <w:sz w:val="20"/>
          <w:szCs w:val="20"/>
          <w:color w:val="auto"/>
        </w:rPr>
      </w:pPr>
    </w:p>
    <w:p>
      <w:pPr>
        <w:sectPr>
          <w:pgSz w:w="11900" w:h="16838" w:orient="portrait"/>
          <w:cols w:equalWidth="0" w:num="2">
            <w:col w:w="300" w:space="360"/>
            <w:col w:w="10740"/>
          </w:cols>
          <w:pgMar w:left="240" w:top="125" w:right="259" w:bottom="666" w:gutter="0" w:footer="0" w:header="0"/>
          <w:type w:val="continuous"/>
        </w:sectPr>
      </w:pPr>
    </w:p>
    <w:p>
      <w:pPr>
        <w:spacing w:after="0"/>
        <w:rPr>
          <w:sz w:val="20"/>
          <w:szCs w:val="20"/>
          <w:color w:val="auto"/>
        </w:rPr>
      </w:pPr>
      <w:r>
        <w:rPr>
          <w:rFonts w:ascii="Arial" w:cs="Arial" w:eastAsia="Arial" w:hAnsi="Arial"/>
          <w:sz w:val="18"/>
          <w:szCs w:val="18"/>
          <w:color w:val="auto"/>
        </w:rPr>
        <w:t>FROM: OLD SAW MILL HOLDINGS LLC</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Date:</w:t>
        <w:tab/>
        <w:t>February 28, 2017</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Advance Request</w:t>
      </w:r>
    </w:p>
    <w:p>
      <w:pPr>
        <w:spacing w:after="0" w:line="225" w:lineRule="exact"/>
        <w:rPr>
          <w:sz w:val="20"/>
          <w:szCs w:val="20"/>
          <w:color w:val="auto"/>
        </w:rPr>
      </w:pPr>
    </w:p>
    <w:p>
      <w:pPr>
        <w:ind w:left="340" w:hanging="332"/>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This Advance Request is delivered pursuant to Section 3.3 of the Participation Agreement.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proposed Advance Date is March 3, 2017.</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undersigned hereby requests an Advance in the amount of $720,000,000, to be used to Fund: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Purchase Price (less the reimbursement of the Deposit referred to below) in the amount of $663,000,000;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Deposit in the amount of $57,000,000 (to reimburse Parent Guarantor for same).</w:t>
      </w:r>
    </w:p>
    <w:p>
      <w:pPr>
        <w:spacing w:after="0" w:line="225"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Lessee hereby authorizes the Administrative Agent to disburse from the proceeds of the Advance requested hereby to Fund the Purchase Price (less the reimbursement of the Deposit referred to above) directly to Chicago Title Insurance Company.</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undersigned requests that the Advance be sent by wire transfer in accordance with the payment instructions set forth on Schedule 1 attached hereto.</w:t>
      </w:r>
    </w:p>
    <w:p>
      <w:pPr>
        <w:spacing w:after="0" w:line="248" w:lineRule="exact"/>
        <w:rPr>
          <w:rFonts w:ascii="Arial" w:cs="Arial" w:eastAsia="Arial" w:hAnsi="Arial"/>
          <w:sz w:val="16"/>
          <w:szCs w:val="16"/>
          <w:color w:val="auto"/>
        </w:rPr>
      </w:pPr>
    </w:p>
    <w:p>
      <w:pPr>
        <w:ind w:left="4100"/>
        <w:spacing w:after="0"/>
        <w:rPr>
          <w:rFonts w:ascii="Arial" w:cs="Arial" w:eastAsia="Arial" w:hAnsi="Arial"/>
          <w:sz w:val="16"/>
          <w:szCs w:val="16"/>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666" w:gutter="0" w:footer="0" w:header="0"/>
          <w:type w:val="continuous"/>
        </w:sectPr>
      </w:pPr>
    </w:p>
    <w:bookmarkStart w:id="57" w:name="page58"/>
    <w:bookmarkEnd w:id="57"/>
    <w:p>
      <w:pPr>
        <w:ind w:left="5720"/>
        <w:spacing w:after="0"/>
        <w:rPr>
          <w:sz w:val="20"/>
          <w:szCs w:val="20"/>
          <w:color w:val="auto"/>
        </w:rPr>
      </w:pPr>
      <w:r>
        <w:rPr>
          <w:rFonts w:ascii="Arial" w:cs="Arial" w:eastAsia="Arial" w:hAnsi="Arial"/>
          <w:sz w:val="18"/>
          <w:szCs w:val="18"/>
          <w:color w:val="auto"/>
        </w:rPr>
        <w:t>OLD SAW MILL HOLDINGS LLC, as Lessee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SCHEDULE 1</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ADVANCE REQUEST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WIRE INSTRUCTIONS FOR PARENT GUARANTOR</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PAYEE: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Bank:</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ABA Routing No: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 No: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 WIRE INSTRUCTIONS FOR CHICAGO TITLE INSURANCE COMPANY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PAYEE: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Bank:</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ABA Routing No: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 No:</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Reference:</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OF LESSEE’S DOCUMENT CLOSING DATE CERTIFICATE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DATED AS OF MARCH 3, 2017</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Bank of America, N.A., as Administrative Agent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 Leasing BSC, LLC, as Lessor</w:t>
      </w:r>
    </w:p>
    <w:p>
      <w:pPr>
        <w:spacing w:after="0" w:line="21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This Document Closing Date Certificate is delivered to you pursuant to Section 6.1(iii) of the Participation Agreement (the “</w:t>
      </w:r>
      <w:r>
        <w:rPr>
          <w:rFonts w:ascii="Arial" w:cs="Arial" w:eastAsia="Arial" w:hAnsi="Arial"/>
          <w:sz w:val="17"/>
          <w:szCs w:val="17"/>
          <w:i w:val="1"/>
          <w:iCs w:val="1"/>
          <w:color w:val="auto"/>
        </w:rPr>
        <w:t>Participation</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dated as of the date hereof, among Old Saw Mill Holdings LLC, a New York limited liability company, as Lessee (“</w:t>
      </w:r>
      <w:r>
        <w:rPr>
          <w:rFonts w:ascii="Arial" w:cs="Arial" w:eastAsia="Arial" w:hAnsi="Arial"/>
          <w:sz w:val="17"/>
          <w:szCs w:val="17"/>
          <w:i w:val="1"/>
          <w:iCs w:val="1"/>
          <w:color w:val="auto"/>
        </w:rPr>
        <w:t>Lessee</w:t>
      </w:r>
      <w:r>
        <w:rPr>
          <w:rFonts w:ascii="Arial" w:cs="Arial" w:eastAsia="Arial" w:hAnsi="Arial"/>
          <w:sz w:val="17"/>
          <w:szCs w:val="17"/>
          <w:color w:val="auto"/>
        </w:rPr>
        <w:t>”), BA Leasing BSC,</w:t>
      </w:r>
      <w:r>
        <w:rPr>
          <w:rFonts w:ascii="Arial" w:cs="Arial" w:eastAsia="Arial" w:hAnsi="Arial"/>
          <w:sz w:val="17"/>
          <w:szCs w:val="17"/>
          <w:i w:val="1"/>
          <w:iCs w:val="1"/>
          <w:color w:val="auto"/>
        </w:rPr>
        <w:t xml:space="preserve"> </w:t>
      </w:r>
      <w:r>
        <w:rPr>
          <w:rFonts w:ascii="Arial" w:cs="Arial" w:eastAsia="Arial" w:hAnsi="Arial"/>
          <w:sz w:val="17"/>
          <w:szCs w:val="17"/>
          <w:color w:val="auto"/>
        </w:rPr>
        <w:t>LLC, a Delaware limited liability company, as Lessor, Bank of America, N.A., not in its individual capacity, except as expressly stated therein, but solely as Administrative Agent, and the financial institutions listed on Schedule II thereto. All capitalized terms used herein and not otherwise defined shall have the meanings assigned to them in Appendix 1 to the Participation Agreement, unless the context otherwise requires.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in his capacity as a Responsible Officer of the Lessee, is duly authorized and hereby certifies, in such capacity and on behalf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Lessee and not in any personal capacity, to the Lessor and Administrative Agent that as of the date hereof:</w:t>
      </w:r>
    </w:p>
    <w:p>
      <w:pPr>
        <w:spacing w:after="0" w:line="211" w:lineRule="exact"/>
        <w:rPr>
          <w:sz w:val="20"/>
          <w:szCs w:val="20"/>
          <w:color w:val="auto"/>
        </w:rPr>
      </w:pPr>
    </w:p>
    <w:p>
      <w:pPr>
        <w:ind w:left="660" w:right="20" w:firstLine="807"/>
        <w:spacing w:after="0" w:line="276" w:lineRule="auto"/>
        <w:tabs>
          <w:tab w:leader="none" w:pos="195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Advance requested by the Company to be made on the date hereof complies with the limitations and conditions set forth in Section 3.1(d) of the Participation Agreement. All of the conditions set forth in Article VI of the Participation Agreement are fully satisfied as of the date hereof (or waived in accordance with the Operative Documents) and will be fully satisfied upon or substantially concurrently with the Funding of the Advance (or waived in accordance with the Operative Documents), in any such case, except to the extent satisfaction of any such condition is subject to the discretion or control of the Administrative Agent any Participant and/or their Related Parties.</w:t>
      </w:r>
    </w:p>
    <w:p>
      <w:pPr>
        <w:spacing w:after="0" w:line="172" w:lineRule="exact"/>
        <w:rPr>
          <w:rFonts w:ascii="Arial" w:cs="Arial" w:eastAsia="Arial" w:hAnsi="Arial"/>
          <w:sz w:val="17"/>
          <w:szCs w:val="17"/>
          <w:color w:val="auto"/>
        </w:rPr>
      </w:pPr>
    </w:p>
    <w:p>
      <w:pPr>
        <w:jc w:val="both"/>
        <w:ind w:left="660" w:right="20" w:firstLine="807"/>
        <w:spacing w:after="0" w:line="312" w:lineRule="auto"/>
        <w:tabs>
          <w:tab w:leader="none" w:pos="195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Each and every representation and warranty of the Lessee contained in each Operative Document to which it is a party is true and correct in all material respects on and as of the Document Closing Date, except to the extent such representation or warranty specifically refers to an earlier date, in which case such representation or warranty is true and correct in all material respects on and as of such earlier date.</w:t>
      </w:r>
    </w:p>
    <w:p>
      <w:pPr>
        <w:spacing w:after="0" w:line="146" w:lineRule="exact"/>
        <w:rPr>
          <w:rFonts w:ascii="Arial" w:cs="Arial" w:eastAsia="Arial" w:hAnsi="Arial"/>
          <w:sz w:val="16"/>
          <w:szCs w:val="16"/>
          <w:color w:val="auto"/>
        </w:rPr>
      </w:pPr>
    </w:p>
    <w:p>
      <w:pPr>
        <w:ind w:left="660" w:right="140" w:firstLine="807"/>
        <w:spacing w:after="0" w:line="286" w:lineRule="auto"/>
        <w:tabs>
          <w:tab w:leader="none" w:pos="195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No Default, Event of Default, Event of Loss, Specified Significant Environmental Event or Specified Material Environmental Violation has occurred and is continuing, and no Default, Event of Default, Event of Loss, Specified Significant Environmental Event or Specified Material Environmental Violation will have occurred and be continuing immediately after giving effect to the Advance Request.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(to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I have signed my name as a duly authorized Responsible Officer of Lessee on the date first written above.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OLD SAW MILL HOLDINGS LLC</w:t>
      </w:r>
    </w:p>
    <w:p>
      <w:pPr>
        <w:sectPr>
          <w:pgSz w:w="11900" w:h="16838" w:orient="portrait"/>
          <w:cols w:equalWidth="0" w:num="1">
            <w:col w:w="11360"/>
          </w:cols>
          <w:pgMar w:left="240" w:top="125" w:right="299" w:bottom="181" w:gutter="0" w:footer="0" w:header="0"/>
        </w:sectPr>
      </w:pPr>
    </w:p>
    <w:bookmarkStart w:id="58" w:name="page59"/>
    <w:bookmarkEnd w:id="58"/>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5715</wp:posOffset>
            </wp:positionV>
            <wp:extent cx="29070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907030" cy="8890"/>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-130810</wp:posOffset>
            </wp:positionV>
            <wp:extent cx="29070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9070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OF PARENT GUARANTOR’S DOCUMENT CLOSING DATE CERTIFICATE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DATED AS OF MARCH 3, 2017</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Bank of America, N.A., as Administrative Agent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 Leasing BSC, LLC, as Lessor</w:t>
      </w:r>
    </w:p>
    <w:p>
      <w:pPr>
        <w:spacing w:after="0" w:line="211"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 xml:space="preserve">This Document Closing Date Certificate is delivered to you pursuant to Section 6.1(iii) of the Participation Agreement (the </w:t>
      </w:r>
      <w:r>
        <w:rPr>
          <w:rFonts w:ascii="Arial" w:cs="Arial" w:eastAsia="Arial" w:hAnsi="Arial"/>
          <w:sz w:val="18"/>
          <w:szCs w:val="18"/>
          <w:i w:val="1"/>
          <w:iCs w:val="1"/>
          <w:color w:val="auto"/>
        </w:rPr>
        <w:t>“Participation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dated as of the date hereof, among Old Saw Mill Holdings LLC, a New York limited liability company, as Lessee (</w:t>
      </w:r>
      <w:r>
        <w:rPr>
          <w:rFonts w:ascii="Arial" w:cs="Arial" w:eastAsia="Arial" w:hAnsi="Arial"/>
          <w:sz w:val="18"/>
          <w:szCs w:val="18"/>
          <w:i w:val="1"/>
          <w:iCs w:val="1"/>
          <w:color w:val="auto"/>
        </w:rPr>
        <w:t>“Lessee”</w:t>
      </w:r>
      <w:r>
        <w:rPr>
          <w:rFonts w:ascii="Arial" w:cs="Arial" w:eastAsia="Arial" w:hAnsi="Arial"/>
          <w:sz w:val="18"/>
          <w:szCs w:val="18"/>
          <w:color w:val="auto"/>
        </w:rPr>
        <w:t>), BA 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BSC, LLC, a Delaware limited liability company, as Lessor, Bank of America, N.A., not in its individual capacity, except as expressly stated therein, but solely as Administrative Agent, and the financial institutions listed on Schedule II thereto, and in connection with that certain Guaranty (the </w:t>
      </w:r>
      <w:r>
        <w:rPr>
          <w:rFonts w:ascii="Arial" w:cs="Arial" w:eastAsia="Arial" w:hAnsi="Arial"/>
          <w:sz w:val="18"/>
          <w:szCs w:val="18"/>
          <w:i w:val="1"/>
          <w:iCs w:val="1"/>
          <w:color w:val="auto"/>
        </w:rPr>
        <w:t>“Guaranty”</w:t>
      </w:r>
      <w:r>
        <w:rPr>
          <w:rFonts w:ascii="Arial" w:cs="Arial" w:eastAsia="Arial" w:hAnsi="Arial"/>
          <w:sz w:val="18"/>
          <w:szCs w:val="18"/>
          <w:color w:val="auto"/>
        </w:rPr>
        <w:t>), dated as of the date hereof, executed by Regeneron Pharmaceuticals, Inc., a New York corporation (the “</w:t>
      </w:r>
      <w:r>
        <w:rPr>
          <w:rFonts w:ascii="Arial" w:cs="Arial" w:eastAsia="Arial" w:hAnsi="Arial"/>
          <w:sz w:val="18"/>
          <w:szCs w:val="18"/>
          <w:i w:val="1"/>
          <w:iCs w:val="1"/>
          <w:color w:val="auto"/>
        </w:rPr>
        <w:t>Parent Guarantor</w:t>
      </w:r>
      <w:r>
        <w:rPr>
          <w:rFonts w:ascii="Arial" w:cs="Arial" w:eastAsia="Arial" w:hAnsi="Arial"/>
          <w:sz w:val="18"/>
          <w:szCs w:val="18"/>
          <w:color w:val="auto"/>
        </w:rPr>
        <w:t>”). All capitalized terms used herein and not otherwise defined shall have the meanings assigned to them in Appendix 1 to the Participation Agreement, unless the context otherwise requires.</w:t>
      </w:r>
    </w:p>
    <w:p>
      <w:pPr>
        <w:spacing w:after="0" w:line="189"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The undersigned, in his capacity as a Responsible Officer of the Parent Guarantor, is duly authorized and hereby certifies, in such capacity and on behalf of the Parent Guarantor and not in any personal capacity, to the Lessor and Administrative Agent that as of the date hereof:</w:t>
      </w:r>
    </w:p>
    <w:p>
      <w:pPr>
        <w:spacing w:after="0" w:line="147" w:lineRule="exact"/>
        <w:rPr>
          <w:sz w:val="20"/>
          <w:szCs w:val="20"/>
          <w:color w:val="auto"/>
        </w:rPr>
      </w:pPr>
    </w:p>
    <w:p>
      <w:pPr>
        <w:jc w:val="both"/>
        <w:ind w:left="660" w:firstLine="648"/>
        <w:spacing w:after="0" w:line="312" w:lineRule="auto"/>
        <w:rPr>
          <w:sz w:val="20"/>
          <w:szCs w:val="20"/>
          <w:color w:val="auto"/>
        </w:rPr>
      </w:pPr>
      <w:r>
        <w:rPr>
          <w:rFonts w:ascii="Arial" w:cs="Arial" w:eastAsia="Arial" w:hAnsi="Arial"/>
          <w:sz w:val="16"/>
          <w:szCs w:val="16"/>
          <w:color w:val="auto"/>
        </w:rPr>
        <w:t>1. Each and every representation and warranty of each Guarantor contained in each Operative Document to which it is a party is true and correct in all material respects on and as of the Document Closing Date, except to the extent such representation or warranty specifically refers to an earlier date, in which case such representation or warranty is true and correct in all material respects on and as of such earlier date.</w:t>
      </w:r>
    </w:p>
    <w:p>
      <w:pPr>
        <w:spacing w:after="0" w:line="147" w:lineRule="exact"/>
        <w:rPr>
          <w:sz w:val="20"/>
          <w:szCs w:val="20"/>
          <w:color w:val="auto"/>
        </w:rPr>
      </w:pPr>
    </w:p>
    <w:p>
      <w:pPr>
        <w:ind w:left="660" w:right="100" w:firstLine="648"/>
        <w:spacing w:after="0" w:line="286" w:lineRule="auto"/>
        <w:rPr>
          <w:sz w:val="20"/>
          <w:szCs w:val="20"/>
          <w:color w:val="auto"/>
        </w:rPr>
      </w:pPr>
      <w:r>
        <w:rPr>
          <w:rFonts w:ascii="Arial" w:cs="Arial" w:eastAsia="Arial" w:hAnsi="Arial"/>
          <w:sz w:val="17"/>
          <w:szCs w:val="17"/>
          <w:color w:val="auto"/>
        </w:rPr>
        <w:t>2. No Default, Event of Default, Event of Loss, Specified Significant Environmental Event or Specified Material Environmental Violation has occurred and is continuing, and no Default, Event of Default, Event of Loss, Specified Significant Environmental Event or Specified Material Environmental Violation will have occurred and be continuing immediately after giving effect to the Advance Request.</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EXHIBIT 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(to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have signed my name as a duly authorized Responsible Officer of Parent Guarantor on the date first written above.</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REGENERON PHARMACEUTICALS,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OF GUARANTY</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 attached</w:t>
      </w:r>
      <w:r>
        <w:rPr>
          <w:rFonts w:ascii="Arial" w:cs="Arial" w:eastAsia="Arial" w:hAnsi="Arial"/>
          <w:sz w:val="18"/>
          <w:szCs w:val="18"/>
          <w:color w:val="auto"/>
        </w:rPr>
        <w: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EXHIBIT D</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(to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GUARANTY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dated as of March 3, 2017</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made by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as Parent Guarantor,</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Subsidiary Guarantors party hereto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25" w:right="339" w:bottom="0" w:gutter="0" w:footer="0" w:header="0"/>
        </w:sectPr>
      </w:pPr>
    </w:p>
    <w:bookmarkStart w:id="59" w:name="page60"/>
    <w:bookmarkEnd w:id="59"/>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300990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SECTION</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900" w:type="dxa"/>
            <w:vAlign w:val="bottom"/>
            <w:gridSpan w:val="2"/>
          </w:tcPr>
          <w:p>
            <w:pPr>
              <w:ind w:left="3480"/>
              <w:spacing w:after="0"/>
              <w:rPr>
                <w:sz w:val="20"/>
                <w:szCs w:val="20"/>
                <w:color w:val="auto"/>
              </w:rPr>
            </w:pPr>
            <w:r>
              <w:rPr>
                <w:rFonts w:ascii="Arial" w:cs="Arial" w:eastAsia="Arial" w:hAnsi="Arial"/>
                <w:sz w:val="14"/>
                <w:szCs w:val="14"/>
                <w:b w:val="1"/>
                <w:bCs w:val="1"/>
                <w:color w:val="auto"/>
              </w:rPr>
              <w:t>HEADING</w:t>
            </w:r>
          </w:p>
        </w:tc>
        <w:tc>
          <w:tcPr>
            <w:tcW w:w="1020" w:type="dxa"/>
            <w:vAlign w:val="bottom"/>
            <w:gridSpan w:val="2"/>
          </w:tcPr>
          <w:p>
            <w:pPr>
              <w:ind w:left="240"/>
              <w:spacing w:after="0"/>
              <w:rPr>
                <w:sz w:val="20"/>
                <w:szCs w:val="20"/>
                <w:color w:val="auto"/>
              </w:rPr>
            </w:pPr>
            <w:r>
              <w:rPr>
                <w:rFonts w:ascii="Arial" w:cs="Arial" w:eastAsia="Arial" w:hAnsi="Arial"/>
                <w:sz w:val="14"/>
                <w:szCs w:val="14"/>
                <w:b w:val="1"/>
                <w:bCs w:val="1"/>
                <w:color w:val="auto"/>
              </w:rPr>
              <w:t>PAGE</w:t>
            </w:r>
          </w:p>
        </w:tc>
      </w:tr>
      <w:tr>
        <w:trPr>
          <w:trHeight w:val="195"/>
        </w:trPr>
        <w:tc>
          <w:tcPr>
            <w:tcW w:w="20" w:type="dxa"/>
            <w:vAlign w:val="bottom"/>
          </w:tcPr>
          <w:p>
            <w:pPr>
              <w:spacing w:after="0"/>
              <w:rPr>
                <w:sz w:val="16"/>
                <w:szCs w:val="16"/>
                <w:color w:val="auto"/>
              </w:rPr>
            </w:pPr>
          </w:p>
        </w:tc>
        <w:tc>
          <w:tcPr>
            <w:tcW w:w="1800" w:type="dxa"/>
            <w:vAlign w:val="bottom"/>
            <w:tcBorders>
              <w:top w:val="single" w:sz="8" w:color="auto"/>
            </w:tcBorders>
            <w:gridSpan w:val="2"/>
          </w:tcPr>
          <w:p>
            <w:pPr>
              <w:ind w:left="340"/>
              <w:spacing w:after="0" w:line="195" w:lineRule="exact"/>
              <w:rPr>
                <w:sz w:val="20"/>
                <w:szCs w:val="20"/>
                <w:color w:val="auto"/>
              </w:rPr>
            </w:pPr>
            <w:r>
              <w:rPr>
                <w:rFonts w:ascii="Arial" w:cs="Arial" w:eastAsia="Arial" w:hAnsi="Arial"/>
                <w:sz w:val="18"/>
                <w:szCs w:val="18"/>
                <w:color w:val="auto"/>
              </w:rPr>
              <w:t>Section 1.</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Guarantee</w:t>
            </w:r>
          </w:p>
        </w:tc>
        <w:tc>
          <w:tcPr>
            <w:tcW w:w="240" w:type="dxa"/>
            <w:vAlign w:val="bottom"/>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tcPr>
          <w:p>
            <w:pPr>
              <w:ind w:left="340"/>
              <w:spacing w:after="0"/>
              <w:rPr>
                <w:sz w:val="20"/>
                <w:szCs w:val="20"/>
                <w:color w:val="auto"/>
              </w:rPr>
            </w:pPr>
            <w:r>
              <w:rPr>
                <w:rFonts w:ascii="Arial" w:cs="Arial" w:eastAsia="Arial" w:hAnsi="Arial"/>
                <w:sz w:val="18"/>
                <w:szCs w:val="18"/>
                <w:color w:val="auto"/>
              </w:rPr>
              <w:t>Section 2.</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3"/>
          </w:tcPr>
          <w:p>
            <w:pPr>
              <w:ind w:left="100"/>
              <w:spacing w:after="0"/>
              <w:rPr>
                <w:sz w:val="20"/>
                <w:szCs w:val="20"/>
                <w:color w:val="auto"/>
              </w:rPr>
            </w:pPr>
            <w:r>
              <w:rPr>
                <w:rFonts w:ascii="Arial" w:cs="Arial" w:eastAsia="Arial" w:hAnsi="Arial"/>
                <w:sz w:val="18"/>
                <w:szCs w:val="18"/>
                <w:color w:val="auto"/>
              </w:rPr>
              <w:t>Guarantor’s Obligations Unconditional</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1800" w:type="dxa"/>
            <w:vAlign w:val="bottom"/>
            <w:gridSpan w:val="2"/>
          </w:tcPr>
          <w:p>
            <w:pPr>
              <w:ind w:left="340"/>
              <w:spacing w:after="0"/>
              <w:rPr>
                <w:sz w:val="20"/>
                <w:szCs w:val="20"/>
                <w:color w:val="auto"/>
              </w:rPr>
            </w:pPr>
            <w:r>
              <w:rPr>
                <w:rFonts w:ascii="Arial" w:cs="Arial" w:eastAsia="Arial" w:hAnsi="Arial"/>
                <w:sz w:val="18"/>
                <w:szCs w:val="18"/>
                <w:color w:val="auto"/>
              </w:rPr>
              <w:t>Section 3.</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3"/>
          </w:tcPr>
          <w:p>
            <w:pPr>
              <w:ind w:left="100"/>
              <w:spacing w:after="0"/>
              <w:rPr>
                <w:sz w:val="20"/>
                <w:szCs w:val="20"/>
                <w:color w:val="auto"/>
              </w:rPr>
            </w:pPr>
            <w:r>
              <w:rPr>
                <w:rFonts w:ascii="Arial" w:cs="Arial" w:eastAsia="Arial" w:hAnsi="Arial"/>
                <w:sz w:val="18"/>
                <w:szCs w:val="18"/>
                <w:color w:val="auto"/>
              </w:rPr>
              <w:t>Waiver of Subrogation</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1800" w:type="dxa"/>
            <w:vAlign w:val="bottom"/>
            <w:gridSpan w:val="2"/>
          </w:tcPr>
          <w:p>
            <w:pPr>
              <w:ind w:left="340"/>
              <w:spacing w:after="0"/>
              <w:rPr>
                <w:sz w:val="20"/>
                <w:szCs w:val="20"/>
                <w:color w:val="auto"/>
              </w:rPr>
            </w:pPr>
            <w:r>
              <w:rPr>
                <w:rFonts w:ascii="Arial" w:cs="Arial" w:eastAsia="Arial" w:hAnsi="Arial"/>
                <w:sz w:val="18"/>
                <w:szCs w:val="18"/>
                <w:color w:val="auto"/>
              </w:rPr>
              <w:t>Section 4.</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3"/>
          </w:tcPr>
          <w:p>
            <w:pPr>
              <w:ind w:left="100"/>
              <w:spacing w:after="0"/>
              <w:rPr>
                <w:sz w:val="20"/>
                <w:szCs w:val="20"/>
                <w:color w:val="auto"/>
              </w:rPr>
            </w:pPr>
            <w:r>
              <w:rPr>
                <w:rFonts w:ascii="Arial" w:cs="Arial" w:eastAsia="Arial" w:hAnsi="Arial"/>
                <w:sz w:val="18"/>
                <w:szCs w:val="18"/>
                <w:color w:val="auto"/>
              </w:rPr>
              <w:t>Reasonableness and Effect of Waivers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1800" w:type="dxa"/>
            <w:vAlign w:val="bottom"/>
            <w:gridSpan w:val="2"/>
          </w:tcPr>
          <w:p>
            <w:pPr>
              <w:ind w:left="340"/>
              <w:spacing w:after="0"/>
              <w:rPr>
                <w:sz w:val="20"/>
                <w:szCs w:val="20"/>
                <w:color w:val="auto"/>
              </w:rPr>
            </w:pPr>
            <w:r>
              <w:rPr>
                <w:rFonts w:ascii="Arial" w:cs="Arial" w:eastAsia="Arial" w:hAnsi="Arial"/>
                <w:sz w:val="18"/>
                <w:szCs w:val="18"/>
                <w:color w:val="auto"/>
              </w:rPr>
              <w:t>Section 5.</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3"/>
          </w:tcPr>
          <w:p>
            <w:pPr>
              <w:ind w:left="100"/>
              <w:spacing w:after="0"/>
              <w:rPr>
                <w:sz w:val="20"/>
                <w:szCs w:val="20"/>
                <w:color w:val="auto"/>
              </w:rPr>
            </w:pPr>
            <w:r>
              <w:rPr>
                <w:rFonts w:ascii="Arial" w:cs="Arial" w:eastAsia="Arial" w:hAnsi="Arial"/>
                <w:sz w:val="18"/>
                <w:szCs w:val="18"/>
                <w:color w:val="auto"/>
              </w:rPr>
              <w:t>Transfers by Beneficiaries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1800" w:type="dxa"/>
            <w:vAlign w:val="bottom"/>
            <w:gridSpan w:val="2"/>
          </w:tcPr>
          <w:p>
            <w:pPr>
              <w:ind w:left="340"/>
              <w:spacing w:after="0"/>
              <w:rPr>
                <w:sz w:val="20"/>
                <w:szCs w:val="20"/>
                <w:color w:val="auto"/>
              </w:rPr>
            </w:pPr>
            <w:r>
              <w:rPr>
                <w:rFonts w:ascii="Arial" w:cs="Arial" w:eastAsia="Arial" w:hAnsi="Arial"/>
                <w:sz w:val="18"/>
                <w:szCs w:val="18"/>
                <w:color w:val="auto"/>
              </w:rPr>
              <w:t>Section 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3"/>
          </w:tcPr>
          <w:p>
            <w:pPr>
              <w:ind w:left="100"/>
              <w:spacing w:after="0"/>
              <w:rPr>
                <w:sz w:val="20"/>
                <w:szCs w:val="20"/>
                <w:color w:val="auto"/>
              </w:rPr>
            </w:pPr>
            <w:r>
              <w:rPr>
                <w:rFonts w:ascii="Arial" w:cs="Arial" w:eastAsia="Arial" w:hAnsi="Arial"/>
                <w:sz w:val="18"/>
                <w:szCs w:val="18"/>
                <w:color w:val="auto"/>
              </w:rPr>
              <w:t>No Waiver by Beneficiaries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1800" w:type="dxa"/>
            <w:vAlign w:val="bottom"/>
            <w:gridSpan w:val="2"/>
          </w:tcPr>
          <w:p>
            <w:pPr>
              <w:ind w:left="340"/>
              <w:spacing w:after="0"/>
              <w:rPr>
                <w:sz w:val="20"/>
                <w:szCs w:val="20"/>
                <w:color w:val="auto"/>
              </w:rPr>
            </w:pPr>
            <w:r>
              <w:rPr>
                <w:rFonts w:ascii="Arial" w:cs="Arial" w:eastAsia="Arial" w:hAnsi="Arial"/>
                <w:sz w:val="18"/>
                <w:szCs w:val="18"/>
                <w:color w:val="auto"/>
              </w:rPr>
              <w:t>Section 7.</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3"/>
          </w:tcPr>
          <w:p>
            <w:pPr>
              <w:ind w:left="100"/>
              <w:spacing w:after="0"/>
              <w:rPr>
                <w:sz w:val="20"/>
                <w:szCs w:val="20"/>
                <w:color w:val="auto"/>
              </w:rPr>
            </w:pPr>
            <w:r>
              <w:rPr>
                <w:rFonts w:ascii="Arial" w:cs="Arial" w:eastAsia="Arial" w:hAnsi="Arial"/>
                <w:sz w:val="18"/>
                <w:szCs w:val="18"/>
                <w:color w:val="auto"/>
              </w:rPr>
              <w:t>Guarantor Representations and Warranties</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1800" w:type="dxa"/>
            <w:vAlign w:val="bottom"/>
            <w:gridSpan w:val="2"/>
          </w:tcPr>
          <w:p>
            <w:pPr>
              <w:ind w:left="340"/>
              <w:spacing w:after="0"/>
              <w:rPr>
                <w:sz w:val="20"/>
                <w:szCs w:val="20"/>
                <w:color w:val="auto"/>
              </w:rPr>
            </w:pPr>
            <w:r>
              <w:rPr>
                <w:rFonts w:ascii="Arial" w:cs="Arial" w:eastAsia="Arial" w:hAnsi="Arial"/>
                <w:sz w:val="18"/>
                <w:szCs w:val="18"/>
                <w:color w:val="auto"/>
              </w:rPr>
              <w:t>Section 8.</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3"/>
          </w:tcPr>
          <w:p>
            <w:pPr>
              <w:ind w:left="100"/>
              <w:spacing w:after="0"/>
              <w:rPr>
                <w:sz w:val="20"/>
                <w:szCs w:val="20"/>
                <w:color w:val="auto"/>
              </w:rPr>
            </w:pPr>
            <w:r>
              <w:rPr>
                <w:rFonts w:ascii="Arial" w:cs="Arial" w:eastAsia="Arial" w:hAnsi="Arial"/>
                <w:sz w:val="18"/>
                <w:szCs w:val="18"/>
                <w:color w:val="auto"/>
              </w:rPr>
              <w:t>Guarantor Affirmative Covenants</w:t>
            </w: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tcPr>
          <w:p>
            <w:pPr>
              <w:ind w:left="340"/>
              <w:spacing w:after="0"/>
              <w:rPr>
                <w:sz w:val="20"/>
                <w:szCs w:val="20"/>
                <w:color w:val="auto"/>
              </w:rPr>
            </w:pPr>
            <w:r>
              <w:rPr>
                <w:rFonts w:ascii="Arial" w:cs="Arial" w:eastAsia="Arial" w:hAnsi="Arial"/>
                <w:sz w:val="18"/>
                <w:szCs w:val="18"/>
                <w:color w:val="auto"/>
              </w:rPr>
              <w:t>Section 9.</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0" w:type="dxa"/>
            <w:vAlign w:val="bottom"/>
            <w:gridSpan w:val="3"/>
          </w:tcPr>
          <w:p>
            <w:pPr>
              <w:ind w:left="100"/>
              <w:spacing w:after="0"/>
              <w:rPr>
                <w:sz w:val="20"/>
                <w:szCs w:val="20"/>
                <w:color w:val="auto"/>
              </w:rPr>
            </w:pPr>
            <w:r>
              <w:rPr>
                <w:rFonts w:ascii="Arial" w:cs="Arial" w:eastAsia="Arial" w:hAnsi="Arial"/>
                <w:sz w:val="18"/>
                <w:szCs w:val="18"/>
                <w:color w:val="auto"/>
              </w:rPr>
              <w:t>Guarantor Negative Covenants</w:t>
            </w: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tcPr>
          <w:p>
            <w:pPr>
              <w:ind w:left="340"/>
              <w:spacing w:after="0"/>
              <w:rPr>
                <w:sz w:val="20"/>
                <w:szCs w:val="20"/>
                <w:color w:val="auto"/>
              </w:rPr>
            </w:pPr>
            <w:r>
              <w:rPr>
                <w:rFonts w:ascii="Arial" w:cs="Arial" w:eastAsia="Arial" w:hAnsi="Arial"/>
                <w:sz w:val="18"/>
                <w:szCs w:val="18"/>
                <w:color w:val="auto"/>
              </w:rPr>
              <w:t>Section 10.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900" w:type="dxa"/>
            <w:vAlign w:val="bottom"/>
            <w:gridSpan w:val="2"/>
          </w:tcPr>
          <w:p>
            <w:pPr>
              <w:ind w:left="540"/>
              <w:spacing w:after="0"/>
              <w:rPr>
                <w:sz w:val="20"/>
                <w:szCs w:val="20"/>
                <w:color w:val="auto"/>
              </w:rPr>
            </w:pPr>
            <w:r>
              <w:rPr>
                <w:rFonts w:ascii="Arial" w:cs="Arial" w:eastAsia="Arial" w:hAnsi="Arial"/>
                <w:sz w:val="18"/>
                <w:szCs w:val="18"/>
                <w:color w:val="auto"/>
              </w:rPr>
              <w:t>Successors and Assigns</w:t>
            </w: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tcPr>
          <w:p>
            <w:pPr>
              <w:ind w:left="340"/>
              <w:spacing w:after="0"/>
              <w:rPr>
                <w:sz w:val="20"/>
                <w:szCs w:val="20"/>
                <w:color w:val="auto"/>
              </w:rPr>
            </w:pPr>
            <w:r>
              <w:rPr>
                <w:rFonts w:ascii="Arial" w:cs="Arial" w:eastAsia="Arial" w:hAnsi="Arial"/>
                <w:sz w:val="18"/>
                <w:szCs w:val="18"/>
                <w:color w:val="auto"/>
              </w:rPr>
              <w:t>Section 11.</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900" w:type="dxa"/>
            <w:vAlign w:val="bottom"/>
            <w:gridSpan w:val="2"/>
          </w:tcPr>
          <w:p>
            <w:pPr>
              <w:ind w:left="540"/>
              <w:spacing w:after="0"/>
              <w:rPr>
                <w:sz w:val="20"/>
                <w:szCs w:val="20"/>
                <w:color w:val="auto"/>
              </w:rPr>
            </w:pPr>
            <w:r>
              <w:rPr>
                <w:rFonts w:ascii="Arial" w:cs="Arial" w:eastAsia="Arial" w:hAnsi="Arial"/>
                <w:sz w:val="18"/>
                <w:szCs w:val="18"/>
                <w:color w:val="auto"/>
              </w:rPr>
              <w:t>Severability</w:t>
            </w: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tcPr>
          <w:p>
            <w:pPr>
              <w:ind w:left="340"/>
              <w:spacing w:after="0"/>
              <w:rPr>
                <w:sz w:val="20"/>
                <w:szCs w:val="20"/>
                <w:color w:val="auto"/>
              </w:rPr>
            </w:pPr>
            <w:r>
              <w:rPr>
                <w:rFonts w:ascii="Arial" w:cs="Arial" w:eastAsia="Arial" w:hAnsi="Arial"/>
                <w:sz w:val="18"/>
                <w:szCs w:val="18"/>
                <w:color w:val="auto"/>
              </w:rPr>
              <w:t>Section 12.</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900" w:type="dxa"/>
            <w:vAlign w:val="bottom"/>
            <w:gridSpan w:val="2"/>
          </w:tcPr>
          <w:p>
            <w:pPr>
              <w:ind w:left="540"/>
              <w:spacing w:after="0"/>
              <w:rPr>
                <w:sz w:val="20"/>
                <w:szCs w:val="20"/>
                <w:color w:val="auto"/>
              </w:rPr>
            </w:pPr>
            <w:r>
              <w:rPr>
                <w:rFonts w:ascii="Arial" w:cs="Arial" w:eastAsia="Arial" w:hAnsi="Arial"/>
                <w:sz w:val="18"/>
                <w:szCs w:val="18"/>
                <w:color w:val="auto"/>
              </w:rPr>
              <w:t>Submission to Jurisdiction; Service of Process</w:t>
            </w: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tcPr>
          <w:p>
            <w:pPr>
              <w:ind w:left="340"/>
              <w:spacing w:after="0"/>
              <w:rPr>
                <w:sz w:val="20"/>
                <w:szCs w:val="20"/>
                <w:color w:val="auto"/>
              </w:rPr>
            </w:pPr>
            <w:r>
              <w:rPr>
                <w:rFonts w:ascii="Arial" w:cs="Arial" w:eastAsia="Arial" w:hAnsi="Arial"/>
                <w:sz w:val="18"/>
                <w:szCs w:val="18"/>
                <w:color w:val="auto"/>
              </w:rPr>
              <w:t>Section 13.</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900" w:type="dxa"/>
            <w:vAlign w:val="bottom"/>
            <w:gridSpan w:val="2"/>
          </w:tcPr>
          <w:p>
            <w:pPr>
              <w:ind w:left="540"/>
              <w:spacing w:after="0"/>
              <w:rPr>
                <w:sz w:val="20"/>
                <w:szCs w:val="20"/>
                <w:color w:val="auto"/>
              </w:rPr>
            </w:pPr>
            <w:r>
              <w:rPr>
                <w:rFonts w:ascii="Arial" w:cs="Arial" w:eastAsia="Arial" w:hAnsi="Arial"/>
                <w:sz w:val="18"/>
                <w:szCs w:val="18"/>
                <w:color w:val="auto"/>
              </w:rPr>
              <w:t>Notices</w:t>
            </w: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tcPr>
          <w:p>
            <w:pPr>
              <w:ind w:left="340"/>
              <w:spacing w:after="0"/>
              <w:rPr>
                <w:sz w:val="20"/>
                <w:szCs w:val="20"/>
                <w:color w:val="auto"/>
              </w:rPr>
            </w:pPr>
            <w:r>
              <w:rPr>
                <w:rFonts w:ascii="Arial" w:cs="Arial" w:eastAsia="Arial" w:hAnsi="Arial"/>
                <w:sz w:val="18"/>
                <w:szCs w:val="18"/>
                <w:color w:val="auto"/>
              </w:rPr>
              <w:t>Section 14.</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900" w:type="dxa"/>
            <w:vAlign w:val="bottom"/>
            <w:gridSpan w:val="2"/>
          </w:tcPr>
          <w:p>
            <w:pPr>
              <w:ind w:left="540"/>
              <w:spacing w:after="0"/>
              <w:rPr>
                <w:sz w:val="20"/>
                <w:szCs w:val="20"/>
                <w:color w:val="auto"/>
              </w:rPr>
            </w:pPr>
            <w:r>
              <w:rPr>
                <w:rFonts w:ascii="Arial" w:cs="Arial" w:eastAsia="Arial" w:hAnsi="Arial"/>
                <w:sz w:val="18"/>
                <w:szCs w:val="18"/>
                <w:color w:val="auto"/>
              </w:rPr>
              <w:t>Amendment</w:t>
            </w: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tcPr>
          <w:p>
            <w:pPr>
              <w:ind w:left="340"/>
              <w:spacing w:after="0"/>
              <w:rPr>
                <w:sz w:val="20"/>
                <w:szCs w:val="20"/>
                <w:color w:val="auto"/>
              </w:rPr>
            </w:pPr>
            <w:r>
              <w:rPr>
                <w:rFonts w:ascii="Arial" w:cs="Arial" w:eastAsia="Arial" w:hAnsi="Arial"/>
                <w:sz w:val="18"/>
                <w:szCs w:val="18"/>
                <w:color w:val="auto"/>
              </w:rPr>
              <w:t>Section 15.</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900" w:type="dxa"/>
            <w:vAlign w:val="bottom"/>
            <w:gridSpan w:val="2"/>
          </w:tcPr>
          <w:p>
            <w:pPr>
              <w:ind w:left="540"/>
              <w:spacing w:after="0"/>
              <w:rPr>
                <w:sz w:val="20"/>
                <w:szCs w:val="20"/>
                <w:color w:val="auto"/>
              </w:rPr>
            </w:pPr>
            <w:r>
              <w:rPr>
                <w:rFonts w:ascii="Arial" w:cs="Arial" w:eastAsia="Arial" w:hAnsi="Arial"/>
                <w:sz w:val="18"/>
                <w:szCs w:val="18"/>
                <w:color w:val="auto"/>
              </w:rPr>
              <w:t>Governing Law; Waiver of Jury Trial</w:t>
            </w: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tcPr>
          <w:p>
            <w:pPr>
              <w:ind w:left="340"/>
              <w:spacing w:after="0"/>
              <w:rPr>
                <w:sz w:val="20"/>
                <w:szCs w:val="20"/>
                <w:color w:val="auto"/>
              </w:rPr>
            </w:pPr>
            <w:r>
              <w:rPr>
                <w:rFonts w:ascii="Arial" w:cs="Arial" w:eastAsia="Arial" w:hAnsi="Arial"/>
                <w:sz w:val="18"/>
                <w:szCs w:val="18"/>
                <w:color w:val="auto"/>
              </w:rPr>
              <w:t>Section 16.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900" w:type="dxa"/>
            <w:vAlign w:val="bottom"/>
            <w:gridSpan w:val="2"/>
          </w:tcPr>
          <w:p>
            <w:pPr>
              <w:ind w:left="540"/>
              <w:spacing w:after="0"/>
              <w:rPr>
                <w:sz w:val="20"/>
                <w:szCs w:val="20"/>
                <w:color w:val="auto"/>
              </w:rPr>
            </w:pPr>
            <w:r>
              <w:rPr>
                <w:rFonts w:ascii="Arial" w:cs="Arial" w:eastAsia="Arial" w:hAnsi="Arial"/>
                <w:sz w:val="18"/>
                <w:szCs w:val="18"/>
                <w:color w:val="auto"/>
              </w:rPr>
              <w:t>No Advisory or Fiduciary Responsibility</w:t>
            </w: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tcPr>
          <w:p>
            <w:pPr>
              <w:ind w:left="340"/>
              <w:spacing w:after="0"/>
              <w:rPr>
                <w:sz w:val="20"/>
                <w:szCs w:val="20"/>
                <w:color w:val="auto"/>
              </w:rPr>
            </w:pPr>
            <w:r>
              <w:rPr>
                <w:rFonts w:ascii="Arial" w:cs="Arial" w:eastAsia="Arial" w:hAnsi="Arial"/>
                <w:sz w:val="18"/>
                <w:szCs w:val="18"/>
                <w:color w:val="auto"/>
              </w:rPr>
              <w:t>Section 17.</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900" w:type="dxa"/>
            <w:vAlign w:val="bottom"/>
            <w:gridSpan w:val="2"/>
          </w:tcPr>
          <w:p>
            <w:pPr>
              <w:ind w:left="540"/>
              <w:spacing w:after="0"/>
              <w:rPr>
                <w:sz w:val="20"/>
                <w:szCs w:val="20"/>
                <w:color w:val="auto"/>
              </w:rPr>
            </w:pPr>
            <w:r>
              <w:rPr>
                <w:rFonts w:ascii="Arial" w:cs="Arial" w:eastAsia="Arial" w:hAnsi="Arial"/>
                <w:sz w:val="18"/>
                <w:szCs w:val="18"/>
                <w:color w:val="auto"/>
              </w:rPr>
              <w:t>Releases; Termination of Guaranty</w:t>
            </w: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800" w:type="dxa"/>
            <w:vAlign w:val="bottom"/>
            <w:gridSpan w:val="2"/>
          </w:tcPr>
          <w:p>
            <w:pPr>
              <w:ind w:left="340"/>
              <w:spacing w:after="0"/>
              <w:rPr>
                <w:sz w:val="20"/>
                <w:szCs w:val="20"/>
                <w:color w:val="auto"/>
              </w:rPr>
            </w:pPr>
            <w:r>
              <w:rPr>
                <w:rFonts w:ascii="Arial" w:cs="Arial" w:eastAsia="Arial" w:hAnsi="Arial"/>
                <w:sz w:val="18"/>
                <w:szCs w:val="18"/>
                <w:color w:val="auto"/>
              </w:rPr>
              <w:t>Section 18.</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900" w:type="dxa"/>
            <w:vAlign w:val="bottom"/>
            <w:gridSpan w:val="2"/>
          </w:tcPr>
          <w:p>
            <w:pPr>
              <w:ind w:left="540"/>
              <w:spacing w:after="0"/>
              <w:rPr>
                <w:sz w:val="20"/>
                <w:szCs w:val="20"/>
                <w:color w:val="auto"/>
              </w:rPr>
            </w:pPr>
            <w:r>
              <w:rPr>
                <w:rFonts w:ascii="Arial" w:cs="Arial" w:eastAsia="Arial" w:hAnsi="Arial"/>
                <w:sz w:val="18"/>
                <w:szCs w:val="18"/>
                <w:color w:val="auto"/>
              </w:rPr>
              <w:t>Contribution with Respect to Liabilities</w:t>
            </w: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20"/>
                <w:szCs w:val="20"/>
                <w:color w:val="auto"/>
              </w:rPr>
            </w:pPr>
          </w:p>
        </w:tc>
      </w:tr>
      <w:tr>
        <w:trPr>
          <w:trHeight w:val="392"/>
        </w:trPr>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SCHEDULES</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8"/>
        </w:trPr>
        <w:tc>
          <w:tcPr>
            <w:tcW w:w="1820" w:type="dxa"/>
            <w:vAlign w:val="bottom"/>
            <w:gridSpan w:val="3"/>
          </w:tcPr>
          <w:p>
            <w:pPr>
              <w:spacing w:after="0"/>
              <w:rPr>
                <w:sz w:val="20"/>
                <w:szCs w:val="20"/>
                <w:color w:val="auto"/>
              </w:rPr>
            </w:pPr>
            <w:r>
              <w:rPr>
                <w:rFonts w:ascii="Arial" w:cs="Arial" w:eastAsia="Arial" w:hAnsi="Arial"/>
                <w:sz w:val="18"/>
                <w:szCs w:val="18"/>
                <w:color w:val="auto"/>
              </w:rPr>
              <w:t>SCHEDULE 7(a)</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900" w:type="dxa"/>
            <w:vAlign w:val="bottom"/>
            <w:gridSpan w:val="2"/>
          </w:tcPr>
          <w:p>
            <w:pPr>
              <w:ind w:left="20"/>
              <w:spacing w:after="0"/>
              <w:rPr>
                <w:sz w:val="20"/>
                <w:szCs w:val="20"/>
                <w:color w:val="auto"/>
              </w:rPr>
            </w:pPr>
            <w:r>
              <w:rPr>
                <w:rFonts w:ascii="Arial" w:cs="Arial" w:eastAsia="Arial" w:hAnsi="Arial"/>
                <w:sz w:val="18"/>
                <w:szCs w:val="18"/>
                <w:color w:val="auto"/>
              </w:rPr>
              <w:t>Subsidiaries</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1820" w:type="dxa"/>
            <w:vAlign w:val="bottom"/>
            <w:gridSpan w:val="3"/>
          </w:tcPr>
          <w:p>
            <w:pPr>
              <w:spacing w:after="0"/>
              <w:rPr>
                <w:sz w:val="20"/>
                <w:szCs w:val="20"/>
                <w:color w:val="auto"/>
              </w:rPr>
            </w:pPr>
            <w:r>
              <w:rPr>
                <w:rFonts w:ascii="Arial" w:cs="Arial" w:eastAsia="Arial" w:hAnsi="Arial"/>
                <w:sz w:val="18"/>
                <w:szCs w:val="18"/>
                <w:color w:val="auto"/>
              </w:rPr>
              <w:t>SCHEDULE 9(a)</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900" w:type="dxa"/>
            <w:vAlign w:val="bottom"/>
            <w:gridSpan w:val="2"/>
          </w:tcPr>
          <w:p>
            <w:pPr>
              <w:ind w:left="20"/>
              <w:spacing w:after="0"/>
              <w:rPr>
                <w:sz w:val="20"/>
                <w:szCs w:val="20"/>
                <w:color w:val="auto"/>
              </w:rPr>
            </w:pPr>
            <w:r>
              <w:rPr>
                <w:rFonts w:ascii="Arial" w:cs="Arial" w:eastAsia="Arial" w:hAnsi="Arial"/>
                <w:sz w:val="18"/>
                <w:szCs w:val="18"/>
                <w:color w:val="auto"/>
              </w:rPr>
              <w:t>Existing Indebtedness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1820" w:type="dxa"/>
            <w:vAlign w:val="bottom"/>
            <w:gridSpan w:val="3"/>
          </w:tcPr>
          <w:p>
            <w:pPr>
              <w:spacing w:after="0"/>
              <w:rPr>
                <w:sz w:val="20"/>
                <w:szCs w:val="20"/>
                <w:color w:val="auto"/>
              </w:rPr>
            </w:pPr>
            <w:r>
              <w:rPr>
                <w:rFonts w:ascii="Arial" w:cs="Arial" w:eastAsia="Arial" w:hAnsi="Arial"/>
                <w:sz w:val="18"/>
                <w:szCs w:val="18"/>
                <w:color w:val="auto"/>
              </w:rPr>
              <w:t>SCHEDULE 9(b)</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900" w:type="dxa"/>
            <w:vAlign w:val="bottom"/>
            <w:gridSpan w:val="2"/>
          </w:tcPr>
          <w:p>
            <w:pPr>
              <w:ind w:left="20"/>
              <w:spacing w:after="0"/>
              <w:rPr>
                <w:sz w:val="20"/>
                <w:szCs w:val="20"/>
                <w:color w:val="auto"/>
              </w:rPr>
            </w:pPr>
            <w:r>
              <w:rPr>
                <w:rFonts w:ascii="Arial" w:cs="Arial" w:eastAsia="Arial" w:hAnsi="Arial"/>
                <w:sz w:val="18"/>
                <w:szCs w:val="18"/>
                <w:color w:val="auto"/>
              </w:rPr>
              <w:t>Existing Liens</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2"/>
        </w:trPr>
        <w:tc>
          <w:tcPr>
            <w:tcW w:w="22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ANNEXES AND EXHIBITS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3"/>
        </w:trPr>
        <w:tc>
          <w:tcPr>
            <w:tcW w:w="1820" w:type="dxa"/>
            <w:vAlign w:val="bottom"/>
            <w:gridSpan w:val="3"/>
          </w:tcPr>
          <w:p>
            <w:pPr>
              <w:spacing w:after="0"/>
              <w:rPr>
                <w:sz w:val="20"/>
                <w:szCs w:val="20"/>
                <w:color w:val="auto"/>
              </w:rPr>
            </w:pPr>
            <w:r>
              <w:rPr>
                <w:rFonts w:ascii="Arial" w:cs="Arial" w:eastAsia="Arial" w:hAnsi="Arial"/>
                <w:sz w:val="18"/>
                <w:szCs w:val="18"/>
                <w:color w:val="auto"/>
              </w:rPr>
              <w:t>ANNEX I</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900" w:type="dxa"/>
            <w:vAlign w:val="bottom"/>
            <w:gridSpan w:val="2"/>
          </w:tcPr>
          <w:p>
            <w:pPr>
              <w:ind w:left="20"/>
              <w:spacing w:after="0"/>
              <w:rPr>
                <w:sz w:val="20"/>
                <w:szCs w:val="20"/>
                <w:color w:val="auto"/>
              </w:rPr>
            </w:pPr>
            <w:r>
              <w:rPr>
                <w:rFonts w:ascii="Arial" w:cs="Arial" w:eastAsia="Arial" w:hAnsi="Arial"/>
                <w:sz w:val="18"/>
                <w:szCs w:val="18"/>
                <w:color w:val="auto"/>
              </w:rPr>
              <w:t>Form of Guaranty Supplement</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48"/>
        </w:trPr>
        <w:tc>
          <w:tcPr>
            <w:tcW w:w="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6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GUARANTY</w:t>
      </w:r>
    </w:p>
    <w:p>
      <w:pPr>
        <w:spacing w:after="0" w:line="22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THIS GUARANTY (as amended, restated, supplemented or otherwise modified from time to time, this “</w:t>
      </w:r>
      <w:r>
        <w:rPr>
          <w:rFonts w:ascii="Arial" w:cs="Arial" w:eastAsia="Arial" w:hAnsi="Arial"/>
          <w:sz w:val="18"/>
          <w:szCs w:val="18"/>
          <w:i w:val="1"/>
          <w:iCs w:val="1"/>
          <w:color w:val="auto"/>
        </w:rPr>
        <w:t>Guaranty</w:t>
      </w:r>
      <w:r>
        <w:rPr>
          <w:rFonts w:ascii="Arial" w:cs="Arial" w:eastAsia="Arial" w:hAnsi="Arial"/>
          <w:sz w:val="18"/>
          <w:szCs w:val="18"/>
          <w:color w:val="auto"/>
        </w:rPr>
        <w:t>”), dated as of March 3, 2017, is made by (i) REGENERON PHARMACEUTICALS, INC., a New York corporation (the “</w:t>
      </w:r>
      <w:r>
        <w:rPr>
          <w:rFonts w:ascii="Arial" w:cs="Arial" w:eastAsia="Arial" w:hAnsi="Arial"/>
          <w:sz w:val="18"/>
          <w:szCs w:val="18"/>
          <w:i w:val="1"/>
          <w:iCs w:val="1"/>
          <w:color w:val="auto"/>
        </w:rPr>
        <w:t>Parent Guarantor</w:t>
      </w:r>
      <w:r>
        <w:rPr>
          <w:rFonts w:ascii="Arial" w:cs="Arial" w:eastAsia="Arial" w:hAnsi="Arial"/>
          <w:sz w:val="18"/>
          <w:szCs w:val="18"/>
          <w:color w:val="auto"/>
        </w:rPr>
        <w:t>”), (ii) each of the undersigned Subsidiaries (as hereinafter defined) of the Parent Guarantor (the “</w:t>
      </w:r>
      <w:r>
        <w:rPr>
          <w:rFonts w:ascii="Arial" w:cs="Arial" w:eastAsia="Arial" w:hAnsi="Arial"/>
          <w:sz w:val="18"/>
          <w:szCs w:val="18"/>
          <w:i w:val="1"/>
          <w:iCs w:val="1"/>
          <w:color w:val="auto"/>
        </w:rPr>
        <w:t>Initial Subsidiary Guarantors</w:t>
      </w:r>
      <w:r>
        <w:rPr>
          <w:rFonts w:ascii="Arial" w:cs="Arial" w:eastAsia="Arial" w:hAnsi="Arial"/>
          <w:sz w:val="18"/>
          <w:szCs w:val="18"/>
          <w:color w:val="auto"/>
        </w:rPr>
        <w:t>” and together with Parent Guarantor, the “</w:t>
      </w:r>
      <w:r>
        <w:rPr>
          <w:rFonts w:ascii="Arial" w:cs="Arial" w:eastAsia="Arial" w:hAnsi="Arial"/>
          <w:sz w:val="18"/>
          <w:szCs w:val="18"/>
          <w:i w:val="1"/>
          <w:iCs w:val="1"/>
          <w:color w:val="auto"/>
        </w:rPr>
        <w:t>Initial Guarantors</w:t>
      </w:r>
      <w:r>
        <w:rPr>
          <w:rFonts w:ascii="Arial" w:cs="Arial" w:eastAsia="Arial" w:hAnsi="Arial"/>
          <w:sz w:val="18"/>
          <w:szCs w:val="18"/>
          <w:color w:val="auto"/>
        </w:rPr>
        <w:t>”) and (iii) any additional Subsidiaries of the Parent Guarantor which become parties to this Guaranty by executing a supplement hereto in the form attached as Annex I (collectively with the Initial Subsidiary Guarantors, the “</w:t>
      </w:r>
      <w:r>
        <w:rPr>
          <w:rFonts w:ascii="Arial" w:cs="Arial" w:eastAsia="Arial" w:hAnsi="Arial"/>
          <w:sz w:val="18"/>
          <w:szCs w:val="18"/>
          <w:i w:val="1"/>
          <w:iCs w:val="1"/>
          <w:color w:val="auto"/>
        </w:rPr>
        <w:t>Subsidiary Guarantors</w:t>
      </w:r>
      <w:r>
        <w:rPr>
          <w:rFonts w:ascii="Arial" w:cs="Arial" w:eastAsia="Arial" w:hAnsi="Arial"/>
          <w:sz w:val="18"/>
          <w:szCs w:val="18"/>
          <w:color w:val="auto"/>
        </w:rPr>
        <w:t>” and together with Parent Guarantor, the “</w:t>
      </w:r>
      <w:r>
        <w:rPr>
          <w:rFonts w:ascii="Arial" w:cs="Arial" w:eastAsia="Arial" w:hAnsi="Arial"/>
          <w:sz w:val="18"/>
          <w:szCs w:val="18"/>
          <w:i w:val="1"/>
          <w:iCs w:val="1"/>
          <w:color w:val="auto"/>
        </w:rPr>
        <w:t>Guarantors</w:t>
      </w:r>
      <w:r>
        <w:rPr>
          <w:rFonts w:ascii="Arial" w:cs="Arial" w:eastAsia="Arial" w:hAnsi="Arial"/>
          <w:sz w:val="18"/>
          <w:szCs w:val="18"/>
          <w:color w:val="auto"/>
        </w:rPr>
        <w:t>”) in favor of (a) each Participant (as hereinafter defined) and (b) the Administrative Agent (as hereinafter defined), for the benefit of itself and the other Beneficiaries (as hereinafter defined).</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 I T N E S S E T H:</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Old Saw Mill Holdings LLC, a New York limited liability company, as Lessee (together with its successors and permitted assigns, in its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capacity as Lessee, “</w:t>
      </w:r>
      <w:r>
        <w:rPr>
          <w:rFonts w:ascii="Arial" w:cs="Arial" w:eastAsia="Arial" w:hAnsi="Arial"/>
          <w:sz w:val="16"/>
          <w:szCs w:val="16"/>
          <w:i w:val="1"/>
          <w:iCs w:val="1"/>
          <w:color w:val="auto"/>
        </w:rPr>
        <w:t>Lessee</w:t>
      </w:r>
      <w:r>
        <w:rPr>
          <w:rFonts w:ascii="Arial" w:cs="Arial" w:eastAsia="Arial" w:hAnsi="Arial"/>
          <w:sz w:val="16"/>
          <w:szCs w:val="16"/>
          <w:color w:val="auto"/>
        </w:rPr>
        <w:t>”), BA Leasing BSC LLC, a Delaware limited liability company, as Lessor (</w:t>
      </w:r>
      <w:r>
        <w:rPr>
          <w:rFonts w:ascii="Arial" w:cs="Arial" w:eastAsia="Arial" w:hAnsi="Arial"/>
          <w:sz w:val="15"/>
          <w:szCs w:val="15"/>
          <w:color w:val="auto"/>
        </w:rPr>
        <w:t>together with its successors and permitted assigns, in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capacity as Lessor, “</w:t>
      </w:r>
      <w:r>
        <w:rPr>
          <w:rFonts w:ascii="Arial" w:cs="Arial" w:eastAsia="Arial" w:hAnsi="Arial"/>
          <w:sz w:val="16"/>
          <w:szCs w:val="16"/>
          <w:i w:val="1"/>
          <w:iCs w:val="1"/>
          <w:color w:val="auto"/>
        </w:rPr>
        <w:t>Lessor</w:t>
      </w:r>
      <w:r>
        <w:rPr>
          <w:rFonts w:ascii="Arial" w:cs="Arial" w:eastAsia="Arial" w:hAnsi="Arial"/>
          <w:sz w:val="16"/>
          <w:szCs w:val="16"/>
          <w:color w:val="auto"/>
        </w:rPr>
        <w:t>”), the Lenders party thereto and Bank of America, N.A., not in its individual capacity, except as expressly stated therein, but solely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Administrative Agent (together with its successors and permitted assigns, in its capacity as Administrative Agent, the “</w:t>
      </w:r>
      <w:r>
        <w:rPr>
          <w:rFonts w:ascii="Arial" w:cs="Arial" w:eastAsia="Arial" w:hAnsi="Arial"/>
          <w:sz w:val="16"/>
          <w:szCs w:val="16"/>
          <w:i w:val="1"/>
          <w:iCs w:val="1"/>
          <w:color w:val="auto"/>
        </w:rPr>
        <w:t>Administrative Agent</w:t>
      </w:r>
      <w:r>
        <w:rPr>
          <w:rFonts w:ascii="Arial" w:cs="Arial" w:eastAsia="Arial" w:hAnsi="Arial"/>
          <w:sz w:val="16"/>
          <w:szCs w:val="16"/>
          <w:color w:val="auto"/>
        </w:rPr>
        <w:t>”) have entered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into that certain Participation Agreement, dated as of March 3, 2017 (as amended, restated, supplemented or otherwise modified from time to time,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Participation Agreement</w:t>
      </w:r>
      <w:r>
        <w:rPr>
          <w:rFonts w:ascii="Arial" w:cs="Arial" w:eastAsia="Arial" w:hAnsi="Arial"/>
          <w:sz w:val="16"/>
          <w:szCs w:val="16"/>
          <w:color w:val="auto"/>
        </w:rPr>
        <w:t>”; unless otherwise defined herein or the context hereof otherwise requires, terms which are defined or defined by reference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Participation Agreement shall have the same meanings when used herein as such terms have therein); and</w:t>
      </w:r>
    </w:p>
    <w:p>
      <w:pPr>
        <w:spacing w:after="0" w:line="211"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WHEREAS, it is a condition precedent to the consummation by the Participants (as hereinafter defined) of the Overall Transaction to be consummated on the Document Closing Date that the Initial Guarantors execute and deliver this Guaranty; and</w:t>
      </w:r>
    </w:p>
    <w:p>
      <w:pPr>
        <w:spacing w:after="0" w:line="170"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WHEREAS, each Subsidiary Guarantor is an affiliate of Lessee, and Lessee and each Subsidiary Guarantor is a direct or indirect wholly-owned Subsidiary of Parent Guarantor and it is in the best interests of Parent Guarantor and each Subsidiary Guarantor that the Overall Transaction and the Document Closing Date occur;</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by each Guarantor, each Guarantor hereby agrees as follows:</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i w:val="1"/>
          <w:iCs w:val="1"/>
          <w:color w:val="auto"/>
        </w:rPr>
        <w:t>Section 1. Guarantee</w:t>
      </w:r>
      <w:r>
        <w:rPr>
          <w:rFonts w:ascii="Arial" w:cs="Arial" w:eastAsia="Arial" w:hAnsi="Arial"/>
          <w:sz w:val="18"/>
          <w:szCs w:val="18"/>
          <w:color w:val="auto"/>
        </w:rPr>
        <w:t>. Each Guarantor, jointly and severally, hereby irrevocably and unconditionally guarantees to (i) each Participant, for the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of itself and its Related Parties that are Beneficiaries (as hereinafter defined), and (ii) the Administrative Agent, for the benefit of itself and the other Beneficiaries (a) the full and prompt payment when due, whether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067" w:right="199" w:bottom="461" w:gutter="0" w:footer="0" w:header="0"/>
        </w:sectPr>
      </w:pPr>
    </w:p>
    <w:bookmarkStart w:id="60" w:name="page61"/>
    <w:bookmarkEnd w:id="60"/>
    <w:p>
      <w:pPr>
        <w:spacing w:after="0" w:line="10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acceleration or otherwise, and at all times thereafter, and (b) the full and prompt performance when due of all of the Liabilities (as hereinafter defined) (or, in the case of such guarantee to each Participant, all of the Liabilities owed to such Participant and its Related Parties that are Beneficiaries), including, interest or yield on any such Liabilities, whether accruing before or after any bankruptcy or insolvency case or proceeding involving Lessee or any other Person, and, if interest or yield on any portion of such obligations ceases to accrue by operation of law by reason of the commencement of such case or proceeding, including such interest and yield as would have accrued on any such portion of such obligations if such case or proceeding had not commenced. Each Guarantor further agrees to pay all expenses (including reasonable attorneys’ fees actually incurred and legal expenses) paid or incurred by any Beneficiary in endeavoring to collect the Liabilities, or any part thereof, and in enforcing this Guaranty, subject to the limitations set forth in Section 15.17 of the Participation Agreement (including with respect to attorneys’ fees). The term “</w:t>
      </w:r>
      <w:r>
        <w:rPr>
          <w:rFonts w:ascii="Arial" w:cs="Arial" w:eastAsia="Arial" w:hAnsi="Arial"/>
          <w:sz w:val="16"/>
          <w:szCs w:val="16"/>
          <w:i w:val="1"/>
          <w:iCs w:val="1"/>
          <w:color w:val="auto"/>
        </w:rPr>
        <w:t>Beneficiaries</w:t>
      </w:r>
      <w:r>
        <w:rPr>
          <w:rFonts w:ascii="Arial" w:cs="Arial" w:eastAsia="Arial" w:hAnsi="Arial"/>
          <w:sz w:val="16"/>
          <w:szCs w:val="16"/>
          <w:color w:val="auto"/>
        </w:rPr>
        <w:t>,” as used herein, shall mean each of Lessor, Administrative Agent, each other Participant and each other Indemnitee. The term “</w:t>
      </w:r>
      <w:r>
        <w:rPr>
          <w:rFonts w:ascii="Arial" w:cs="Arial" w:eastAsia="Arial" w:hAnsi="Arial"/>
          <w:sz w:val="16"/>
          <w:szCs w:val="16"/>
          <w:i w:val="1"/>
          <w:iCs w:val="1"/>
          <w:color w:val="auto"/>
        </w:rPr>
        <w:t>Liabilities,</w:t>
      </w:r>
      <w:r>
        <w:rPr>
          <w:rFonts w:ascii="Arial" w:cs="Arial" w:eastAsia="Arial" w:hAnsi="Arial"/>
          <w:sz w:val="16"/>
          <w:szCs w:val="16"/>
          <w:color w:val="auto"/>
        </w:rPr>
        <w:t>” as used herein, shall mean all of the following, in each case howsoever created, arising or evidenced, whether direct or indirect, joint or several, absolute or contingent, or now or hereafter existing, or due or to become due: all Rent (including, but not limited to Basic Rent and Supplemental Rent), Lease Balance, Purchase Amount, Sale Option Recourse Amount, indemnities and all additional amounts and other sums at any time due and owing, and required to be paid, in each case of the foregoing, by Lessee under the terms of the Lease, the Participation Agreement or any other Operative Document and all other obligations, covenants and agreements to be performed by Lessee under the Lease, the Participation Agreement or any other Operative Document (whether or not Lessee, any Guarantor or any other Person shall be relieved or released from any or all liability or obligations under any thereof, except on account of the full and indefeasible payment and performance of all Liabilities).</w:t>
      </w:r>
    </w:p>
    <w:p>
      <w:pPr>
        <w:spacing w:after="0" w:line="16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any action or proceeding involving any state corporate law, or any state or federal bankruptcy, insolvency, reorganization or any other law affecting the rights of creditors generally, if the obligations of any Guarantor under this Guaranty would otherwise be held or determined to be void, invalid or unenforceable, or subordinated to the claims of any other creditors, on account of the amount of its liability under this Guaranty, then, notwithstanding any other provision hereof to the contrary, the amount of such liability shall, without any further action by such Guarantor or any other Person, be automatically limited and reduced to the highest amount which is valid and enforceable as determined in such action or proceeding.</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Each Guarantor agrees that upon the occurrence of an Event of Default described in Section 16.1(h) or (i) of the Lease, the Guarantors will pay to the Administrative Agent, for the benefit of the Beneficiaries, forthwith the full amount which would be payable hereunder by the Guarantors as if all Liabilities were then due and payable.</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This Guaranty shall in all respects be an absolute and unconditional guaranty of payment and performance (and not of collection), and shall remain in full force and effect until the full and indefeasible payment and performance of all of the Liabilities and Guarantors’ obligations hereunder (notwithstanding, without limitation, the dissolution of Guarantors). The liability of Guarantors hereunder may be enforced without the Beneficiaries being required to resort to 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other right, remedy or security; provided that any such enforcement shall be subject to any applicable grace or notice and cure period and shall be in accordance with Section 5.2 of the Loan Agreement and 16.2 of the Lease; provided, further, that, if an Acceleration has not occurred and a Payment Default exists under clause (ii) of such definition with respect to amounts owed to any Participant or its Related Parties that are Beneficiaries (other than a Payment Default with respect to (x) Basic Rent or (y) amounts owed to all Lenders or all Participants), then such Participant may demand payment hereunder for such amounts.</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obligations of Guarantor are independent of any obligations of Lessor, Administrative Agent, any Participant or any other Person under any of the Operative Documents. Each and every Event of Default under any of the Operative Documents with respect to the Liabilities shall give rise to a separate claim and cause of action hereunder, and separate claims or suits may be made and brought, as the case may be, hereunder as each such Event of Default occurs (subject to the provisos at the end of the immediately preceding paragraph).</w:t>
      </w:r>
    </w:p>
    <w:p>
      <w:pPr>
        <w:spacing w:after="0" w:line="18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Lessor and/or Administrative Agent on behalf of itself and the Beneficiaries may, from time to time at its discretion and without notice to any Guarantor, but subject to the provisions of the Operative Documents, take any or all of the following actions: (a) retain or obtain a lien upon or a security interest in any property to secure any of the Liabilities or any obligation hereunder; (b) retain or obtain the primary or secondary obligation of any obligor or obligors, in addition to the Guarantors, with respect to any of the Liabilities; (c) extend or renew for one or more periods (regardless of whether longer than the original period), alter or exchange any of the Liabilities, or release or compromise any obligation of any Guarantor hereunder or any obligation of any nature of any other obligor with respect to any of the Liabilities (including, without limitation, Lessee); (d) release or fail to perfect its lien upon or security interest in, or impair, surrender, release or permit any substitution or exchange for, all or any part of any property securing any of the Liabilities or any obligation hereunder, or extend or renew for one or more periods (regardless of whether longer than the original period) or release, compromise, alter or exchange any obligations of any nature of any obligor with respect to any such property; and (e) resort to any Guarantor for payment of any of the Liabilities, regardless of whether Lessor, any Lender or any other Person shall have resorted to any property securing any of the Liabilities or any obligation hereunder or shall have proceeded against any other obligor primarily or secondarily obligated with respect to any of the Liabilities (all of the actions referred to in this paragraph being hereby expressly waived by each Guarantor).</w:t>
      </w:r>
    </w:p>
    <w:p>
      <w:pPr>
        <w:spacing w:after="0" w:line="18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Notwithstanding anything to the contrary herein, amounts paid or collected under this Guaranty shall be subject to Section 5.3 of the Participation Agreement, except to the extent otherwise expressly provided in any other applicable provision of the Participation Agreement.</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Section 2. Guarantor’s Obligations Unconditional</w:t>
      </w:r>
      <w:r>
        <w:rPr>
          <w:rFonts w:ascii="Arial" w:cs="Arial" w:eastAsia="Arial" w:hAnsi="Arial"/>
          <w:sz w:val="18"/>
          <w:szCs w:val="18"/>
          <w:color w:val="auto"/>
        </w:rPr>
        <w:t>. Guarantors’ obligations hereunder are independent of Lessee’s obligations under the Lease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other Operative Documents or in respect of any other Person, and the Administrative Agent, for the benefit of the Beneficiaries, may enforce any of its rights hereunder independently of any other right or remedy that it or any other Beneficiary may at any time hold with respect to the Liabilities or any security or other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guaranty therefor. Such obligations shall be absolute and unconditional, shall not be subject to any counterclaim, setoff, deduction (other than deductions or withholdings in respect of Taxes that are permitted by the Operative Documents), diminution, abatement, recoupment, suspension, deferment, reduction or defense (other than full and indefeasible payment and performance of all of the Liabilities), whether based upon any claim that Lessee, Guarantor or any other Person may have against any Beneficiary or any other Person or otherwise, and shall remain in full force and effect without regard to, and shall not be</w:t>
      </w:r>
    </w:p>
    <w:p>
      <w:pPr>
        <w:sectPr>
          <w:pgSz w:w="11900" w:h="16945" w:orient="portrait"/>
          <w:cols w:equalWidth="0" w:num="1">
            <w:col w:w="11420"/>
          </w:cols>
          <w:pgMar w:left="240" w:top="341" w:right="239" w:bottom="0" w:gutter="0" w:footer="0" w:header="0"/>
        </w:sectPr>
      </w:pPr>
    </w:p>
    <w:bookmarkStart w:id="61" w:name="page62"/>
    <w:bookmarkEnd w:id="61"/>
    <w:p>
      <w:pPr>
        <w:spacing w:after="0" w:line="9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released, discharged or in any way affected by, any circumstance or condition whatsoever (other than full and indefeasible payment and performance of all of the Liabilities or as otherwise expressly permitted by Section 17) (whether or not any Guarantor or any other Person shall have any knowledge or notice thereof) including, without limitation, any of the following:</w:t>
      </w:r>
    </w:p>
    <w:p>
      <w:pPr>
        <w:spacing w:after="0" w:line="181" w:lineRule="exact"/>
        <w:rPr>
          <w:sz w:val="20"/>
          <w:szCs w:val="20"/>
          <w:color w:val="auto"/>
        </w:rPr>
      </w:pPr>
    </w:p>
    <w:p>
      <w:pPr>
        <w:ind w:left="660" w:right="100" w:firstLine="645"/>
        <w:spacing w:after="0" w:line="255" w:lineRule="auto"/>
        <w:tabs>
          <w:tab w:leader="none" w:pos="197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subject to the terms of the Lease and the other Operative Documents, any amendment, modification, addition, deletion, supplement or renewal to or of or other change in the Liabilities or any Operative Document or any of the agreements referred to in any thereof, or any other instrument or agreement applicable to any Operative Document or any of the parties to such agreements, or to the Leased Property, or any assignment, mortgage or transfer thereof or of any interest therein, or any furnishing or acceptance of additional security for, guaranty of or right of offset with respect to, any of the Liabilities; or the failure of any security or the failure of any Beneficiary to perfect or insure any interest in any collateral;</w:t>
      </w:r>
    </w:p>
    <w:p>
      <w:pPr>
        <w:spacing w:after="0" w:line="193" w:lineRule="exact"/>
        <w:rPr>
          <w:rFonts w:ascii="Arial" w:cs="Arial" w:eastAsia="Arial" w:hAnsi="Arial"/>
          <w:sz w:val="18"/>
          <w:szCs w:val="18"/>
          <w:color w:val="auto"/>
        </w:rPr>
      </w:pPr>
    </w:p>
    <w:p>
      <w:pPr>
        <w:ind w:left="660" w:right="180" w:firstLine="645"/>
        <w:spacing w:after="0" w:line="277" w:lineRule="auto"/>
        <w:tabs>
          <w:tab w:leader="none" w:pos="196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failure, omission or delay on the part of Lessee, any Beneficiary or any other Guarantor to conform or comply with any term of any instrument or agreement referred to in clause (A) above;</w:t>
      </w:r>
    </w:p>
    <w:p>
      <w:pPr>
        <w:spacing w:after="0" w:line="170" w:lineRule="exact"/>
        <w:rPr>
          <w:rFonts w:ascii="Arial" w:cs="Arial" w:eastAsia="Arial" w:hAnsi="Arial"/>
          <w:sz w:val="18"/>
          <w:szCs w:val="18"/>
          <w:color w:val="auto"/>
        </w:rPr>
      </w:pPr>
    </w:p>
    <w:p>
      <w:pPr>
        <w:ind w:left="660" w:right="60" w:firstLine="645"/>
        <w:spacing w:after="0" w:line="279" w:lineRule="auto"/>
        <w:tabs>
          <w:tab w:leader="none" w:pos="196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any waiver, consent, extension, indulgence, compromise, release or other action or inaction under or in respect of any instrument, agreement, guaranty, right of offset or security referred to in clause (A) above or any obligation or liability of Lessee or any Beneficiary or any other Person, or any exercise or non-exercise by any Beneficiary or any other Person of any right, remedy, power or privilege under or in respect of any such instrument, agreement, guaranty, right of offset or security or any such obligation or liability;</w:t>
      </w:r>
    </w:p>
    <w:p>
      <w:pPr>
        <w:spacing w:after="0" w:line="171" w:lineRule="exact"/>
        <w:rPr>
          <w:rFonts w:ascii="Arial" w:cs="Arial" w:eastAsia="Arial" w:hAnsi="Arial"/>
          <w:sz w:val="17"/>
          <w:szCs w:val="17"/>
          <w:color w:val="auto"/>
        </w:rPr>
      </w:pPr>
    </w:p>
    <w:p>
      <w:pPr>
        <w:ind w:left="660" w:right="340" w:firstLine="645"/>
        <w:spacing w:after="0" w:line="264" w:lineRule="auto"/>
        <w:tabs>
          <w:tab w:leader="none" w:pos="197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bankruptcy, insolvency, reorganization, arrangement, readjustment, composition, liquidation or similar proceeding with respect to Lessee, any Beneficiary, any Guarantor or any other guarantor or obligor of any Liabilities or any of their respective properties, or any action taken by any trustee, receiver or court in any such proceeding;</w:t>
      </w:r>
    </w:p>
    <w:p>
      <w:pPr>
        <w:spacing w:after="0" w:line="181" w:lineRule="exact"/>
        <w:rPr>
          <w:rFonts w:ascii="Arial" w:cs="Arial" w:eastAsia="Arial" w:hAnsi="Arial"/>
          <w:sz w:val="18"/>
          <w:szCs w:val="18"/>
          <w:color w:val="auto"/>
        </w:rPr>
      </w:pPr>
    </w:p>
    <w:p>
      <w:pPr>
        <w:ind w:left="660" w:right="200" w:firstLine="645"/>
        <w:spacing w:after="0" w:line="312" w:lineRule="auto"/>
        <w:tabs>
          <w:tab w:leader="none" w:pos="197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subject to Sections 15.15 and 15.16 of the Participation Agreement, any limitation on the liability or obligations of any Person (including, without limitation, Lessee) under any Operative Document, the Liabilities, any collateral security for the Liabilities, any other guaranty of the Liabilities or any discharge, termination, cancellation, frustration, irregularity, invalidity or unenforceability, in whole or in part,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0"/>
        <w:spacing w:after="0" w:line="342" w:lineRule="auto"/>
        <w:rPr>
          <w:sz w:val="20"/>
          <w:szCs w:val="20"/>
          <w:color w:val="auto"/>
        </w:rPr>
      </w:pPr>
      <w:r>
        <w:rPr>
          <w:rFonts w:ascii="Arial" w:cs="Arial" w:eastAsia="Arial" w:hAnsi="Arial"/>
          <w:sz w:val="16"/>
          <w:szCs w:val="16"/>
          <w:color w:val="auto"/>
        </w:rPr>
        <w:t>any of the foregoing or any other agreement, instrument, guaranty or security referred to in clause (A) above or any term of any thereof (other than any such discharge, termination or cancellation as a result of full and indefeasible payment and performance of all of the Liabilities);</w:t>
      </w:r>
    </w:p>
    <w:p>
      <w:pPr>
        <w:spacing w:after="0" w:line="124" w:lineRule="exact"/>
        <w:rPr>
          <w:sz w:val="20"/>
          <w:szCs w:val="20"/>
          <w:color w:val="auto"/>
        </w:rPr>
      </w:pPr>
    </w:p>
    <w:p>
      <w:pPr>
        <w:ind w:left="660" w:right="20" w:firstLine="645"/>
        <w:spacing w:after="0" w:line="297" w:lineRule="auto"/>
        <w:tabs>
          <w:tab w:leader="none" w:pos="1974"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defect in the title, compliance with specifications, condition, design, operation or fitness for use of, or any damage to or loss or destruction of, or any interruption or cessation in the use of the Leased Property by Lessee or any other Person for any reason whatsoever (including, without limitation, any governmental prohibition or restriction, condemnation, requisition, seizure or any other act on the part of any governmental or military authority, or any act of God or of the public enemy) regardless of the duration thereof (even though such duration would otherwise constitute a frustration of a lease), whether or not resulting from accident and whether or not without fault on the part of Lessee or any other Person;</w:t>
      </w:r>
    </w:p>
    <w:p>
      <w:pPr>
        <w:spacing w:after="0" w:line="158" w:lineRule="exact"/>
        <w:rPr>
          <w:rFonts w:ascii="Arial" w:cs="Arial" w:eastAsia="Arial" w:hAnsi="Arial"/>
          <w:sz w:val="16"/>
          <w:szCs w:val="16"/>
          <w:color w:val="auto"/>
        </w:rPr>
      </w:pPr>
    </w:p>
    <w:p>
      <w:pPr>
        <w:ind w:left="660" w:right="220" w:firstLine="645"/>
        <w:spacing w:after="0" w:line="277" w:lineRule="auto"/>
        <w:tabs>
          <w:tab w:leader="none" w:pos="197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merger or consolidation of Lessee or any Guarantor into or with any other Person, or any sale, lease or transfer of any of the assets of Lessee or any Guarantor to any other Person, except as otherwise expressly provided by Section 17;</w:t>
      </w:r>
    </w:p>
    <w:p>
      <w:pPr>
        <w:spacing w:after="0" w:line="170" w:lineRule="exact"/>
        <w:rPr>
          <w:rFonts w:ascii="Arial" w:cs="Arial" w:eastAsia="Arial" w:hAnsi="Arial"/>
          <w:sz w:val="18"/>
          <w:szCs w:val="18"/>
          <w:color w:val="auto"/>
        </w:rPr>
      </w:pPr>
    </w:p>
    <w:p>
      <w:pPr>
        <w:ind w:left="660" w:right="260" w:firstLine="645"/>
        <w:spacing w:after="0" w:line="277" w:lineRule="auto"/>
        <w:tabs>
          <w:tab w:leader="none" w:pos="196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change in the ownership of any shares of capital stock of Lessee or any Guarantor or any corporate change in Lessee or any Guarantor, except as otherwise expressly provided by Section 17;</w:t>
      </w:r>
    </w:p>
    <w:p>
      <w:pPr>
        <w:spacing w:after="0" w:line="170" w:lineRule="exact"/>
        <w:rPr>
          <w:rFonts w:ascii="Arial" w:cs="Arial" w:eastAsia="Arial" w:hAnsi="Arial"/>
          <w:sz w:val="18"/>
          <w:szCs w:val="18"/>
          <w:color w:val="auto"/>
        </w:rPr>
      </w:pPr>
    </w:p>
    <w:p>
      <w:pPr>
        <w:ind w:left="660" w:right="220" w:firstLine="645"/>
        <w:spacing w:after="0" w:line="277" w:lineRule="auto"/>
        <w:tabs>
          <w:tab w:leader="none" w:pos="196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recovery of judgment against Lessee, or by any levy of any writ or process of execution under any such judgment (except to the extent such recovery indefeasibly reduces the Liabilities);</w:t>
      </w:r>
    </w:p>
    <w:p>
      <w:pPr>
        <w:spacing w:after="0" w:line="170" w:lineRule="exact"/>
        <w:rPr>
          <w:rFonts w:ascii="Arial" w:cs="Arial" w:eastAsia="Arial" w:hAnsi="Arial"/>
          <w:sz w:val="18"/>
          <w:szCs w:val="18"/>
          <w:color w:val="auto"/>
        </w:rPr>
      </w:pPr>
    </w:p>
    <w:p>
      <w:pPr>
        <w:ind w:left="660" w:right="680" w:firstLine="645"/>
        <w:spacing w:after="0" w:line="277" w:lineRule="auto"/>
        <w:tabs>
          <w:tab w:leader="none" w:pos="197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legal characterization of the obligations created by the Lease and the other Operative Documents as a lease, a secured financing or otherwise;</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absence of any notice to, or knowledge of, Guarantors of the existence or occurrence of any of the foregoing clauses (A) through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(J); or</w:t>
      </w:r>
    </w:p>
    <w:p>
      <w:pPr>
        <w:spacing w:after="0" w:line="210" w:lineRule="exact"/>
        <w:rPr>
          <w:rFonts w:ascii="Arial" w:cs="Arial" w:eastAsia="Arial" w:hAnsi="Arial"/>
          <w:sz w:val="16"/>
          <w:szCs w:val="16"/>
          <w:color w:val="auto"/>
        </w:rPr>
      </w:pPr>
    </w:p>
    <w:p>
      <w:pPr>
        <w:ind w:left="660" w:right="160" w:firstLine="645"/>
        <w:spacing w:after="0" w:line="259" w:lineRule="auto"/>
        <w:tabs>
          <w:tab w:leader="none" w:pos="197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other occurrence or circumstance whatsoever, whether similar or dissimilar to the foregoing, and any other circumstance that might otherwise constitute a legal or equitable defense or discharge of the liabilities of a guarantor or surety or that might otherwise limit recourse against the Guarantors (other than full and indefeasible payment and performance of all of the Liabilities or as otherwise expressly permitted by Section 17).</w:t>
      </w:r>
    </w:p>
    <w:p>
      <w:pPr>
        <w:spacing w:after="0" w:line="187"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obligations of the Guarantors set forth herein constitute the full recourse obligations of the Guarantors enforceable against them on a joint and several basis to the full extent of all their respective assets and properties, notwithstanding any provision in the Lease or any other Operative Documents.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Each Guarantor waives any and all notice of the creation, renewal, extension or accrual of any of the Liabilities and notice of or proof of reliance by any Beneficiary upon this Guaranty or acceptance of this Guaranty, and the Liabilities, and any of them, shall conclusively be deemed to have been created, contracted or incurred in reliance upon this Guaranty; provided that the foregoing shall not constitute a waiver of any notice specifically required to be given to such Guarantor by any Beneficiary under any of the Operative Documents. Each Guarantor unconditionally waives, to the extent permitted by law:</w:t>
      </w:r>
    </w:p>
    <w:p>
      <w:pPr>
        <w:spacing w:after="0" w:line="2" w:lineRule="exact"/>
        <w:rPr>
          <w:sz w:val="20"/>
          <w:szCs w:val="20"/>
          <w:color w:val="auto"/>
        </w:rPr>
      </w:pPr>
    </w:p>
    <w:p>
      <w:pPr>
        <w:ind w:firstLine="8"/>
        <w:spacing w:after="0" w:line="292" w:lineRule="auto"/>
        <w:tabs>
          <w:tab w:leader="none" w:pos="24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acceptance of this Guaranty and proof of reliance by any Beneficiary hereon; (b) notice of any of the matters referred to in clauses (A) through (L) above (other than any notice specifically required to be given to such Guarantor by any Beneficiary under any of the Operative Documents), or any right to consent or assent to any thereof (except to the extent the consent of such Guarantor with respect thereto is specifically required under any of the Operative Documents); (c) all notices that may be required by statute, rule of law or otherwise, now or hereafter in effect, to preserve intact any rights against Guarantor, including, without limitation, any demand, presentment, protest, proof or notice of nonpayment under any Operative Document, and notice of default or any</w:t>
      </w:r>
    </w:p>
    <w:p>
      <w:pPr>
        <w:sectPr>
          <w:pgSz w:w="11900" w:h="16936" w:orient="portrait"/>
          <w:cols w:equalWidth="0" w:num="1">
            <w:col w:w="11420"/>
          </w:cols>
          <w:pgMar w:left="240" w:top="125" w:right="239" w:bottom="0" w:gutter="0" w:footer="0" w:header="0"/>
        </w:sectPr>
      </w:pPr>
    </w:p>
    <w:bookmarkStart w:id="62" w:name="page63"/>
    <w:bookmarkEnd w:id="62"/>
    <w:p>
      <w:pPr>
        <w:ind w:right="20"/>
        <w:spacing w:after="0" w:line="271" w:lineRule="auto"/>
        <w:rPr>
          <w:sz w:val="20"/>
          <w:szCs w:val="20"/>
          <w:color w:val="auto"/>
        </w:rPr>
      </w:pPr>
      <w:r>
        <w:rPr>
          <w:rFonts w:ascii="Arial" w:cs="Arial" w:eastAsia="Arial" w:hAnsi="Arial"/>
          <w:sz w:val="17"/>
          <w:szCs w:val="17"/>
          <w:color w:val="auto"/>
        </w:rPr>
        <w:t>failure on the part of Lessee to perform and comply with any covenant, agreement, term or condition of any Operative Document (in any such case, other than any notice specifically required to be given to such Guarantor by any Beneficiary under any of the Operative Documents); (d) any right to the enforcement, assertion or exercise against Lessee of any right, power, privilege or remedy conferred in any Operative Document or otherwise; (e) any requirement of diligence on the part of any Person; (f) any requirement of any Beneficiary to take any action whatsoever, to exhaust any remedies or to mitigate the damages resulting from a default by any Person under any Operative Document; (g) any notice of any sale, transfer or other disposition by any Person of any right under, title to or interest in any Operative Document or the Leased Property; and (h) any other circumstance whatsoever that might otherwise constitute a legal or equitable discharge, release or defense of a guarantor or surety, or that might otherwise limit recourse against any Guarantor (other than full and indefeasible payment and performance of all of the Liabilities or as otherwise expressly permitted by Section 17).</w:t>
      </w:r>
    </w:p>
    <w:p>
      <w:pPr>
        <w:spacing w:after="0" w:line="17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Each Guarantor agrees that this Guaranty shall be automatically reinstated if and to the extent that for any reason any payment under any Operative Document by or on behalf of itself or Lessee is rescinded or must be otherwise disgorged or restored by any Beneficiary whether as a result of any proceedings in bankruptcy or reorganization or otherwise.</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Each Guarantor further agrees that, without limiting the generality of this Guaranty, if an Event of Default shall have occurred and be continuing and any Beneficiary is prevented by Applicable Law from exercising its remedies under the Operative Documents, the Administrative Agent shall be entitled to receive hereunder from Guarantors, upon demand therefor, the sums which would have otherwise been due from Lessee to any such Beneficiary had such remedies been exercised.</w:t>
      </w:r>
    </w:p>
    <w:p>
      <w:pPr>
        <w:spacing w:after="0" w:line="18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Notwithstanding anything to the contrary herein, nothing contained in this Section 2 shall (i) prevent the assertion by any Guarantor or Lessee of any claim such Person may have against any Beneficiary by separate suit or proceedings or by compulsory counterclaim or (ii) constitute a waiver of any such claim, including, without limitation, any such claim arising from any breach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or non-compliance by any Beneficiary of any Operative Document or any term of any instrument or agreement referred to in clause (A) of the first paragraph of this Section 2.</w:t>
      </w:r>
    </w:p>
    <w:p>
      <w:pPr>
        <w:spacing w:after="0" w:line="170" w:lineRule="exact"/>
        <w:rPr>
          <w:sz w:val="20"/>
          <w:szCs w:val="20"/>
          <w:color w:val="auto"/>
        </w:rPr>
      </w:pPr>
    </w:p>
    <w:p>
      <w:pPr>
        <w:ind w:right="80" w:firstLine="824"/>
        <w:spacing w:after="0" w:line="268" w:lineRule="auto"/>
        <w:rPr>
          <w:sz w:val="20"/>
          <w:szCs w:val="20"/>
          <w:color w:val="auto"/>
        </w:rPr>
      </w:pPr>
      <w:r>
        <w:rPr>
          <w:rFonts w:ascii="Arial" w:cs="Arial" w:eastAsia="Arial" w:hAnsi="Arial"/>
          <w:sz w:val="17"/>
          <w:szCs w:val="17"/>
          <w:i w:val="1"/>
          <w:iCs w:val="1"/>
          <w:color w:val="auto"/>
        </w:rPr>
        <w:t xml:space="preserve">Section 3. Subordination of Subrogation. </w:t>
      </w:r>
      <w:r>
        <w:rPr>
          <w:rFonts w:ascii="Arial" w:cs="Arial" w:eastAsia="Arial" w:hAnsi="Arial"/>
          <w:sz w:val="17"/>
          <w:szCs w:val="17"/>
          <w:color w:val="auto"/>
        </w:rPr>
        <w:t>Until full and indefeasible payment and performance of all of the Liabilities or the termination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this Guaranty pursuant to Section 17(d), no Guarantor will exercise any rights with respect to any claim or other rights which it may now or hereafter acquire against Lessee arising from the existence, payment, performance or enforcement of such Guarantor’s obligations under this Guaranty or any other Operative Document, including any right of subrogation, reimbursement, contribution, exoneration, or indemnification, any right to participate in any claim or remedy of any Beneficiary against Lessee or any property or assets now or hereafter constituting part of the Collateral, whether or not such claim, remedy or right arises in equity, or under contract, statute or common law, including the right to take or receive from Lessee directly or indirectly, in cash or other property or by setoff or in any manner, payment or security on account of such claim or other rights (other than to file proofs of claims only if the obligation owing to each Beneficiary hereunder has been fully satisfied). If any amount shall be paid to any Guarantor in violation of the preceding sentence and the Liabilities shall not have been indefeasibly paid in cash or this Guaranty terminated pursuant to Section 17(d), such amount shall be deemed to have been paid to such Guarantor for the benefit of, and held in trust for, the Administrative Agent, for the benefit of the Beneficiaries, and shall forthwith be paid to the Administrative Agent to be credited and applied pursuant to the terms of the Operative Documents. Each Guarantor acknowledges that it will receive direct and indirect benefits from the financing arrangements contemplated by the Operative Documents and that the waiver set forth in this paragraph is knowingly made in contemplation of such benefits.</w:t>
      </w:r>
    </w:p>
    <w:p>
      <w:pPr>
        <w:spacing w:after="0" w:line="188"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Each Guarantor hereby absolutely, unconditionally and irrevocably waives and agrees not to assert or take advantage of any defense based upon an election of remedies by any Beneficiary, including an election to proceed by nonjudicial rather than judicial foreclosure, which destroys or impairs any right of subrogation of such Guarantor or the right of such Guarantor to proceed against any Person for reimbursement, or both.</w:t>
      </w:r>
    </w:p>
    <w:p>
      <w:pPr>
        <w:spacing w:after="0" w:line="166"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If all the Liabilities shall be paid indefeasibly in full or performed, Lessee, Lessor, Administrative Agent and/or the Lenders, as the case may be, will, at Guarantors’ request and expense, execute and deliver to Guarantors appropriate documents, without recourse and without warranty or representation, necessary to evidence the transfer by subrogation to Guarantors of an interest in the Liabilities resulting from such payment by Guarantors.</w:t>
      </w:r>
    </w:p>
    <w:p>
      <w:pPr>
        <w:spacing w:after="0" w:line="147" w:lineRule="exact"/>
        <w:rPr>
          <w:sz w:val="20"/>
          <w:szCs w:val="20"/>
          <w:color w:val="auto"/>
        </w:rPr>
      </w:pPr>
    </w:p>
    <w:p>
      <w:pPr>
        <w:ind w:right="20" w:firstLine="824"/>
        <w:spacing w:after="0" w:line="259" w:lineRule="auto"/>
        <w:rPr>
          <w:sz w:val="20"/>
          <w:szCs w:val="20"/>
          <w:color w:val="auto"/>
        </w:rPr>
      </w:pPr>
      <w:r>
        <w:rPr>
          <w:rFonts w:ascii="Arial" w:cs="Arial" w:eastAsia="Arial" w:hAnsi="Arial"/>
          <w:sz w:val="18"/>
          <w:szCs w:val="18"/>
          <w:i w:val="1"/>
          <w:iCs w:val="1"/>
          <w:color w:val="auto"/>
        </w:rPr>
        <w:t>Section 4. Reasonableness and Effect of Waivers</w:t>
      </w:r>
      <w:r>
        <w:rPr>
          <w:rFonts w:ascii="Arial" w:cs="Arial" w:eastAsia="Arial" w:hAnsi="Arial"/>
          <w:sz w:val="18"/>
          <w:szCs w:val="18"/>
          <w:color w:val="auto"/>
        </w:rPr>
        <w:t>. Each Guarantor warrants and agrees that each of the waivers set forth in this Guaranty is</w:t>
      </w:r>
      <w:r>
        <w:rPr>
          <w:rFonts w:ascii="Arial" w:cs="Arial" w:eastAsia="Arial" w:hAnsi="Arial"/>
          <w:sz w:val="18"/>
          <w:szCs w:val="18"/>
          <w:i w:val="1"/>
          <w:iCs w:val="1"/>
          <w:color w:val="auto"/>
        </w:rPr>
        <w:t xml:space="preserve"> </w:t>
      </w:r>
      <w:r>
        <w:rPr>
          <w:rFonts w:ascii="Arial" w:cs="Arial" w:eastAsia="Arial" w:hAnsi="Arial"/>
          <w:sz w:val="18"/>
          <w:szCs w:val="18"/>
          <w:color w:val="auto"/>
        </w:rPr>
        <w:t>made with full knowledge of its significance and consequences and that, under the circumstances, the waivers are reasonable and not contrary to public policy or law. If any of such waivers are determined to be contrary to any Applicable Law or public policy, such waivers shall be effective only to the maximum extent permitted by law.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824"/>
        <w:spacing w:after="0" w:line="273" w:lineRule="auto"/>
        <w:rPr>
          <w:sz w:val="20"/>
          <w:szCs w:val="20"/>
          <w:color w:val="auto"/>
        </w:rPr>
      </w:pPr>
      <w:r>
        <w:rPr>
          <w:rFonts w:ascii="Arial" w:cs="Arial" w:eastAsia="Arial" w:hAnsi="Arial"/>
          <w:sz w:val="17"/>
          <w:szCs w:val="17"/>
          <w:i w:val="1"/>
          <w:iCs w:val="1"/>
          <w:color w:val="auto"/>
        </w:rPr>
        <w:t>Section 5. Transfers by Beneficiaries</w:t>
      </w:r>
      <w:r>
        <w:rPr>
          <w:rFonts w:ascii="Arial" w:cs="Arial" w:eastAsia="Arial" w:hAnsi="Arial"/>
          <w:sz w:val="17"/>
          <w:szCs w:val="17"/>
          <w:color w:val="auto"/>
        </w:rPr>
        <w:t>. Each Beneficiary may, from time to time, whether before or after any discontinuance of this Guaranty,</w:t>
      </w:r>
      <w:r>
        <w:rPr>
          <w:rFonts w:ascii="Arial" w:cs="Arial" w:eastAsia="Arial" w:hAnsi="Arial"/>
          <w:sz w:val="17"/>
          <w:szCs w:val="17"/>
          <w:i w:val="1"/>
          <w:iCs w:val="1"/>
          <w:color w:val="auto"/>
        </w:rPr>
        <w:t xml:space="preserve"> </w:t>
      </w:r>
      <w:r>
        <w:rPr>
          <w:rFonts w:ascii="Arial" w:cs="Arial" w:eastAsia="Arial" w:hAnsi="Arial"/>
          <w:sz w:val="17"/>
          <w:szCs w:val="17"/>
          <w:color w:val="auto"/>
        </w:rPr>
        <w:t>at its sole discretion and without notice to Guarantors, assign or transfer any or all of its portion of the Liabilities or any interest therein in accordance with the terms and conditions of the Operative Documents; and, notwithstanding any such assignment or transfer or any subsequent assignment or transfer thereof, such Liabilities shall be and remain Liabilities for the purposes of this Guaranty, and each and every immediate and successive permitted assignee or transferee of any of the Liabilities or of any interest therein shall, to the extent of such assignee’s or transferee’s interest in the Liabilities, be entitled to the benefits of this Guaranty to the same extent as if such assignee or transferee were such Beneficiary.</w:t>
      </w:r>
    </w:p>
    <w:p>
      <w:pPr>
        <w:spacing w:after="0" w:line="178" w:lineRule="exact"/>
        <w:rPr>
          <w:sz w:val="20"/>
          <w:szCs w:val="20"/>
          <w:color w:val="auto"/>
        </w:rPr>
      </w:pPr>
    </w:p>
    <w:p>
      <w:pPr>
        <w:ind w:firstLine="824"/>
        <w:spacing w:after="0" w:line="279" w:lineRule="auto"/>
        <w:rPr>
          <w:sz w:val="20"/>
          <w:szCs w:val="20"/>
          <w:color w:val="auto"/>
        </w:rPr>
      </w:pPr>
      <w:r>
        <w:rPr>
          <w:rFonts w:ascii="Arial" w:cs="Arial" w:eastAsia="Arial" w:hAnsi="Arial"/>
          <w:sz w:val="17"/>
          <w:szCs w:val="17"/>
          <w:i w:val="1"/>
          <w:iCs w:val="1"/>
          <w:color w:val="auto"/>
        </w:rPr>
        <w:t>Section 6. No Waiver by Beneficiaries</w:t>
      </w:r>
      <w:r>
        <w:rPr>
          <w:rFonts w:ascii="Arial" w:cs="Arial" w:eastAsia="Arial" w:hAnsi="Arial"/>
          <w:sz w:val="17"/>
          <w:szCs w:val="17"/>
          <w:color w:val="auto"/>
        </w:rPr>
        <w:t>. No delay in the exercise of any right or remedy shall operate as a waiver thereof, and no single or</w:t>
      </w:r>
      <w:r>
        <w:rPr>
          <w:rFonts w:ascii="Arial" w:cs="Arial" w:eastAsia="Arial" w:hAnsi="Arial"/>
          <w:sz w:val="17"/>
          <w:szCs w:val="17"/>
          <w:i w:val="1"/>
          <w:iCs w:val="1"/>
          <w:color w:val="auto"/>
        </w:rPr>
        <w:t xml:space="preserve"> </w:t>
      </w:r>
      <w:r>
        <w:rPr>
          <w:rFonts w:ascii="Arial" w:cs="Arial" w:eastAsia="Arial" w:hAnsi="Arial"/>
          <w:sz w:val="17"/>
          <w:szCs w:val="17"/>
          <w:color w:val="auto"/>
        </w:rPr>
        <w:t>partial exercise of any right or remedy shall preclude other or further exercise thereof or the exercise of any other right or remedy. The rights and remedies provided in this Guaranty shall be cumulative and not exclusive of any rights or remedies provided by Applicable Law. Each Guarantor hereby acknowledges that there are no conditions to the effectiveness of this Guaranty, other than the occurrence of the Document Closing Date.</w:t>
      </w:r>
    </w:p>
    <w:p>
      <w:pPr>
        <w:spacing w:after="0" w:line="171" w:lineRule="exact"/>
        <w:rPr>
          <w:sz w:val="20"/>
          <w:szCs w:val="20"/>
          <w:color w:val="auto"/>
        </w:rPr>
      </w:pPr>
    </w:p>
    <w:p>
      <w:pPr>
        <w:ind w:right="180" w:firstLine="810"/>
        <w:spacing w:after="0" w:line="264" w:lineRule="auto"/>
        <w:rPr>
          <w:sz w:val="20"/>
          <w:szCs w:val="20"/>
          <w:color w:val="auto"/>
        </w:rPr>
      </w:pPr>
      <w:r>
        <w:rPr>
          <w:rFonts w:ascii="Arial" w:cs="Arial" w:eastAsia="Arial" w:hAnsi="Arial"/>
          <w:sz w:val="18"/>
          <w:szCs w:val="18"/>
          <w:i w:val="1"/>
          <w:iCs w:val="1"/>
          <w:color w:val="auto"/>
        </w:rPr>
        <w:t xml:space="preserve">Section 7. Guarantor Representations and Warranties. </w:t>
      </w:r>
      <w:r>
        <w:rPr>
          <w:rFonts w:ascii="Arial" w:cs="Arial" w:eastAsia="Arial" w:hAnsi="Arial"/>
          <w:sz w:val="18"/>
          <w:szCs w:val="18"/>
          <w:color w:val="auto"/>
        </w:rPr>
        <w:t>Parent Guarantor, on behalf of itself and its Subsidiaries, and as applicable, each</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Guarantor (as to itself), represents and warrants to the Administrative Agent and each of the Participants as of the Document Closing Date, other than with respect to Disclosed Matters, that:</w:t>
      </w:r>
    </w:p>
    <w:p>
      <w:pPr>
        <w:sectPr>
          <w:pgSz w:w="11900" w:h="16838" w:orient="portrait"/>
          <w:cols w:equalWidth="0" w:num="1">
            <w:col w:w="11420"/>
          </w:cols>
          <w:pgMar w:left="240" w:top="125" w:right="239" w:bottom="0" w:gutter="0" w:footer="0" w:header="0"/>
        </w:sectPr>
      </w:pPr>
    </w:p>
    <w:bookmarkStart w:id="63" w:name="page64"/>
    <w:bookmarkEnd w:id="63"/>
    <w:p>
      <w:pPr>
        <w:spacing w:after="0" w:line="137" w:lineRule="exact"/>
        <w:rPr>
          <w:sz w:val="20"/>
          <w:szCs w:val="20"/>
          <w:color w:val="auto"/>
        </w:rPr>
      </w:pPr>
    </w:p>
    <w:p>
      <w:pPr>
        <w:ind w:right="20" w:firstLine="1330"/>
        <w:spacing w:after="0" w:line="285" w:lineRule="auto"/>
        <w:tabs>
          <w:tab w:leader="none" w:pos="1972"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Organization; Powers; Subsidiaries</w:t>
      </w:r>
      <w:r>
        <w:rPr>
          <w:rFonts w:ascii="Arial" w:cs="Arial" w:eastAsia="Arial" w:hAnsi="Arial"/>
          <w:sz w:val="16"/>
          <w:szCs w:val="16"/>
          <w:color w:val="auto"/>
        </w:rPr>
        <w:t>. Each Guarantor and its Material Subsidiaries is duly organized or incorporated, as the case</w:t>
      </w:r>
      <w:r>
        <w:rPr>
          <w:rFonts w:ascii="Arial" w:cs="Arial" w:eastAsia="Arial" w:hAnsi="Arial"/>
          <w:sz w:val="16"/>
          <w:szCs w:val="16"/>
          <w:i w:val="1"/>
          <w:iCs w:val="1"/>
          <w:color w:val="auto"/>
        </w:rPr>
        <w:t xml:space="preserve"> </w:t>
      </w:r>
      <w:r>
        <w:rPr>
          <w:rFonts w:ascii="Arial" w:cs="Arial" w:eastAsia="Arial" w:hAnsi="Arial"/>
          <w:sz w:val="16"/>
          <w:szCs w:val="16"/>
          <w:color w:val="auto"/>
        </w:rPr>
        <w:t>may be, validly existing and in good standing (to the extent the concept is applicable in such jurisdiction) under the laws of the jurisdiction of its organization, has all requisite organizational power and authority to carry on its business as now conducted and, except where the failure to do so could not reasonably be expected to result in a Material Adverse Effect, is qualified to do business in, and (to the extent the concept is applicable in such jurisdiction) is in good standing in, every jurisdiction where its ownership, lease or operation of properties or the conduct of its business requires such qualification.</w:t>
      </w:r>
    </w:p>
    <w:p>
      <w:pPr>
        <w:spacing w:after="0" w:line="2" w:lineRule="exact"/>
        <w:rPr>
          <w:rFonts w:ascii="Arial" w:cs="Arial" w:eastAsia="Arial" w:hAnsi="Arial"/>
          <w:sz w:val="16"/>
          <w:szCs w:val="16"/>
          <w:color w:val="auto"/>
        </w:rPr>
      </w:pPr>
    </w:p>
    <w:p>
      <w:pPr>
        <w:ind w:right="20"/>
        <w:spacing w:after="0" w:line="287" w:lineRule="auto"/>
        <w:rPr>
          <w:rFonts w:ascii="Arial" w:cs="Arial" w:eastAsia="Arial" w:hAnsi="Arial"/>
          <w:sz w:val="16"/>
          <w:szCs w:val="16"/>
          <w:color w:val="auto"/>
        </w:rPr>
      </w:pPr>
      <w:r>
        <w:rPr>
          <w:rFonts w:ascii="Arial" w:cs="Arial" w:eastAsia="Arial" w:hAnsi="Arial"/>
          <w:sz w:val="16"/>
          <w:szCs w:val="16"/>
          <w:color w:val="auto"/>
        </w:rPr>
        <w:t>Schedule 7(a) hereto identifies each Subsidiary as of the Document Closing Date, noting whether such Subsidiary is a Material Domestic Subsidiary and/or a Material Subsidiary as of the Document Closing Date, the jurisdiction of its incorporation or organization, as the case may be, the percentage of issued and outstanding shares of each class of its capital stock or other equity interests owned by the Parent Guarantor and the other Subsidiaries and, if such percentage is not 100% (excluding (i) directors’ qualifying shares and (ii) shares issued to foreign nationals to the extent required by applicable law), a description of each class issued and outstanding. All of the outstanding shares of capital stock and other equity interests of the Lessee and each Material Subsidiary are validly issued and outstanding and fully paid and nonassessable and all such shares and other equity interests indicated on Schedule 7(a) as owned by the Parent Guarantor or another Subsidiary are owned, beneficially and of record, by the Parent Guarantor or any Subsidiary free and clear of all Liens, other than Liens permitted pursuant to Section 9(b). Except for Disclosed Matters or as set forth on Schedule 7(a), as of the Document Closing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there are no outstanding commitments or other obligations of the Parent Guarantor, Lessee or any Material Subsidiary to issue, and no options, warrants or other rights of any Person to acquire, any shares of any class of capital stock or other equity interests of Lessee or any Material Subsidiary.</w:t>
      </w:r>
    </w:p>
    <w:p>
      <w:pPr>
        <w:spacing w:after="0" w:line="124" w:lineRule="exact"/>
        <w:rPr>
          <w:sz w:val="20"/>
          <w:szCs w:val="20"/>
          <w:color w:val="auto"/>
        </w:rPr>
      </w:pPr>
    </w:p>
    <w:p>
      <w:pPr>
        <w:ind w:right="200" w:firstLine="1330"/>
        <w:spacing w:after="0" w:line="286" w:lineRule="auto"/>
        <w:tabs>
          <w:tab w:leader="none" w:pos="1951" w:val="left"/>
        </w:tabs>
        <w:numPr>
          <w:ilvl w:val="2"/>
          <w:numId w:val="122"/>
        </w:numPr>
        <w:rPr>
          <w:rFonts w:ascii="Arial" w:cs="Arial" w:eastAsia="Arial" w:hAnsi="Arial"/>
          <w:sz w:val="16"/>
          <w:szCs w:val="16"/>
          <w:color w:val="auto"/>
        </w:rPr>
      </w:pPr>
      <w:r>
        <w:rPr>
          <w:rFonts w:ascii="Arial" w:cs="Arial" w:eastAsia="Arial" w:hAnsi="Arial"/>
          <w:sz w:val="16"/>
          <w:szCs w:val="16"/>
          <w:i w:val="1"/>
          <w:iCs w:val="1"/>
          <w:color w:val="auto"/>
        </w:rPr>
        <w:t xml:space="preserve">Authorization; Enforceability. </w:t>
      </w:r>
      <w:r>
        <w:rPr>
          <w:rFonts w:ascii="Arial" w:cs="Arial" w:eastAsia="Arial" w:hAnsi="Arial"/>
          <w:sz w:val="16"/>
          <w:szCs w:val="16"/>
          <w:color w:val="auto"/>
        </w:rPr>
        <w:t>The Operative Documents are within each Guarantor’s organizational powers and have been duly</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authorized by all necessary organizational actions and, if required, actions by equity holders. The Operative Documents to which any Guarantor is a party have been duly executed and delivered by such Guarantor and constitute a legal, valid and binding obligation of such Guarantor, enforceable in accordance with its terms, subject to (i) applicable bankruptcy, insolvency, examinership, reorganization, moratorium or other laws affecting creditors’ rights generally,</w:t>
      </w:r>
    </w:p>
    <w:p>
      <w:pPr>
        <w:spacing w:after="0" w:line="1" w:lineRule="exact"/>
        <w:rPr>
          <w:rFonts w:ascii="Arial" w:cs="Arial" w:eastAsia="Arial" w:hAnsi="Arial"/>
          <w:sz w:val="16"/>
          <w:szCs w:val="16"/>
          <w:color w:val="auto"/>
        </w:rPr>
      </w:pPr>
    </w:p>
    <w:p>
      <w:pPr>
        <w:ind w:right="160" w:firstLine="8"/>
        <w:spacing w:after="0" w:line="261" w:lineRule="auto"/>
        <w:tabs>
          <w:tab w:leader="none" w:pos="26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general principles of equity, regardless of whether considered in a proceeding in equity or at law and (iii) requirements of reasonableness, good faith and fair dealing.</w:t>
      </w:r>
    </w:p>
    <w:p>
      <w:pPr>
        <w:spacing w:after="0" w:line="183" w:lineRule="exact"/>
        <w:rPr>
          <w:rFonts w:ascii="Arial" w:cs="Arial" w:eastAsia="Arial" w:hAnsi="Arial"/>
          <w:sz w:val="18"/>
          <w:szCs w:val="18"/>
          <w:color w:val="auto"/>
        </w:rPr>
      </w:pPr>
    </w:p>
    <w:p>
      <w:pPr>
        <w:ind w:right="20" w:firstLine="1332"/>
        <w:spacing w:after="0" w:line="270" w:lineRule="auto"/>
        <w:tabs>
          <w:tab w:leader="none" w:pos="1955" w:val="left"/>
        </w:tabs>
        <w:numPr>
          <w:ilvl w:val="1"/>
          <w:numId w:val="123"/>
        </w:numPr>
        <w:rPr>
          <w:rFonts w:ascii="Arial" w:cs="Arial" w:eastAsia="Arial" w:hAnsi="Arial"/>
          <w:sz w:val="17"/>
          <w:szCs w:val="17"/>
          <w:color w:val="auto"/>
        </w:rPr>
      </w:pPr>
      <w:r>
        <w:rPr>
          <w:rFonts w:ascii="Arial" w:cs="Arial" w:eastAsia="Arial" w:hAnsi="Arial"/>
          <w:sz w:val="17"/>
          <w:szCs w:val="17"/>
          <w:i w:val="1"/>
          <w:iCs w:val="1"/>
          <w:color w:val="auto"/>
        </w:rPr>
        <w:t>Governmental Approvals; No Conflicts</w:t>
      </w:r>
      <w:r>
        <w:rPr>
          <w:rFonts w:ascii="Arial" w:cs="Arial" w:eastAsia="Arial" w:hAnsi="Arial"/>
          <w:sz w:val="17"/>
          <w:szCs w:val="17"/>
          <w:color w:val="auto"/>
        </w:rPr>
        <w:t>. The execution, delivery and performance by each Guarantor of the Operative Documents</w:t>
      </w:r>
      <w:r>
        <w:rPr>
          <w:rFonts w:ascii="Arial" w:cs="Arial" w:eastAsia="Arial" w:hAnsi="Arial"/>
          <w:sz w:val="17"/>
          <w:szCs w:val="17"/>
          <w:i w:val="1"/>
          <w:iCs w:val="1"/>
          <w:color w:val="auto"/>
        </w:rPr>
        <w:t xml:space="preserve"> </w:t>
      </w:r>
      <w:r>
        <w:rPr>
          <w:rFonts w:ascii="Arial" w:cs="Arial" w:eastAsia="Arial" w:hAnsi="Arial"/>
          <w:sz w:val="17"/>
          <w:szCs w:val="17"/>
          <w:color w:val="auto"/>
        </w:rPr>
        <w:t>to which such Guarantor is a party (i) do not require any consent or approval of, registration or filing with, or any other action by, any Governmental Authority, except such as have been, or will be by the time required, obtained or made and are, or will be by the time required, in full force and effect, (ii) will not violate in any material respect any applicable material law or regulation or the charter, by-laws or other organizational documents of such Guarantor or any material order of any Governmental Authority binding upon any Guarantor or its assets, (iii) will not violate in any material respect or result in a default under any indenture, material agreement or other material instrument binding upon such Guarantor or any of its Material Subsidiaries or its assets, or give rise to a right thereunder to require any payment to be made by any Guarantor or any of its Material Subsidiaries, except, in the case of this clause (iii), for any such violations, defaults or rights that could not reasonably be expected to result in a Material Adverse Effect, and (iv) will not result in the creation or imposition of any Lien on any asset of such Guarantor or any of its Material Subsidiaries, other than Permitted Liens and requirements (if any) to provide cash collateral or deposits under any of the Operative Documents.</w:t>
      </w:r>
    </w:p>
    <w:p>
      <w:pPr>
        <w:spacing w:after="0" w:line="177" w:lineRule="exact"/>
        <w:rPr>
          <w:rFonts w:ascii="Arial" w:cs="Arial" w:eastAsia="Arial" w:hAnsi="Arial"/>
          <w:sz w:val="17"/>
          <w:szCs w:val="17"/>
          <w:color w:val="auto"/>
        </w:rPr>
      </w:pPr>
    </w:p>
    <w:p>
      <w:pPr>
        <w:ind w:right="120" w:firstLine="1332"/>
        <w:spacing w:after="0" w:line="257" w:lineRule="auto"/>
        <w:tabs>
          <w:tab w:leader="none" w:pos="1952" w:val="left"/>
        </w:tabs>
        <w:numPr>
          <w:ilvl w:val="2"/>
          <w:numId w:val="123"/>
        </w:numPr>
        <w:rPr>
          <w:rFonts w:ascii="Arial" w:cs="Arial" w:eastAsia="Arial" w:hAnsi="Arial"/>
          <w:sz w:val="18"/>
          <w:szCs w:val="18"/>
          <w:color w:val="auto"/>
        </w:rPr>
      </w:pPr>
      <w:r>
        <w:rPr>
          <w:rFonts w:ascii="Arial" w:cs="Arial" w:eastAsia="Arial" w:hAnsi="Arial"/>
          <w:sz w:val="18"/>
          <w:szCs w:val="18"/>
          <w:i w:val="1"/>
          <w:iCs w:val="1"/>
          <w:color w:val="auto"/>
        </w:rPr>
        <w:t>Financial Condition; No Material Adverse Change</w:t>
      </w:r>
      <w:r>
        <w:rPr>
          <w:rFonts w:ascii="Arial" w:cs="Arial" w:eastAsia="Arial" w:hAnsi="Arial"/>
          <w:sz w:val="18"/>
          <w:szCs w:val="18"/>
          <w:color w:val="auto"/>
        </w:rPr>
        <w:t>. (i) The Parent Guarantor has heretofore furnished to the Participants its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 and statements of operations, stockholders equity and cash flows as of and for the fiscal quarter ended September 30, 2016. Such financial statements present fairly, in all material respects, the financial position and results of operations and cash flows of the Parent Guarantor and its consolidated Subsidiaries as of such dates and for such periods in accordance with GAAP, subject to normal year-end audit adjustments and the absence of footnotes.</w:t>
      </w:r>
    </w:p>
    <w:p>
      <w:pPr>
        <w:spacing w:after="0" w:line="188" w:lineRule="exact"/>
        <w:rPr>
          <w:rFonts w:ascii="Arial" w:cs="Arial" w:eastAsia="Arial" w:hAnsi="Arial"/>
          <w:sz w:val="18"/>
          <w:szCs w:val="18"/>
          <w:color w:val="auto"/>
        </w:rPr>
      </w:pPr>
    </w:p>
    <w:p>
      <w:pPr>
        <w:ind w:left="660" w:right="340" w:firstLine="645"/>
        <w:spacing w:after="0" w:line="342" w:lineRule="auto"/>
        <w:tabs>
          <w:tab w:leader="none" w:pos="1987"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As of the Document Closing Date and excluding any Disclosed Matters, since September 30, 2016, there has been no material adverse change in the business, assets, operations or financial condition of the Parent Guarantor and its Subsidiaries, taken as a whole.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32"/>
        <w:spacing w:after="0" w:line="259" w:lineRule="auto"/>
        <w:tabs>
          <w:tab w:leader="none" w:pos="1955"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 xml:space="preserve">Properties. </w:t>
      </w:r>
      <w:r>
        <w:rPr>
          <w:rFonts w:ascii="Arial" w:cs="Arial" w:eastAsia="Arial" w:hAnsi="Arial"/>
          <w:sz w:val="18"/>
          <w:szCs w:val="18"/>
          <w:color w:val="auto"/>
        </w:rPr>
        <w:t>(i) Except for Liens permitted pursuant to Section 9(b), each of the Parent Guarantor and its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Lessee) has good title to, or (to the knowledge of the Parent Guarantor) valid leasehold interests in, all its real and personal property (other than intellectual property, which is subject to Section 7(e)(ii)) material to its business, except as could not reasonably be expected to result in a Material Adverse Effect.</w:t>
      </w:r>
    </w:p>
    <w:p>
      <w:pPr>
        <w:spacing w:after="0" w:line="186" w:lineRule="exact"/>
        <w:rPr>
          <w:rFonts w:ascii="Arial" w:cs="Arial" w:eastAsia="Arial" w:hAnsi="Arial"/>
          <w:sz w:val="18"/>
          <w:szCs w:val="18"/>
          <w:color w:val="auto"/>
        </w:rPr>
      </w:pPr>
    </w:p>
    <w:p>
      <w:pPr>
        <w:ind w:left="660" w:right="80" w:firstLine="645"/>
        <w:spacing w:after="0" w:line="257" w:lineRule="auto"/>
        <w:tabs>
          <w:tab w:leader="none" w:pos="198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Except for Disclosed Matters or as could not reasonably be expected to result in a Material Adverse Effect, (A) each of the Parent Guarantor and its Subsidiaries (including the Lessee) owns or is licensed to use (subject to the knowledge-qualified infringement representation in this Section 7(e)) all trademarks, trade names, copyrights, patents and other intellectual property material to its business, and (B) the use thereof by the Parent Guarantor and its Subsidiaries (including the Lessee), to the Parent Guarantor’s knowledge, does not infringe upon the rights of any other Person.</w:t>
      </w:r>
    </w:p>
    <w:p>
      <w:pPr>
        <w:spacing w:after="0" w:line="188" w:lineRule="exact"/>
        <w:rPr>
          <w:rFonts w:ascii="Arial" w:cs="Arial" w:eastAsia="Arial" w:hAnsi="Arial"/>
          <w:sz w:val="18"/>
          <w:szCs w:val="18"/>
          <w:color w:val="auto"/>
        </w:rPr>
      </w:pPr>
    </w:p>
    <w:p>
      <w:pPr>
        <w:ind w:right="40" w:firstLine="1359"/>
        <w:spacing w:after="0" w:line="279" w:lineRule="auto"/>
        <w:tabs>
          <w:tab w:leader="none" w:pos="1949" w:val="left"/>
        </w:tabs>
        <w:numPr>
          <w:ilvl w:val="1"/>
          <w:numId w:val="126"/>
        </w:numPr>
        <w:rPr>
          <w:rFonts w:ascii="Arial" w:cs="Arial" w:eastAsia="Arial" w:hAnsi="Arial"/>
          <w:sz w:val="17"/>
          <w:szCs w:val="17"/>
          <w:color w:val="auto"/>
        </w:rPr>
      </w:pPr>
      <w:r>
        <w:rPr>
          <w:rFonts w:ascii="Arial" w:cs="Arial" w:eastAsia="Arial" w:hAnsi="Arial"/>
          <w:sz w:val="17"/>
          <w:szCs w:val="17"/>
          <w:i w:val="1"/>
          <w:iCs w:val="1"/>
          <w:color w:val="auto"/>
        </w:rPr>
        <w:t>Litigation; Environmental Matters</w:t>
      </w:r>
      <w:r>
        <w:rPr>
          <w:rFonts w:ascii="Arial" w:cs="Arial" w:eastAsia="Arial" w:hAnsi="Arial"/>
          <w:sz w:val="17"/>
          <w:szCs w:val="17"/>
          <w:color w:val="auto"/>
        </w:rPr>
        <w:t>. (i) As of the Document Closing Date and except for Disclosed Matters, there are no actions,</w:t>
      </w:r>
      <w:r>
        <w:rPr>
          <w:rFonts w:ascii="Arial" w:cs="Arial" w:eastAsia="Arial" w:hAnsi="Arial"/>
          <w:sz w:val="17"/>
          <w:szCs w:val="17"/>
          <w:i w:val="1"/>
          <w:iCs w:val="1"/>
          <w:color w:val="auto"/>
        </w:rPr>
        <w:t xml:space="preserve"> </w:t>
      </w:r>
      <w:r>
        <w:rPr>
          <w:rFonts w:ascii="Arial" w:cs="Arial" w:eastAsia="Arial" w:hAnsi="Arial"/>
          <w:sz w:val="17"/>
          <w:szCs w:val="17"/>
          <w:color w:val="auto"/>
        </w:rPr>
        <w:t>suits, proceedings or investigations by or before any arbitrator or Governmental Authority pending against or, to the knowledge of the Parent Guarantor, threatened in writing against or affecting the Parent Guarantor or any of its Subsidiaries (including the Lessee) (A) that could reasonably be expected to result in a Material Adverse Effect or (B) that involve this Guaranty, the Operative Documents or the Overall Transaction.</w:t>
      </w:r>
    </w:p>
    <w:p>
      <w:pPr>
        <w:spacing w:after="0" w:line="171" w:lineRule="exact"/>
        <w:rPr>
          <w:sz w:val="20"/>
          <w:szCs w:val="20"/>
          <w:color w:val="auto"/>
        </w:rPr>
      </w:pPr>
    </w:p>
    <w:p>
      <w:pPr>
        <w:ind w:left="660" w:firstLine="645"/>
        <w:spacing w:after="0" w:line="286" w:lineRule="auto"/>
        <w:tabs>
          <w:tab w:leader="none" w:pos="1987" w:val="left"/>
        </w:tabs>
        <w:numPr>
          <w:ilvl w:val="1"/>
          <w:numId w:val="127"/>
        </w:numPr>
        <w:rPr>
          <w:rFonts w:ascii="Arial" w:cs="Arial" w:eastAsia="Arial" w:hAnsi="Arial"/>
          <w:sz w:val="16"/>
          <w:szCs w:val="16"/>
          <w:color w:val="auto"/>
        </w:rPr>
      </w:pPr>
      <w:r>
        <w:rPr>
          <w:rFonts w:ascii="Arial" w:cs="Arial" w:eastAsia="Arial" w:hAnsi="Arial"/>
          <w:sz w:val="16"/>
          <w:szCs w:val="16"/>
          <w:color w:val="auto"/>
        </w:rPr>
        <w:t>Except with respect to Disclosed Matters and other matters that could not reasonably be expected to result in a Material Adverse Effect (and other than with respect to the Site or Leased Property, which is subject to Section 7(p)), the Parent Guarantor and its Subsidiaries (including the Lessee) (A) are in compliance with all applicable Environmental Laws (which compliance includes possession of and compliance with all permits, licenses or other approvals required under applicable Environmental Laws), (B) are not subject to any Environmental Liability or</w:t>
      </w:r>
    </w:p>
    <w:p>
      <w:pPr>
        <w:spacing w:after="0" w:line="1" w:lineRule="exact"/>
        <w:rPr>
          <w:rFonts w:ascii="Arial" w:cs="Arial" w:eastAsia="Arial" w:hAnsi="Arial"/>
          <w:sz w:val="16"/>
          <w:szCs w:val="16"/>
          <w:color w:val="auto"/>
        </w:rPr>
      </w:pPr>
    </w:p>
    <w:p>
      <w:pPr>
        <w:ind w:left="940" w:hanging="284"/>
        <w:spacing w:after="0"/>
        <w:tabs>
          <w:tab w:leader="none" w:pos="9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have not received written notice of any claim with respect to any Environmental Liability.</w:t>
      </w:r>
    </w:p>
    <w:p>
      <w:pPr>
        <w:spacing w:after="0" w:line="210" w:lineRule="exact"/>
        <w:rPr>
          <w:rFonts w:ascii="Arial" w:cs="Arial" w:eastAsia="Arial" w:hAnsi="Arial"/>
          <w:sz w:val="18"/>
          <w:szCs w:val="18"/>
          <w:color w:val="auto"/>
        </w:rPr>
      </w:pPr>
    </w:p>
    <w:p>
      <w:pPr>
        <w:ind w:right="160" w:firstLine="1332"/>
        <w:spacing w:after="0" w:line="342" w:lineRule="auto"/>
        <w:tabs>
          <w:tab w:leader="none" w:pos="1965" w:val="left"/>
        </w:tabs>
        <w:numPr>
          <w:ilvl w:val="2"/>
          <w:numId w:val="128"/>
        </w:numPr>
        <w:rPr>
          <w:rFonts w:ascii="Arial" w:cs="Arial" w:eastAsia="Arial" w:hAnsi="Arial"/>
          <w:sz w:val="16"/>
          <w:szCs w:val="16"/>
          <w:color w:val="auto"/>
        </w:rPr>
      </w:pPr>
      <w:r>
        <w:rPr>
          <w:rFonts w:ascii="Arial" w:cs="Arial" w:eastAsia="Arial" w:hAnsi="Arial"/>
          <w:sz w:val="16"/>
          <w:szCs w:val="16"/>
          <w:i w:val="1"/>
          <w:iCs w:val="1"/>
          <w:color w:val="auto"/>
        </w:rPr>
        <w:t>Compliance with Laws</w:t>
      </w:r>
      <w:r>
        <w:rPr>
          <w:rFonts w:ascii="Arial" w:cs="Arial" w:eastAsia="Arial" w:hAnsi="Arial"/>
          <w:sz w:val="16"/>
          <w:szCs w:val="16"/>
          <w:color w:val="auto"/>
        </w:rPr>
        <w:t>. Each of the Parent Guarantor and its Subsidiaries (including the Lessee) is in compliance with all laws,</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and orders of any Governmental Authority applicable to it or its property, except (i) for Disclosed Matters or (ii) where the failure to do so could</w:t>
      </w:r>
    </w:p>
    <w:p>
      <w:pPr>
        <w:sectPr>
          <w:pgSz w:w="11900" w:h="16975" w:orient="portrait"/>
          <w:cols w:equalWidth="0" w:num="1">
            <w:col w:w="11420"/>
          </w:cols>
          <w:pgMar w:left="240" w:top="125" w:right="239" w:bottom="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not reasonably be expected to result in a Material Adverse Effect.</w:t>
      </w:r>
    </w:p>
    <w:p>
      <w:pPr>
        <w:spacing w:after="0" w:line="225" w:lineRule="exact"/>
        <w:rPr>
          <w:sz w:val="20"/>
          <w:szCs w:val="20"/>
          <w:color w:val="auto"/>
        </w:rPr>
      </w:pPr>
    </w:p>
    <w:p>
      <w:pPr>
        <w:ind w:right="460" w:firstLine="1332"/>
        <w:spacing w:after="0" w:line="342" w:lineRule="auto"/>
        <w:tabs>
          <w:tab w:leader="none" w:pos="1952" w:val="left"/>
        </w:tabs>
        <w:numPr>
          <w:ilvl w:val="1"/>
          <w:numId w:val="129"/>
        </w:numPr>
        <w:rPr>
          <w:rFonts w:ascii="Arial" w:cs="Arial" w:eastAsia="Arial" w:hAnsi="Arial"/>
          <w:sz w:val="16"/>
          <w:szCs w:val="16"/>
          <w:color w:val="auto"/>
        </w:rPr>
      </w:pPr>
      <w:r>
        <w:rPr>
          <w:rFonts w:ascii="Arial" w:cs="Arial" w:eastAsia="Arial" w:hAnsi="Arial"/>
          <w:sz w:val="16"/>
          <w:szCs w:val="16"/>
          <w:i w:val="1"/>
          <w:iCs w:val="1"/>
          <w:color w:val="auto"/>
        </w:rPr>
        <w:t>Investment Company Status</w:t>
      </w:r>
      <w:r>
        <w:rPr>
          <w:rFonts w:ascii="Arial" w:cs="Arial" w:eastAsia="Arial" w:hAnsi="Arial"/>
          <w:sz w:val="16"/>
          <w:szCs w:val="16"/>
          <w:color w:val="auto"/>
        </w:rPr>
        <w:t>. Neither the Parent Guarantor nor any of its Subsidiaries (including the Lessee) is required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registered as an “investment company” as defined in the Investment Company Act or subject to regulation as an “investment company” thereunder.</w:t>
      </w:r>
    </w:p>
    <w:p>
      <w:pPr>
        <w:spacing w:after="0" w:line="123" w:lineRule="exact"/>
        <w:rPr>
          <w:rFonts w:ascii="Arial" w:cs="Arial" w:eastAsia="Arial" w:hAnsi="Arial"/>
          <w:sz w:val="16"/>
          <w:szCs w:val="16"/>
          <w:color w:val="auto"/>
        </w:rPr>
      </w:pPr>
    </w:p>
    <w:p>
      <w:pPr>
        <w:ind w:right="280" w:firstLine="1305"/>
        <w:spacing w:after="0" w:line="308" w:lineRule="auto"/>
        <w:tabs>
          <w:tab w:leader="none" w:pos="1966" w:val="left"/>
        </w:tabs>
        <w:numPr>
          <w:ilvl w:val="0"/>
          <w:numId w:val="130"/>
        </w:numPr>
        <w:rPr>
          <w:rFonts w:ascii="Arial" w:cs="Arial" w:eastAsia="Arial" w:hAnsi="Arial"/>
          <w:sz w:val="17"/>
          <w:szCs w:val="17"/>
          <w:color w:val="auto"/>
        </w:rPr>
      </w:pPr>
      <w:r>
        <w:rPr>
          <w:rFonts w:ascii="Arial" w:cs="Arial" w:eastAsia="Arial" w:hAnsi="Arial"/>
          <w:sz w:val="17"/>
          <w:szCs w:val="17"/>
          <w:i w:val="1"/>
          <w:iCs w:val="1"/>
          <w:color w:val="auto"/>
        </w:rPr>
        <w:t>Taxes</w:t>
      </w:r>
      <w:r>
        <w:rPr>
          <w:rFonts w:ascii="Arial" w:cs="Arial" w:eastAsia="Arial" w:hAnsi="Arial"/>
          <w:sz w:val="17"/>
          <w:szCs w:val="17"/>
          <w:color w:val="auto"/>
        </w:rPr>
        <w:t>. Each of the Parent Guarantor and its Subsidiaries (including the Lessee) has timely filed or caused to be filed all federal</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returns and all other material Tax returns and reports required to have been filed by it and has paid, caused to be paid or made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 provision for the payment of, all federal income Taxes and all other material Taxes required to have been paid by it, except (A) Taxes that are being contested in good faith by appropriate proceedings and for which the Parent Guarantor and/or such Subsidiary, as applicable, has set aside on its books adequate reserves in accordance with GAAP or (B) to the extent that the failure to do so could not reasonably be expected to result in a Material Adverse Effect.</w:t>
      </w:r>
    </w:p>
    <w:p>
      <w:pPr>
        <w:spacing w:after="0" w:line="187" w:lineRule="exact"/>
        <w:rPr>
          <w:sz w:val="20"/>
          <w:szCs w:val="20"/>
          <w:color w:val="auto"/>
        </w:rPr>
      </w:pPr>
    </w:p>
    <w:p>
      <w:pPr>
        <w:ind w:right="320" w:firstLine="1305"/>
        <w:spacing w:after="0" w:line="277" w:lineRule="auto"/>
        <w:tabs>
          <w:tab w:leader="none" w:pos="1953"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ERISA</w:t>
      </w:r>
      <w:r>
        <w:rPr>
          <w:rFonts w:ascii="Arial" w:cs="Arial" w:eastAsia="Arial" w:hAnsi="Arial"/>
          <w:sz w:val="18"/>
          <w:szCs w:val="18"/>
          <w:color w:val="auto"/>
        </w:rPr>
        <w:t>. No ERISA Event has occurred or is reasonably expected to occur that, when taken together with all other such ERISA</w:t>
      </w:r>
      <w:r>
        <w:rPr>
          <w:rFonts w:ascii="Arial" w:cs="Arial" w:eastAsia="Arial" w:hAnsi="Arial"/>
          <w:sz w:val="18"/>
          <w:szCs w:val="18"/>
          <w:i w:val="1"/>
          <w:iCs w:val="1"/>
          <w:color w:val="auto"/>
        </w:rPr>
        <w:t xml:space="preserve"> </w:t>
      </w:r>
      <w:r>
        <w:rPr>
          <w:rFonts w:ascii="Arial" w:cs="Arial" w:eastAsia="Arial" w:hAnsi="Arial"/>
          <w:sz w:val="18"/>
          <w:szCs w:val="18"/>
          <w:color w:val="auto"/>
        </w:rPr>
        <w:t>Events for which liability is reasonably expected to occur, could reasonably be expected to result in a Material Adverse Effect.</w:t>
      </w:r>
    </w:p>
    <w:p>
      <w:pPr>
        <w:spacing w:after="0" w:line="170" w:lineRule="exact"/>
        <w:rPr>
          <w:rFonts w:ascii="Arial" w:cs="Arial" w:eastAsia="Arial" w:hAnsi="Arial"/>
          <w:sz w:val="18"/>
          <w:szCs w:val="18"/>
          <w:color w:val="auto"/>
        </w:rPr>
      </w:pPr>
    </w:p>
    <w:p>
      <w:pPr>
        <w:ind w:right="60" w:firstLine="1305"/>
        <w:spacing w:after="0" w:line="287" w:lineRule="auto"/>
        <w:tabs>
          <w:tab w:leader="none" w:pos="1952" w:val="left"/>
        </w:tabs>
        <w:numPr>
          <w:ilvl w:val="0"/>
          <w:numId w:val="131"/>
        </w:numPr>
        <w:rPr>
          <w:rFonts w:ascii="Arial" w:cs="Arial" w:eastAsia="Arial" w:hAnsi="Arial"/>
          <w:sz w:val="16"/>
          <w:szCs w:val="16"/>
          <w:color w:val="auto"/>
        </w:rPr>
      </w:pPr>
      <w:r>
        <w:rPr>
          <w:rFonts w:ascii="Arial" w:cs="Arial" w:eastAsia="Arial" w:hAnsi="Arial"/>
          <w:sz w:val="16"/>
          <w:szCs w:val="16"/>
          <w:i w:val="1"/>
          <w:iCs w:val="1"/>
          <w:color w:val="auto"/>
        </w:rPr>
        <w:t>Disclosure</w:t>
      </w:r>
      <w:r>
        <w:rPr>
          <w:rFonts w:ascii="Arial" w:cs="Arial" w:eastAsia="Arial" w:hAnsi="Arial"/>
          <w:sz w:val="16"/>
          <w:szCs w:val="16"/>
          <w:color w:val="auto"/>
        </w:rPr>
        <w:t>. All written information (including the information set forth in the Information Memorandum) and all information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 formally presented at a general meeting (which may be a telephonic meeting) of the Lenders, other than any projections, estimates, forecasts and other forward-looking information and information of a general economic or industry-specific nature furnished by or on behalf of the Parent Guarantor or any Subsidiary to the Lessor or Administrative Agent or any other Participant pursuant to or in connection with this Guaranty or any other Operative Document, when taken as a whole and after giving effect to all supplements and updates thereto, does not (when furnished) contain any untrue statement of material fact or omit to state a material fact necessary in order to make the statements contained therein not materially misleading (when taken as a whole) in light of the circumstances under which such statements are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forecasts or projections, each Guarantor represents only that such information was prepared in good faith based upon assumptions believed by the Parent Guarantor to be reasonable at the time prepared (it being understood by the Lessor, the Administrative Agent and the other Participants that any such projections are not to be viewed as facts and are subject to significant uncertainties and contingencies, many of which are beyond the control of the Parent Guarantor, the Lessee or their respective Subsidiaries, that no assurances can be given that such projections will be realized and that actual results may differ materially from such projections).</w:t>
      </w:r>
    </w:p>
    <w:p>
      <w:pPr>
        <w:spacing w:after="0" w:line="172" w:lineRule="exact"/>
        <w:rPr>
          <w:rFonts w:ascii="Arial" w:cs="Arial" w:eastAsia="Arial" w:hAnsi="Arial"/>
          <w:sz w:val="16"/>
          <w:szCs w:val="16"/>
          <w:color w:val="auto"/>
        </w:rPr>
      </w:pPr>
    </w:p>
    <w:p>
      <w:pPr>
        <w:ind w:right="580" w:firstLine="1305"/>
        <w:spacing w:after="0" w:line="342" w:lineRule="auto"/>
        <w:tabs>
          <w:tab w:leader="none" w:pos="1966" w:val="left"/>
        </w:tabs>
        <w:numPr>
          <w:ilvl w:val="0"/>
          <w:numId w:val="131"/>
        </w:numPr>
        <w:rPr>
          <w:rFonts w:ascii="Arial" w:cs="Arial" w:eastAsia="Arial" w:hAnsi="Arial"/>
          <w:sz w:val="16"/>
          <w:szCs w:val="16"/>
          <w:color w:val="auto"/>
        </w:rPr>
      </w:pPr>
      <w:r>
        <w:rPr>
          <w:rFonts w:ascii="Arial" w:cs="Arial" w:eastAsia="Arial" w:hAnsi="Arial"/>
          <w:sz w:val="16"/>
          <w:szCs w:val="16"/>
          <w:i w:val="1"/>
          <w:iCs w:val="1"/>
          <w:color w:val="auto"/>
        </w:rPr>
        <w:t>Federal Reserve Regulations</w:t>
      </w:r>
      <w:r>
        <w:rPr>
          <w:rFonts w:ascii="Arial" w:cs="Arial" w:eastAsia="Arial" w:hAnsi="Arial"/>
          <w:sz w:val="16"/>
          <w:szCs w:val="16"/>
          <w:color w:val="auto"/>
        </w:rPr>
        <w:t>. No part of the proceeds of the Advance have been used or will be used, whether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for any purpose that entails a violation of any of the Regulations of the F.R.S. Board, including Regulations T, U and X of the F.R.S. Board.</w:t>
      </w:r>
    </w:p>
    <w:p>
      <w:pPr>
        <w:spacing w:after="0" w:line="123" w:lineRule="exact"/>
        <w:rPr>
          <w:rFonts w:ascii="Arial" w:cs="Arial" w:eastAsia="Arial" w:hAnsi="Arial"/>
          <w:sz w:val="16"/>
          <w:szCs w:val="16"/>
          <w:color w:val="auto"/>
        </w:rPr>
      </w:pPr>
    </w:p>
    <w:p>
      <w:pPr>
        <w:ind w:right="140" w:firstLine="1305"/>
        <w:spacing w:after="0" w:line="277" w:lineRule="auto"/>
        <w:tabs>
          <w:tab w:leader="none" w:pos="1948"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No Default</w:t>
      </w:r>
      <w:r>
        <w:rPr>
          <w:rFonts w:ascii="Arial" w:cs="Arial" w:eastAsia="Arial" w:hAnsi="Arial"/>
          <w:sz w:val="18"/>
          <w:szCs w:val="18"/>
          <w:color w:val="auto"/>
        </w:rPr>
        <w:t>. As of the Document Closing Date, no Default, Event of Default, Event of Loss, Specified Significant Environmental</w:t>
      </w:r>
      <w:r>
        <w:rPr>
          <w:rFonts w:ascii="Arial" w:cs="Arial" w:eastAsia="Arial" w:hAnsi="Arial"/>
          <w:sz w:val="18"/>
          <w:szCs w:val="18"/>
          <w:i w:val="1"/>
          <w:iCs w:val="1"/>
          <w:color w:val="auto"/>
        </w:rPr>
        <w:t xml:space="preserve"> </w:t>
      </w:r>
      <w:r>
        <w:rPr>
          <w:rFonts w:ascii="Arial" w:cs="Arial" w:eastAsia="Arial" w:hAnsi="Arial"/>
          <w:sz w:val="18"/>
          <w:szCs w:val="18"/>
          <w:color w:val="auto"/>
        </w:rPr>
        <w:t>Event or Specified Material Environmental Violation has occurred and is continuing.</w:t>
      </w:r>
    </w:p>
    <w:p>
      <w:pPr>
        <w:spacing w:after="0" w:line="170" w:lineRule="exact"/>
        <w:rPr>
          <w:rFonts w:ascii="Arial" w:cs="Arial" w:eastAsia="Arial" w:hAnsi="Arial"/>
          <w:sz w:val="18"/>
          <w:szCs w:val="18"/>
          <w:color w:val="auto"/>
        </w:rPr>
      </w:pPr>
    </w:p>
    <w:p>
      <w:pPr>
        <w:ind w:right="40" w:firstLine="1305"/>
        <w:spacing w:after="0" w:line="257" w:lineRule="auto"/>
        <w:tabs>
          <w:tab w:leader="none" w:pos="1952"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Anti-Corruption Laws and Sanctions</w:t>
      </w:r>
      <w:r>
        <w:rPr>
          <w:rFonts w:ascii="Arial" w:cs="Arial" w:eastAsia="Arial" w:hAnsi="Arial"/>
          <w:sz w:val="18"/>
          <w:szCs w:val="18"/>
          <w:color w:val="auto"/>
        </w:rPr>
        <w:t>. The Parent Guarantor has implemented and maintains in effect policies and is implementing</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reasonably designed to achieve compliance by the Parent Guarantor, its Subsidiaries and their respective directors, officers, employees and agents with Anti-Corruption Laws and applicable Sanctions, and the Parent Guarantor, its Subsidiaries and their respective officers and employees and to the knowledge of the Parent Guarantor its directors and agents, are in compliance with Anti-Corruption Laws and applicable Sanctions in all material respects. None of (a) the Parent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Guarantor, any Subsidiary or to the knowledge of the Parent Guarantor or such Subsidiary any of their respective directors, officers or employees, or (b) to the knowledge of the Parent Guarantor, any agent of the Parent Guarantor or any Subsidiary that will act in any capacity in connection with or benefit from the credit facility established hereby, is a Sanctioned Person. No use of proceeds or Overall Transaction will violate any Anti-Corruption Law or applicable Sanctions.</w:t>
      </w:r>
    </w:p>
    <w:p>
      <w:pPr>
        <w:spacing w:after="0" w:line="187" w:lineRule="exact"/>
        <w:rPr>
          <w:sz w:val="20"/>
          <w:szCs w:val="20"/>
          <w:color w:val="auto"/>
        </w:rPr>
      </w:pPr>
    </w:p>
    <w:p>
      <w:pPr>
        <w:ind w:right="60" w:firstLine="1413"/>
        <w:spacing w:after="0" w:line="269" w:lineRule="auto"/>
        <w:tabs>
          <w:tab w:leader="none" w:pos="1952" w:val="left"/>
        </w:tabs>
        <w:numPr>
          <w:ilvl w:val="0"/>
          <w:numId w:val="132"/>
        </w:numPr>
        <w:rPr>
          <w:rFonts w:ascii="Arial" w:cs="Arial" w:eastAsia="Arial" w:hAnsi="Arial"/>
          <w:sz w:val="17"/>
          <w:szCs w:val="17"/>
          <w:color w:val="auto"/>
        </w:rPr>
      </w:pPr>
      <w:r>
        <w:rPr>
          <w:rFonts w:ascii="Arial" w:cs="Arial" w:eastAsia="Arial" w:hAnsi="Arial"/>
          <w:sz w:val="17"/>
          <w:szCs w:val="17"/>
          <w:i w:val="1"/>
          <w:iCs w:val="1"/>
          <w:color w:val="auto"/>
        </w:rPr>
        <w:t>Appraisal Data</w:t>
      </w:r>
      <w:r>
        <w:rPr>
          <w:rFonts w:ascii="Arial" w:cs="Arial" w:eastAsia="Arial" w:hAnsi="Arial"/>
          <w:sz w:val="17"/>
          <w:szCs w:val="17"/>
          <w:color w:val="auto"/>
        </w:rPr>
        <w:t>. As of the Document Closing Date, to the Parent Guarantor’s knowledge, the written information (other than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projections, estimates, forecasts and other forward looking information and information of a general economic or industry specific nature) provided by Parent Guarantor or any of its Subsidiaries to the Appraiser and forming the basis for the conclusions set forth in the Appraisal, when taken as a whole and after giving effect to all supplements and updates thereto, was true and correct in all material respects as of the Document Closing Date and did not omit any factual information known and available to the Parent Guarantor or its Subsidiaries necessary to make the information so provided (when taken as a whole and after giving effect to all supplements and updates thereto) not materially misleading in light of the circumstances under which such information was provided;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written forecasts or projections (if any) so provided to the Appraiser and forming the basis for the conclusions set forth in the Appraisal, the Parent Guarantor represents only that such information was prepared in good faith based upon assumptions believed by the Parent Guarantor to be reasonable at the time prepared (it being understood by the Lessor, the Administrative Agent and the other Participants that any such projections are not to be viewed as facts and are subject to significant uncertainties and contingencies, many of which are beyond the control of the Parent Guarantor, the Lessee or their respective Subsidiaries, that no assurances can be given that such projections will be realized and that actual results may differ materially from such projections).</w:t>
      </w:r>
    </w:p>
    <w:p>
      <w:pPr>
        <w:spacing w:after="0" w:line="179" w:lineRule="exact"/>
        <w:rPr>
          <w:rFonts w:ascii="Arial" w:cs="Arial" w:eastAsia="Arial" w:hAnsi="Arial"/>
          <w:sz w:val="17"/>
          <w:szCs w:val="17"/>
          <w:color w:val="auto"/>
        </w:rPr>
      </w:pPr>
    </w:p>
    <w:p>
      <w:pPr>
        <w:ind w:right="920" w:firstLine="1413"/>
        <w:spacing w:after="0" w:line="277" w:lineRule="auto"/>
        <w:tabs>
          <w:tab w:leader="none" w:pos="1952"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Environmental Condition of the Site</w:t>
      </w:r>
      <w:r>
        <w:rPr>
          <w:rFonts w:ascii="Arial" w:cs="Arial" w:eastAsia="Arial" w:hAnsi="Arial"/>
          <w:sz w:val="18"/>
          <w:szCs w:val="18"/>
          <w:color w:val="auto"/>
        </w:rPr>
        <w:t>. Except as set forth in the Environmental Audit described in Section 6.1(vi)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Agreement or as could not reasonably be expected to result in a Material Adverse Effect:</w:t>
      </w:r>
    </w:p>
    <w:p>
      <w:pPr>
        <w:spacing w:after="0" w:line="170" w:lineRule="exact"/>
        <w:rPr>
          <w:rFonts w:ascii="Arial" w:cs="Arial" w:eastAsia="Arial" w:hAnsi="Arial"/>
          <w:sz w:val="18"/>
          <w:szCs w:val="18"/>
          <w:color w:val="auto"/>
        </w:rPr>
      </w:pPr>
    </w:p>
    <w:p>
      <w:pPr>
        <w:ind w:left="1300" w:right="60" w:firstLine="801"/>
        <w:spacing w:after="0" w:line="342" w:lineRule="auto"/>
        <w:tabs>
          <w:tab w:leader="none" w:pos="2618" w:val="left"/>
        </w:tabs>
        <w:numPr>
          <w:ilvl w:val="1"/>
          <w:numId w:val="132"/>
        </w:numPr>
        <w:rPr>
          <w:rFonts w:ascii="Arial" w:cs="Arial" w:eastAsia="Arial" w:hAnsi="Arial"/>
          <w:sz w:val="16"/>
          <w:szCs w:val="16"/>
          <w:color w:val="auto"/>
        </w:rPr>
      </w:pPr>
      <w:r>
        <w:rPr>
          <w:rFonts w:ascii="Arial" w:cs="Arial" w:eastAsia="Arial" w:hAnsi="Arial"/>
          <w:sz w:val="16"/>
          <w:szCs w:val="16"/>
          <w:color w:val="auto"/>
        </w:rPr>
        <w:t>neither the Parent Guarantor nor the Lessee has received any written notice of, or written inquiry from any Governmental Authority regarding, any Environmental Claim or any violation or non-compliance with Environmental Laws with regard to the Site;</w:t>
      </w:r>
    </w:p>
    <w:p>
      <w:pPr>
        <w:spacing w:after="0" w:line="123" w:lineRule="exact"/>
        <w:rPr>
          <w:rFonts w:ascii="Arial" w:cs="Arial" w:eastAsia="Arial" w:hAnsi="Arial"/>
          <w:sz w:val="16"/>
          <w:szCs w:val="16"/>
          <w:color w:val="auto"/>
        </w:rPr>
      </w:pPr>
    </w:p>
    <w:p>
      <w:pPr>
        <w:ind w:left="1300" w:right="160" w:firstLine="761"/>
        <w:spacing w:after="0" w:line="277" w:lineRule="auto"/>
        <w:tabs>
          <w:tab w:leader="none" w:pos="2627" w:val="left"/>
        </w:tabs>
        <w:numPr>
          <w:ilvl w:val="1"/>
          <w:numId w:val="132"/>
        </w:numPr>
        <w:rPr>
          <w:rFonts w:ascii="Arial" w:cs="Arial" w:eastAsia="Arial" w:hAnsi="Arial"/>
          <w:sz w:val="18"/>
          <w:szCs w:val="18"/>
          <w:color w:val="auto"/>
        </w:rPr>
      </w:pPr>
      <w:r>
        <w:rPr>
          <w:rFonts w:ascii="Arial" w:cs="Arial" w:eastAsia="Arial" w:hAnsi="Arial"/>
          <w:sz w:val="18"/>
          <w:szCs w:val="18"/>
          <w:color w:val="auto"/>
        </w:rPr>
        <w:t>neither the Parent Guarantor nor the Lessee has stored, released or transported any Hazardous Substances on the Leased Property or the Site in violation of Environmental Laws;</w:t>
      </w:r>
    </w:p>
    <w:p>
      <w:pPr>
        <w:sectPr>
          <w:pgSz w:w="11900" w:h="16838" w:orient="portrait"/>
          <w:cols w:equalWidth="0" w:num="1">
            <w:col w:w="11420"/>
          </w:cols>
          <w:pgMar w:left="240" w:top="125" w:right="239" w:bottom="0" w:gutter="0" w:footer="0" w:header="0"/>
        </w:sectPr>
      </w:pPr>
    </w:p>
    <w:bookmarkStart w:id="65" w:name="page66"/>
    <w:bookmarkEnd w:id="65"/>
    <w:p>
      <w:pPr>
        <w:spacing w:after="0" w:line="90" w:lineRule="exact"/>
        <w:rPr>
          <w:sz w:val="20"/>
          <w:szCs w:val="20"/>
          <w:color w:val="auto"/>
        </w:rPr>
      </w:pPr>
    </w:p>
    <w:p>
      <w:pPr>
        <w:ind w:left="1300" w:right="100" w:firstLine="707"/>
        <w:spacing w:after="0" w:line="277" w:lineRule="auto"/>
        <w:tabs>
          <w:tab w:leader="none" w:pos="263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Site does not contain any Hazardous Substance at, on or under the Site in amounts or concentrations that constitute a violation of Environmental Laws; and</w:t>
      </w:r>
    </w:p>
    <w:p>
      <w:pPr>
        <w:spacing w:after="0" w:line="170" w:lineRule="exact"/>
        <w:rPr>
          <w:rFonts w:ascii="Arial" w:cs="Arial" w:eastAsia="Arial" w:hAnsi="Arial"/>
          <w:sz w:val="18"/>
          <w:szCs w:val="18"/>
          <w:color w:val="auto"/>
        </w:rPr>
      </w:pPr>
    </w:p>
    <w:p>
      <w:pPr>
        <w:ind w:left="2620" w:hanging="600"/>
        <w:spacing w:after="0"/>
        <w:tabs>
          <w:tab w:leader="none" w:pos="26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Parent Guarantor or Lessee has obtained all Governmental Approvals relating to the Site which are required of it under all</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Environmental</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Laws.</w:t>
      </w:r>
    </w:p>
    <w:p>
      <w:pPr>
        <w:spacing w:after="0" w:line="225" w:lineRule="exact"/>
        <w:rPr>
          <w:sz w:val="20"/>
          <w:szCs w:val="20"/>
          <w:color w:val="auto"/>
        </w:rPr>
      </w:pPr>
    </w:p>
    <w:p>
      <w:pPr>
        <w:ind w:right="80" w:firstLine="1305"/>
        <w:spacing w:after="0" w:line="270" w:lineRule="auto"/>
        <w:tabs>
          <w:tab w:leader="none" w:pos="1952" w:val="left"/>
        </w:tabs>
        <w:numPr>
          <w:ilvl w:val="0"/>
          <w:numId w:val="134"/>
        </w:numPr>
        <w:rPr>
          <w:rFonts w:ascii="Arial" w:cs="Arial" w:eastAsia="Arial" w:hAnsi="Arial"/>
          <w:sz w:val="17"/>
          <w:szCs w:val="17"/>
          <w:color w:val="auto"/>
        </w:rPr>
      </w:pPr>
      <w:r>
        <w:rPr>
          <w:rFonts w:ascii="Arial" w:cs="Arial" w:eastAsia="Arial" w:hAnsi="Arial"/>
          <w:sz w:val="17"/>
          <w:szCs w:val="17"/>
          <w:i w:val="1"/>
          <w:iCs w:val="1"/>
          <w:color w:val="auto"/>
        </w:rPr>
        <w:t>Purchase Agreement and Related Matters</w:t>
      </w:r>
      <w:r>
        <w:rPr>
          <w:rFonts w:ascii="Arial" w:cs="Arial" w:eastAsia="Arial" w:hAnsi="Arial"/>
          <w:sz w:val="17"/>
          <w:szCs w:val="17"/>
          <w:color w:val="auto"/>
        </w:rPr>
        <w:t>. Parent Guarantor and/or Lessee has performed all obligations of “Buyer”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Agreement which are required to be performed by “Buyer” immediately prior to the assignment thereof to Lessor. The only obligations of Lessor that remain to be performed under the Purchase Agreement in accordance with such assignment are the payment of the remaining amount of the purchase price due thereunder as of the Document Closing Date (which will be paid by the Advance) (without giving effect to any post-closing adjustments, if any, pursuant to Sections 5.3 and 5.4 of the Purchase Agreement). None of Parent Guarantor, Lessee or their respective agents, consultants, contractors and subcontractors has caused any material claims, costs, losses, liabilities, damages or expenses arising out of or resulting from entry on the Site or otherwise, which are subject to Lessor’s indemnity obligations under Section 4.4.1(b) of the Purchase Agreement (except to the extent the Lessee has indemnified the Lessor pursuant to the Operative Documents). There exist no obligations or liabilities of Lessor under the Purchase Agreement or the Assignment of Purchase Agreement which are not obligations required to be performed by Lessee or the Parent Guarantor (other than the payment of the purchase price due thereunder).</w:t>
      </w:r>
    </w:p>
    <w:p>
      <w:pPr>
        <w:spacing w:after="0" w:line="177" w:lineRule="exact"/>
        <w:rPr>
          <w:rFonts w:ascii="Arial" w:cs="Arial" w:eastAsia="Arial" w:hAnsi="Arial"/>
          <w:sz w:val="17"/>
          <w:szCs w:val="17"/>
          <w:color w:val="auto"/>
        </w:rPr>
      </w:pPr>
    </w:p>
    <w:p>
      <w:pPr>
        <w:ind w:firstLine="1305"/>
        <w:spacing w:after="0" w:line="302" w:lineRule="auto"/>
        <w:tabs>
          <w:tab w:leader="none" w:pos="1963" w:val="left"/>
        </w:tabs>
        <w:numPr>
          <w:ilvl w:val="0"/>
          <w:numId w:val="134"/>
        </w:numPr>
        <w:rPr>
          <w:rFonts w:ascii="Arial" w:cs="Arial" w:eastAsia="Arial" w:hAnsi="Arial"/>
          <w:sz w:val="16"/>
          <w:szCs w:val="16"/>
          <w:color w:val="auto"/>
        </w:rPr>
      </w:pPr>
      <w:r>
        <w:rPr>
          <w:rFonts w:ascii="Arial" w:cs="Arial" w:eastAsia="Arial" w:hAnsi="Arial"/>
          <w:sz w:val="16"/>
          <w:szCs w:val="16"/>
          <w:i w:val="1"/>
          <w:iCs w:val="1"/>
          <w:color w:val="auto"/>
        </w:rPr>
        <w:t>Patents, Trademarks</w:t>
      </w:r>
      <w:r>
        <w:rPr>
          <w:rFonts w:ascii="Arial" w:cs="Arial" w:eastAsia="Arial" w:hAnsi="Arial"/>
          <w:sz w:val="16"/>
          <w:szCs w:val="16"/>
          <w:color w:val="auto"/>
        </w:rPr>
        <w:t>. There are no material patents, patent rights, trademarks, service marks, trade names, copyrights, licenses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intellectual property rights with respect to the Leased Property that are necessary for the operation of the Leased Property by the Lessee, except to the extent that the Lessee has rights in respect thereof without material payment of royalties or other material licensing payments, which rights may be freely leased, licensed or otherwise provided to Lessor or any successor owner, lessee, user or operator of the Leased Property pursuant to the Operative Documents.</w:t>
      </w:r>
    </w:p>
    <w:p>
      <w:pPr>
        <w:spacing w:after="0" w:line="154" w:lineRule="exact"/>
        <w:rPr>
          <w:rFonts w:ascii="Arial" w:cs="Arial" w:eastAsia="Arial" w:hAnsi="Arial"/>
          <w:sz w:val="16"/>
          <w:szCs w:val="16"/>
          <w:color w:val="auto"/>
        </w:rPr>
      </w:pPr>
    </w:p>
    <w:p>
      <w:pPr>
        <w:ind w:right="60" w:firstLine="1305"/>
        <w:spacing w:after="0" w:line="279" w:lineRule="auto"/>
        <w:tabs>
          <w:tab w:leader="none" w:pos="1959" w:val="left"/>
        </w:tabs>
        <w:numPr>
          <w:ilvl w:val="0"/>
          <w:numId w:val="134"/>
        </w:numPr>
        <w:rPr>
          <w:rFonts w:ascii="Arial" w:cs="Arial" w:eastAsia="Arial" w:hAnsi="Arial"/>
          <w:sz w:val="17"/>
          <w:szCs w:val="17"/>
          <w:color w:val="auto"/>
        </w:rPr>
      </w:pPr>
      <w:r>
        <w:rPr>
          <w:rFonts w:ascii="Arial" w:cs="Arial" w:eastAsia="Arial" w:hAnsi="Arial"/>
          <w:sz w:val="17"/>
          <w:szCs w:val="17"/>
          <w:i w:val="1"/>
          <w:iCs w:val="1"/>
          <w:color w:val="auto"/>
        </w:rPr>
        <w:t>No Transfer Taxes</w:t>
      </w:r>
      <w:r>
        <w:rPr>
          <w:rFonts w:ascii="Arial" w:cs="Arial" w:eastAsia="Arial" w:hAnsi="Arial"/>
          <w:sz w:val="17"/>
          <w:szCs w:val="17"/>
          <w:color w:val="auto"/>
        </w:rPr>
        <w:t>. All sales, use, excise, transfer or other similar tax, fee or imposition required to be paid as of the Document</w:t>
      </w:r>
      <w:r>
        <w:rPr>
          <w:rFonts w:ascii="Arial" w:cs="Arial" w:eastAsia="Arial" w:hAnsi="Arial"/>
          <w:sz w:val="17"/>
          <w:szCs w:val="17"/>
          <w:i w:val="1"/>
          <w:iCs w:val="1"/>
          <w:color w:val="auto"/>
        </w:rPr>
        <w:t xml:space="preserve"> </w:t>
      </w:r>
      <w:r>
        <w:rPr>
          <w:rFonts w:ascii="Arial" w:cs="Arial" w:eastAsia="Arial" w:hAnsi="Arial"/>
          <w:sz w:val="17"/>
          <w:szCs w:val="17"/>
          <w:color w:val="auto"/>
        </w:rPr>
        <w:t>Closing Date by the Lessee or any Guarantor pursuant to any of the Operative Documents upon the acquisition by the Lessor of the Leased Property and on the lease of the Leased Property to the Lessee will have been paid by or on behalf of the Parent Guarantor or the Lessee (or provision for the payment thereof shall have been made) or such transactions will then be exempt from any such taxes, fees or impositions.</w:t>
      </w:r>
    </w:p>
    <w:p>
      <w:pPr>
        <w:spacing w:after="0" w:line="171" w:lineRule="exact"/>
        <w:rPr>
          <w:rFonts w:ascii="Arial" w:cs="Arial" w:eastAsia="Arial" w:hAnsi="Arial"/>
          <w:sz w:val="17"/>
          <w:szCs w:val="17"/>
          <w:color w:val="auto"/>
        </w:rPr>
      </w:pPr>
    </w:p>
    <w:p>
      <w:pPr>
        <w:ind w:right="100" w:firstLine="1305"/>
        <w:spacing w:after="0" w:line="277" w:lineRule="auto"/>
        <w:tabs>
          <w:tab w:leader="none" w:pos="1953"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Title to Leased Property</w:t>
      </w:r>
      <w:r>
        <w:rPr>
          <w:rFonts w:ascii="Arial" w:cs="Arial" w:eastAsia="Arial" w:hAnsi="Arial"/>
          <w:sz w:val="18"/>
          <w:szCs w:val="18"/>
          <w:color w:val="auto"/>
        </w:rPr>
        <w:t>. On the Document Closing Date, the Lessor shall have good and recorded title in fee simple estate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Leased Property, free and clear of all Liens other than Permitted Liens.</w:t>
      </w:r>
    </w:p>
    <w:p>
      <w:pPr>
        <w:spacing w:after="0" w:line="170" w:lineRule="exact"/>
        <w:rPr>
          <w:rFonts w:ascii="Arial" w:cs="Arial" w:eastAsia="Arial" w:hAnsi="Arial"/>
          <w:sz w:val="18"/>
          <w:szCs w:val="18"/>
          <w:color w:val="auto"/>
        </w:rPr>
      </w:pPr>
    </w:p>
    <w:p>
      <w:pPr>
        <w:ind w:right="100" w:firstLine="1305"/>
        <w:spacing w:after="0" w:line="297" w:lineRule="auto"/>
        <w:tabs>
          <w:tab w:leader="none" w:pos="1952" w:val="left"/>
        </w:tabs>
        <w:numPr>
          <w:ilvl w:val="0"/>
          <w:numId w:val="134"/>
        </w:numPr>
        <w:rPr>
          <w:rFonts w:ascii="Arial" w:cs="Arial" w:eastAsia="Arial" w:hAnsi="Arial"/>
          <w:sz w:val="16"/>
          <w:szCs w:val="16"/>
          <w:color w:val="auto"/>
        </w:rPr>
      </w:pPr>
      <w:r>
        <w:rPr>
          <w:rFonts w:ascii="Arial" w:cs="Arial" w:eastAsia="Arial" w:hAnsi="Arial"/>
          <w:sz w:val="16"/>
          <w:szCs w:val="16"/>
          <w:i w:val="1"/>
          <w:iCs w:val="1"/>
          <w:color w:val="auto"/>
        </w:rPr>
        <w:t>Creation of Liens</w:t>
      </w:r>
      <w:r>
        <w:rPr>
          <w:rFonts w:ascii="Arial" w:cs="Arial" w:eastAsia="Arial" w:hAnsi="Arial"/>
          <w:sz w:val="16"/>
          <w:szCs w:val="16"/>
          <w:color w:val="auto"/>
        </w:rPr>
        <w:t>. (i) The Lease and the Assignment of Leases will create a valid and, and when the UCC Financing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filings and recordings described in Schedule 6.1(xi) to the Participation Agreement have been made, first priority (subject only to Permitted Liens) perfected Lien in favor of the Lessor or Administrative Agent, as applicable, in the Lessee’s rights, title and interest in and to the Leased Property and the other Collateral described in the Assignment of Leases, as applicable, and (ii) no filing, recording, registration or notice with, or payment of any fees to, any federal or state Governmental Authority will be necessary to create or perfect such Lien in favor of the Lessor or Administrative Agent, as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applicable, except as have been, or will be by the time required pursuant to the Operative Documents, obtained or made or arrangements made for the foregoing in accordance with the applicable terms of the Operative Documents (or in the case of fees, paid or provision for the payment thereof shall have been made), in any such case, to the extent perfection can be obtained by filing or recording UCC financing statements, mortgages or similar instruments.</w:t>
      </w:r>
    </w:p>
    <w:p>
      <w:pPr>
        <w:spacing w:after="0" w:line="147" w:lineRule="exact"/>
        <w:rPr>
          <w:sz w:val="20"/>
          <w:szCs w:val="20"/>
          <w:color w:val="auto"/>
        </w:rPr>
      </w:pPr>
    </w:p>
    <w:p>
      <w:pPr>
        <w:ind w:right="40" w:firstLine="1413"/>
        <w:spacing w:after="0" w:line="271" w:lineRule="auto"/>
        <w:tabs>
          <w:tab w:leader="none" w:pos="1952" w:val="left"/>
        </w:tabs>
        <w:numPr>
          <w:ilvl w:val="0"/>
          <w:numId w:val="135"/>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The Facility and the Site are in compliance in all material respects with all Applicable Laws and Insurance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and any present use and presently anticipated future use thereof by Lessee and its agents, assignees, employees, invitees, lessees, licensees and tenants comply in all material respects with all Applicable Laws, in any such case, except where any such noncompliance individually or in the aggregate could not reasonably be expected to have a material adverse effect on Lessee’s ability to perform its material obligations under the Operative Documents. Except as could not reasonably be expected to have a Material Adverse Effect, no notices, complaints or orders of violation or noncompliance or liability have been issued to the Parent Guarantor or the Lessee or, to the best of the Parent Guarantor’s knowledge, threatened by any Person with respect to the Leased Property or the present or intended future use thereof, and the Parent Guarantor is not aware of any circumstances which could give rise to the issuance of any such notices, complaints or orders.</w:t>
      </w:r>
    </w:p>
    <w:p>
      <w:pPr>
        <w:spacing w:after="0" w:line="178" w:lineRule="exact"/>
        <w:rPr>
          <w:rFonts w:ascii="Arial" w:cs="Arial" w:eastAsia="Arial" w:hAnsi="Arial"/>
          <w:sz w:val="17"/>
          <w:szCs w:val="17"/>
          <w:color w:val="auto"/>
        </w:rPr>
      </w:pPr>
    </w:p>
    <w:p>
      <w:pPr>
        <w:ind w:firstLine="1372"/>
        <w:spacing w:after="0" w:line="255" w:lineRule="auto"/>
        <w:tabs>
          <w:tab w:leader="none" w:pos="1965"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Condition</w:t>
      </w:r>
      <w:r>
        <w:rPr>
          <w:rFonts w:ascii="Arial" w:cs="Arial" w:eastAsia="Arial" w:hAnsi="Arial"/>
          <w:sz w:val="18"/>
          <w:szCs w:val="18"/>
          <w:color w:val="auto"/>
        </w:rPr>
        <w:t>. Adequate utility facilities are available to the Leased Property over dedicated and accepted public streets and rights of</w:t>
      </w:r>
      <w:r>
        <w:rPr>
          <w:rFonts w:ascii="Arial" w:cs="Arial" w:eastAsia="Arial" w:hAnsi="Arial"/>
          <w:sz w:val="18"/>
          <w:szCs w:val="18"/>
          <w:i w:val="1"/>
          <w:iCs w:val="1"/>
          <w:color w:val="auto"/>
        </w:rPr>
        <w:t xml:space="preserve"> </w:t>
      </w:r>
      <w:r>
        <w:rPr>
          <w:rFonts w:ascii="Arial" w:cs="Arial" w:eastAsia="Arial" w:hAnsi="Arial"/>
          <w:sz w:val="18"/>
          <w:szCs w:val="18"/>
          <w:color w:val="auto"/>
        </w:rPr>
        <w:t>way or valid easements that run with the land. As of the Document Closing Date, no fire or other Casualty with respect to the Leased Property has occurred which has had a Material Adverse Effect. Adequate ingress and egress to and from the Leased Property is available over dedicated and accepted public streets and rights-of-way or valid easements that run with the land. With respect to the Leased Property, all material licenses, permits and approvals (including, without limitation, material building and environmental permits, licenses, approvals, authorizations and consents) necessary and required for the use and operation of the Leased Property have been obtained from the appropriate Governmental Authorities having jurisdiction or from private parties, as the case may be.</w:t>
      </w:r>
    </w:p>
    <w:p>
      <w:pPr>
        <w:spacing w:after="0" w:line="189" w:lineRule="exact"/>
        <w:rPr>
          <w:rFonts w:ascii="Arial" w:cs="Arial" w:eastAsia="Arial" w:hAnsi="Arial"/>
          <w:sz w:val="18"/>
          <w:szCs w:val="18"/>
          <w:color w:val="auto"/>
        </w:rPr>
      </w:pPr>
    </w:p>
    <w:p>
      <w:pPr>
        <w:ind w:right="360" w:firstLine="1413"/>
        <w:spacing w:after="0" w:line="264" w:lineRule="auto"/>
        <w:tabs>
          <w:tab w:leader="none" w:pos="1952"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Flood Hazard Areas</w:t>
      </w:r>
      <w:r>
        <w:rPr>
          <w:rFonts w:ascii="Arial" w:cs="Arial" w:eastAsia="Arial" w:hAnsi="Arial"/>
          <w:sz w:val="18"/>
          <w:szCs w:val="18"/>
          <w:color w:val="auto"/>
        </w:rPr>
        <w:t>. If the Site is located in an area identified as a special flood hazard area by the Federal Emergency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Agency or other applicable Governmental Authority, then, to the extent required by Applicable Laws, flood insurance has been obtained by Lessee in accordance with the National Flood Insurance Act of 1968, as amended.</w:t>
      </w:r>
    </w:p>
    <w:p>
      <w:pPr>
        <w:spacing w:after="0" w:line="181" w:lineRule="exact"/>
        <w:rPr>
          <w:rFonts w:ascii="Arial" w:cs="Arial" w:eastAsia="Arial" w:hAnsi="Arial"/>
          <w:sz w:val="18"/>
          <w:szCs w:val="18"/>
          <w:color w:val="auto"/>
        </w:rPr>
      </w:pPr>
    </w:p>
    <w:p>
      <w:pPr>
        <w:ind w:right="460" w:firstLine="1408"/>
        <w:spacing w:after="0" w:line="277" w:lineRule="auto"/>
        <w:tabs>
          <w:tab w:leader="none" w:pos="1947"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No Prohibited Transactions</w:t>
      </w:r>
      <w:r>
        <w:rPr>
          <w:rFonts w:ascii="Arial" w:cs="Arial" w:eastAsia="Arial" w:hAnsi="Arial"/>
          <w:sz w:val="18"/>
          <w:szCs w:val="18"/>
          <w:color w:val="auto"/>
        </w:rPr>
        <w:t>. None of the transactions contemplated by the Operative Documents will constitute a prohibited</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within the meaning of Section 4975(c)(1)(A) through (D) of the Code.</w:t>
      </w:r>
    </w:p>
    <w:p>
      <w:pPr>
        <w:spacing w:after="0" w:line="170" w:lineRule="exact"/>
        <w:rPr>
          <w:sz w:val="20"/>
          <w:szCs w:val="20"/>
          <w:color w:val="auto"/>
        </w:rPr>
      </w:pPr>
    </w:p>
    <w:p>
      <w:pPr>
        <w:ind w:right="80" w:firstLine="729"/>
        <w:spacing w:after="0" w:line="277" w:lineRule="auto"/>
        <w:rPr>
          <w:sz w:val="20"/>
          <w:szCs w:val="20"/>
          <w:color w:val="auto"/>
        </w:rPr>
      </w:pPr>
      <w:r>
        <w:rPr>
          <w:rFonts w:ascii="Arial" w:cs="Arial" w:eastAsia="Arial" w:hAnsi="Arial"/>
          <w:sz w:val="18"/>
          <w:szCs w:val="18"/>
          <w:i w:val="1"/>
          <w:iCs w:val="1"/>
          <w:color w:val="auto"/>
        </w:rPr>
        <w:t xml:space="preserve">Section 8. Guarantor Affirmative Covenants. </w:t>
      </w:r>
      <w:r>
        <w:rPr>
          <w:rFonts w:ascii="Arial" w:cs="Arial" w:eastAsia="Arial" w:hAnsi="Arial"/>
          <w:sz w:val="18"/>
          <w:szCs w:val="18"/>
          <w:color w:val="auto"/>
        </w:rPr>
        <w:t>The Parent Guarantor shall comply with the following covenants until all Liabilities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paid in full:</w:t>
      </w:r>
    </w:p>
    <w:p>
      <w:pPr>
        <w:sectPr>
          <w:pgSz w:w="11900" w:h="16929" w:orient="portrait"/>
          <w:cols w:equalWidth="0" w:num="1">
            <w:col w:w="11400"/>
          </w:cols>
          <w:pgMar w:left="240" w:top="125" w:right="259" w:bottom="0" w:gutter="0" w:footer="0" w:header="0"/>
        </w:sectPr>
      </w:pPr>
    </w:p>
    <w:bookmarkStart w:id="66" w:name="page67"/>
    <w:bookmarkEnd w:id="66"/>
    <w:p>
      <w:pPr>
        <w:ind w:left="5620" w:right="4220" w:hanging="4288"/>
        <w:spacing w:after="0" w:line="528" w:lineRule="auto"/>
        <w:tabs>
          <w:tab w:leader="none" w:pos="1946"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Financial Statements and Other Information</w:t>
      </w:r>
      <w:r>
        <w:rPr>
          <w:rFonts w:ascii="Arial" w:cs="Arial" w:eastAsia="Arial" w:hAnsi="Arial"/>
          <w:sz w:val="18"/>
          <w:szCs w:val="18"/>
          <w:color w:val="auto"/>
        </w:rPr>
        <w:t>. The Parent Guarantor will</w:t>
      </w:r>
      <w:r>
        <w:rPr>
          <w:rFonts w:ascii="Arial" w:cs="Arial" w:eastAsia="Arial" w:hAnsi="Arial"/>
          <w:sz w:val="18"/>
          <w:szCs w:val="18"/>
          <w:i w:val="1"/>
          <w:iCs w:val="1"/>
          <w:color w:val="auto"/>
        </w:rPr>
        <w:t xml:space="preserve"> </w:t>
      </w: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furnish to the Administrative Agent for distribution to each Participant:</w:t>
      </w:r>
    </w:p>
    <w:p>
      <w:pPr>
        <w:spacing w:after="0" w:line="225" w:lineRule="exact"/>
        <w:rPr>
          <w:sz w:val="20"/>
          <w:szCs w:val="20"/>
          <w:color w:val="auto"/>
        </w:rPr>
      </w:pPr>
    </w:p>
    <w:p>
      <w:pPr>
        <w:ind w:left="1300" w:right="260" w:firstLine="653"/>
        <w:spacing w:after="0" w:line="271" w:lineRule="auto"/>
        <w:tabs>
          <w:tab w:leader="none" w:pos="2618"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within ninety (90) days after the end of each fiscal year of the Parent Guarantor, its audited consolidated balance sheet and related statements of operations, stockholders’ equity and cash flows as of the end of and for such year, setting forth in each case in comparative form the figures for the previous fiscal year, prepared in accordance with GAAP consistently applied, with such audited balance sheet and related consolidated financial statements reported on by PricewaterhouseCoopers LLP or other independent public accountants of recognized national standing reasonably acceptable to the Administrative Agent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Parent Guarantor and its consolidated Subsidiaries on a consolidated basis in accordance with GAAP;</w:t>
      </w:r>
    </w:p>
    <w:p>
      <w:pPr>
        <w:spacing w:after="0" w:line="178" w:lineRule="exact"/>
        <w:rPr>
          <w:rFonts w:ascii="Arial" w:cs="Arial" w:eastAsia="Arial" w:hAnsi="Arial"/>
          <w:sz w:val="17"/>
          <w:szCs w:val="17"/>
          <w:color w:val="auto"/>
        </w:rPr>
      </w:pPr>
    </w:p>
    <w:p>
      <w:pPr>
        <w:ind w:left="1300" w:right="20" w:firstLine="653"/>
        <w:spacing w:after="0" w:line="291" w:lineRule="auto"/>
        <w:tabs>
          <w:tab w:leader="none" w:pos="262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within forty-five (45) days after the end of each of the first three fiscal quarters of each fiscal year of the Parent Guarantor, its consolidated balance sheet and related statements of operations and cash flows as of the end of and for such fiscal quarter and the period commencing at the beginning of such fiscal year and ending with such fiscal quarter, setting forth in each case in comparative form the figures for the corresponding period or periods of (or, in the case of the balance sheet, as of the end of) the previous fiscal year, all certified on behalf of the Parent Guarantor by a Responsible Officer of the Parent Guarantor as presenting fairly in all material respects the financial condition and results of operations of the Parent Guarantor and its consolidated Subsidiaries on a consolidated basis in accordance with GAAP consistently applied, subject to normal year-end audit adjustments and the absence of footnotes;</w:t>
      </w:r>
    </w:p>
    <w:p>
      <w:pPr>
        <w:spacing w:after="0" w:line="167" w:lineRule="exact"/>
        <w:rPr>
          <w:rFonts w:ascii="Arial" w:cs="Arial" w:eastAsia="Arial" w:hAnsi="Arial"/>
          <w:sz w:val="16"/>
          <w:szCs w:val="16"/>
          <w:color w:val="auto"/>
        </w:rPr>
      </w:pPr>
    </w:p>
    <w:p>
      <w:pPr>
        <w:ind w:left="1300" w:firstLine="653"/>
        <w:spacing w:after="0" w:line="284" w:lineRule="auto"/>
        <w:tabs>
          <w:tab w:leader="none" w:pos="263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concurrently with any delivery of financial statements under clause (i) or (ii) above, a certificate of a Responsible Officer of the Parent Guarantor delivered on behalf of the Parent Guarantor, (A) certifying as to whether, to the knowledge of such Responsible Officer, a Default has occurred and is continuing and, if a Default has occurred that is continuing, specifying the details thereof and any action taken or proposed to be taken with respect thereto, (B) setting forth reasonably detailed calculations demonstrating compliance with Sections 9(f) and (g), and (C) to the extent that any change in GAAP or application thereof has a material impact on the financial statements accompanying such certificate and such change and impact has not been noted in such financial statements, stating whether any such change in GAAP or in the application thereof has occurred since the date of the audited financial statements referred to in</w:t>
      </w:r>
    </w:p>
    <w:p>
      <w:pPr>
        <w:spacing w:after="0" w:line="2" w:lineRule="exact"/>
        <w:rPr>
          <w:rFonts w:ascii="Arial" w:cs="Arial" w:eastAsia="Arial" w:hAnsi="Arial"/>
          <w:sz w:val="16"/>
          <w:szCs w:val="16"/>
          <w:color w:val="auto"/>
        </w:rPr>
      </w:pPr>
    </w:p>
    <w:p>
      <w:pPr>
        <w:ind w:left="1300" w:right="580"/>
        <w:spacing w:after="0" w:line="261" w:lineRule="auto"/>
        <w:rPr>
          <w:rFonts w:ascii="Arial" w:cs="Arial" w:eastAsia="Arial" w:hAnsi="Arial"/>
          <w:sz w:val="16"/>
          <w:szCs w:val="16"/>
          <w:color w:val="auto"/>
        </w:rPr>
      </w:pPr>
      <w:r>
        <w:rPr>
          <w:rFonts w:ascii="Arial" w:cs="Arial" w:eastAsia="Arial" w:hAnsi="Arial"/>
          <w:sz w:val="18"/>
          <w:szCs w:val="18"/>
          <w:color w:val="auto"/>
        </w:rPr>
        <w:t>Section 6.1(xviii) of the Participation Agreement and, if any such change has occurred, specifying the effect of such change on such financial statements accompanying such certificate;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firstLine="653"/>
        <w:spacing w:after="0" w:line="259" w:lineRule="auto"/>
        <w:tabs>
          <w:tab w:leader="none" w:pos="261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annual, regular, periodic and special reports, proxy statements and registration statements (A) filed by the Parent Guarantor with the SEC (or any Governmental Authority succeeding to any or all of the functions of the SEC) or with any national securities exchange, or (B) distributed by the Parent Guarantor to its shareholders generally, as the case may be;</w:t>
      </w:r>
    </w:p>
    <w:p>
      <w:pPr>
        <w:spacing w:after="0" w:line="186" w:lineRule="exact"/>
        <w:rPr>
          <w:rFonts w:ascii="Arial" w:cs="Arial" w:eastAsia="Arial" w:hAnsi="Arial"/>
          <w:sz w:val="18"/>
          <w:szCs w:val="18"/>
          <w:color w:val="auto"/>
        </w:rPr>
      </w:pPr>
    </w:p>
    <w:p>
      <w:pPr>
        <w:ind w:left="1300" w:right="700" w:firstLine="653"/>
        <w:spacing w:after="0" w:line="277" w:lineRule="auto"/>
        <w:tabs>
          <w:tab w:leader="none" w:pos="260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promptly after Moody’s or S&amp;P shall have announced a change in the rating established or deemed to have been established for the Index Debt, written notice of such rating change; and</w:t>
      </w:r>
    </w:p>
    <w:p>
      <w:pPr>
        <w:spacing w:after="0" w:line="170" w:lineRule="exact"/>
        <w:rPr>
          <w:rFonts w:ascii="Arial" w:cs="Arial" w:eastAsia="Arial" w:hAnsi="Arial"/>
          <w:sz w:val="18"/>
          <w:szCs w:val="18"/>
          <w:color w:val="auto"/>
        </w:rPr>
      </w:pPr>
    </w:p>
    <w:p>
      <w:pPr>
        <w:ind w:left="1300" w:right="200" w:firstLine="653"/>
        <w:spacing w:after="0" w:line="286" w:lineRule="auto"/>
        <w:tabs>
          <w:tab w:leader="none" w:pos="2613" w:val="left"/>
        </w:tabs>
        <w:numPr>
          <w:ilvl w:val="0"/>
          <w:numId w:val="138"/>
        </w:numPr>
        <w:rPr>
          <w:rFonts w:ascii="Arial" w:cs="Arial" w:eastAsia="Arial" w:hAnsi="Arial"/>
          <w:sz w:val="17"/>
          <w:szCs w:val="17"/>
          <w:color w:val="auto"/>
        </w:rPr>
      </w:pPr>
      <w:r>
        <w:rPr>
          <w:rFonts w:ascii="Arial" w:cs="Arial" w:eastAsia="Arial" w:hAnsi="Arial"/>
          <w:sz w:val="17"/>
          <w:szCs w:val="17"/>
          <w:color w:val="auto"/>
        </w:rPr>
        <w:t>promptly following any request therefor, such other information regarding the operations, business affairs and financial condition of the Parent Guarantor, Lessee or any Subsidiary, or compliance with the terms of the Participation Agreement, as the Administrative Agent or by any Lender (acting through the Administrative Agent) may reasonably request.</w:t>
      </w:r>
    </w:p>
    <w:p>
      <w:pPr>
        <w:spacing w:after="0" w:line="16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Documents required to be delivered pursuant to clauses (i), (ii) and (iv) of this Section 8(a) (1) may be delivered electronically and (2) shall be deemed to have been delivered on the date on which such documents are (A) filed for public availability on the SEC’s Electronic Data Gathering and Retrieval System,</w:t>
      </w:r>
    </w:p>
    <w:p>
      <w:pPr>
        <w:ind w:right="100" w:firstLine="8"/>
        <w:spacing w:after="0" w:line="254" w:lineRule="auto"/>
        <w:tabs>
          <w:tab w:leader="none" w:pos="28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posted or the Parent Guarantor provides a link thereto on http://www.regeneron.com or http://www.investor.regeneron.com or at another website identified in a notice from the Parent Guarantor and accessible by the Participants without charge; or (C) posted on the Parent Guarantor’s or Lessee’s behalf on an Internet or intranet website, if any, to which the Administrative Agent has access (whether a commercial, third-party website or whether sponsored by the Administrative Agent).</w:t>
      </w:r>
    </w:p>
    <w:p>
      <w:pPr>
        <w:spacing w:after="0" w:line="189" w:lineRule="exact"/>
        <w:rPr>
          <w:rFonts w:ascii="Arial" w:cs="Arial" w:eastAsia="Arial" w:hAnsi="Arial"/>
          <w:sz w:val="18"/>
          <w:szCs w:val="18"/>
          <w:color w:val="auto"/>
        </w:rPr>
      </w:pPr>
    </w:p>
    <w:p>
      <w:pPr>
        <w:ind w:right="380" w:firstLine="1332"/>
        <w:spacing w:after="0" w:line="277" w:lineRule="auto"/>
        <w:tabs>
          <w:tab w:leader="none" w:pos="1817" w:val="left"/>
        </w:tabs>
        <w:numPr>
          <w:ilvl w:val="1"/>
          <w:numId w:val="139"/>
        </w:numPr>
        <w:rPr>
          <w:rFonts w:ascii="Arial" w:cs="Arial" w:eastAsia="Arial" w:hAnsi="Arial"/>
          <w:sz w:val="18"/>
          <w:szCs w:val="18"/>
          <w:color w:val="auto"/>
        </w:rPr>
      </w:pPr>
      <w:r>
        <w:rPr>
          <w:rFonts w:ascii="Arial" w:cs="Arial" w:eastAsia="Arial" w:hAnsi="Arial"/>
          <w:sz w:val="18"/>
          <w:szCs w:val="18"/>
          <w:i w:val="1"/>
          <w:iCs w:val="1"/>
          <w:color w:val="auto"/>
        </w:rPr>
        <w:t>Notices of Material Events</w:t>
      </w:r>
      <w:r>
        <w:rPr>
          <w:rFonts w:ascii="Arial" w:cs="Arial" w:eastAsia="Arial" w:hAnsi="Arial"/>
          <w:sz w:val="18"/>
          <w:szCs w:val="18"/>
          <w:color w:val="auto"/>
        </w:rPr>
        <w:t>. The Parent Guarantor will furnish to the Administrative Agent (for distribution to each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notice of the following, promptly after a Responsible Officer of the Parent Guarantor has actual knowledge thereof:</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225" w:lineRule="exact"/>
        <w:rPr>
          <w:rFonts w:ascii="Arial" w:cs="Arial" w:eastAsia="Arial" w:hAnsi="Arial"/>
          <w:sz w:val="18"/>
          <w:szCs w:val="18"/>
          <w:color w:val="auto"/>
        </w:rPr>
      </w:pPr>
    </w:p>
    <w:p>
      <w:pPr>
        <w:ind w:left="1300" w:firstLine="653"/>
        <w:spacing w:after="0" w:line="264" w:lineRule="auto"/>
        <w:tabs>
          <w:tab w:leader="none" w:pos="2627" w:val="left"/>
        </w:tabs>
        <w:numPr>
          <w:ilvl w:val="2"/>
          <w:numId w:val="139"/>
        </w:numPr>
        <w:rPr>
          <w:rFonts w:ascii="Arial" w:cs="Arial" w:eastAsia="Arial" w:hAnsi="Arial"/>
          <w:sz w:val="18"/>
          <w:szCs w:val="18"/>
          <w:color w:val="auto"/>
        </w:rPr>
      </w:pPr>
      <w:r>
        <w:rPr>
          <w:rFonts w:ascii="Arial" w:cs="Arial" w:eastAsia="Arial" w:hAnsi="Arial"/>
          <w:sz w:val="18"/>
          <w:szCs w:val="18"/>
          <w:color w:val="auto"/>
        </w:rPr>
        <w:t>the filing or commencement of any action, suit or proceeding by or before any arbitrator or Governmental Authority against or affecting the Parent Guarantor, Lessee or any Subsidiary thereof that could reasonably be expected to result in a Material Adverse Effect;</w:t>
      </w:r>
    </w:p>
    <w:p>
      <w:pPr>
        <w:spacing w:after="0" w:line="181" w:lineRule="exact"/>
        <w:rPr>
          <w:rFonts w:ascii="Arial" w:cs="Arial" w:eastAsia="Arial" w:hAnsi="Arial"/>
          <w:sz w:val="18"/>
          <w:szCs w:val="18"/>
          <w:color w:val="auto"/>
        </w:rPr>
      </w:pPr>
    </w:p>
    <w:p>
      <w:pPr>
        <w:ind w:left="1300" w:right="500" w:firstLine="653"/>
        <w:spacing w:after="0" w:line="277" w:lineRule="auto"/>
        <w:tabs>
          <w:tab w:leader="none" w:pos="2637" w:val="left"/>
        </w:tabs>
        <w:numPr>
          <w:ilvl w:val="2"/>
          <w:numId w:val="139"/>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could reasonably be expected to result in a Material Adverse Effect; and</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32" w:gutter="0" w:footer="0" w:header="0"/>
        </w:sectPr>
      </w:pPr>
    </w:p>
    <w:bookmarkStart w:id="67" w:name="page68"/>
    <w:bookmarkEnd w:id="67"/>
    <w:p>
      <w:pPr>
        <w:spacing w:after="0" w:line="290" w:lineRule="auto"/>
        <w:rPr>
          <w:sz w:val="20"/>
          <w:szCs w:val="20"/>
          <w:color w:val="auto"/>
        </w:rPr>
      </w:pPr>
      <w:r>
        <w:rPr>
          <w:rFonts w:ascii="Arial" w:cs="Arial" w:eastAsia="Arial" w:hAnsi="Arial"/>
          <w:sz w:val="16"/>
          <w:szCs w:val="16"/>
          <w:color w:val="auto"/>
        </w:rPr>
        <w:t>Each notice delivered under this Section 8(b) shall be accompanied by a statement of a Responsible Officer of the Parent Guarantor setting forth in reasonable detail the event or development requiring such notice and any action taken or proposed to be taken with respect thereto. Information required to be delivered pursuant to clause (ii), (iii) and (iv) of this Section 8(b) shall be deemed to have been delivered if such information, or one or more annual, quarterly, current or other reports containing such information, is (A) filed for public availability on the SEC’s Electronic Data Gathering and Retrieval System, (B) posted or the Parent Guarantor provides a link thereto on http://www.regeneron.com or http://www.investor.regeneron.com; or (C) posted on the Parent Guarantor’s or Lessee’s behalf on an Internet or intranet website, if any, to which the Administrative Agent and the Participants have access (whether a commercial, third-party website or whether sponsored by the Administrative Agent). Information required to be delivered pursuant to this Section 8(b) may also be delivered by electronic communications pursuant to procedures approved by the Administrative Agent.</w:t>
      </w:r>
    </w:p>
    <w:p>
      <w:pPr>
        <w:spacing w:after="0" w:line="166" w:lineRule="exact"/>
        <w:rPr>
          <w:sz w:val="20"/>
          <w:szCs w:val="20"/>
          <w:color w:val="auto"/>
        </w:rPr>
      </w:pPr>
    </w:p>
    <w:p>
      <w:pPr>
        <w:ind w:right="220" w:firstLine="1332"/>
        <w:spacing w:after="0" w:line="291" w:lineRule="auto"/>
        <w:tabs>
          <w:tab w:leader="none" w:pos="1955" w:val="left"/>
        </w:tabs>
        <w:numPr>
          <w:ilvl w:val="1"/>
          <w:numId w:val="140"/>
        </w:numPr>
        <w:rPr>
          <w:rFonts w:ascii="Arial" w:cs="Arial" w:eastAsia="Arial" w:hAnsi="Arial"/>
          <w:sz w:val="16"/>
          <w:szCs w:val="16"/>
          <w:color w:val="auto"/>
        </w:rPr>
      </w:pPr>
      <w:r>
        <w:rPr>
          <w:rFonts w:ascii="Arial" w:cs="Arial" w:eastAsia="Arial" w:hAnsi="Arial"/>
          <w:sz w:val="16"/>
          <w:szCs w:val="16"/>
          <w:i w:val="1"/>
          <w:iCs w:val="1"/>
          <w:color w:val="auto"/>
        </w:rPr>
        <w:t>Existence; Conduct of Business</w:t>
      </w:r>
      <w:r>
        <w:rPr>
          <w:rFonts w:ascii="Arial" w:cs="Arial" w:eastAsia="Arial" w:hAnsi="Arial"/>
          <w:sz w:val="16"/>
          <w:szCs w:val="16"/>
          <w:color w:val="auto"/>
        </w:rPr>
        <w:t>. The Parent Guarantor will, and will cause each other Subsidiary Guarantor, Lessee and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the Material Subsidiaries to, (A) do or cause to be done all things necessary to preserve, renew and keep in full force and effect its legal existence and</w:t>
      </w:r>
    </w:p>
    <w:p>
      <w:pPr>
        <w:ind w:right="40" w:firstLine="8"/>
        <w:spacing w:after="0" w:line="292" w:lineRule="auto"/>
        <w:tabs>
          <w:tab w:leader="none" w:pos="28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take, or cause to be taken, all reasonable actions to preserve, renew and keep in full force and effect the rights, qualifications, licenses, permits, privileges, franchises, governmental authorizations and intellectual property rights material to the conduct of the business of the Parent Guarantor and its Subsidiaries taken as a whole and maintain all requisite authority to conduct its business in each jurisdiction in which its business is conducted, except, in the case of this clause (B), to the extent that failure to do so could not reasonably be expected to result in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Section 8(c) shall not prohibit any Permitted Restructurings, merger, consolidation, disposition, liquidation, dissolution or other transaction permitted under Section 9(c).</w:t>
      </w:r>
    </w:p>
    <w:p>
      <w:pPr>
        <w:spacing w:after="0" w:line="162" w:lineRule="exact"/>
        <w:rPr>
          <w:rFonts w:ascii="Arial" w:cs="Arial" w:eastAsia="Arial" w:hAnsi="Arial"/>
          <w:sz w:val="16"/>
          <w:szCs w:val="16"/>
          <w:color w:val="auto"/>
        </w:rPr>
      </w:pPr>
    </w:p>
    <w:p>
      <w:pPr>
        <w:ind w:right="160" w:firstLine="1332"/>
        <w:spacing w:after="0" w:line="259" w:lineRule="auto"/>
        <w:tabs>
          <w:tab w:leader="none" w:pos="1952" w:val="left"/>
        </w:tabs>
        <w:numPr>
          <w:ilvl w:val="1"/>
          <w:numId w:val="141"/>
        </w:numPr>
        <w:rPr>
          <w:rFonts w:ascii="Arial" w:cs="Arial" w:eastAsia="Arial" w:hAnsi="Arial"/>
          <w:sz w:val="18"/>
          <w:szCs w:val="18"/>
          <w:color w:val="auto"/>
        </w:rPr>
      </w:pPr>
      <w:r>
        <w:rPr>
          <w:rFonts w:ascii="Arial" w:cs="Arial" w:eastAsia="Arial" w:hAnsi="Arial"/>
          <w:sz w:val="18"/>
          <w:szCs w:val="18"/>
          <w:i w:val="1"/>
          <w:iCs w:val="1"/>
          <w:color w:val="auto"/>
        </w:rPr>
        <w:t>Payment of Taxes</w:t>
      </w:r>
      <w:r>
        <w:rPr>
          <w:rFonts w:ascii="Arial" w:cs="Arial" w:eastAsia="Arial" w:hAnsi="Arial"/>
          <w:sz w:val="18"/>
          <w:szCs w:val="18"/>
          <w:color w:val="auto"/>
        </w:rPr>
        <w:t>. The Parent Guarantor will, and will cause each of its Subsidiaries (including the Lessee) to, pay its Tax</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that, if not paid, could reasonably be expected to result in a Material Adverse Effect before the same shall become delinquent or in default, except where Taxes that are being contested in good faith by appropriate proceedings and for which the Parent Guarantor and/or such Subsidiary, as applicable, has set aside on its books adequate reserves in accordance with GAAP.</w:t>
      </w:r>
    </w:p>
    <w:p>
      <w:pPr>
        <w:spacing w:after="0" w:line="186" w:lineRule="exact"/>
        <w:rPr>
          <w:rFonts w:ascii="Arial" w:cs="Arial" w:eastAsia="Arial" w:hAnsi="Arial"/>
          <w:sz w:val="18"/>
          <w:szCs w:val="18"/>
          <w:color w:val="auto"/>
        </w:rPr>
      </w:pPr>
    </w:p>
    <w:p>
      <w:pPr>
        <w:ind w:left="1960" w:hanging="628"/>
        <w:spacing w:after="0"/>
        <w:tabs>
          <w:tab w:leader="none" w:pos="1960" w:val="left"/>
        </w:tabs>
        <w:numPr>
          <w:ilvl w:val="1"/>
          <w:numId w:val="141"/>
        </w:numPr>
        <w:rPr>
          <w:rFonts w:ascii="Arial" w:cs="Arial" w:eastAsia="Arial" w:hAnsi="Arial"/>
          <w:sz w:val="16"/>
          <w:szCs w:val="16"/>
          <w:color w:val="auto"/>
        </w:rPr>
      </w:pPr>
      <w:r>
        <w:rPr>
          <w:rFonts w:ascii="Arial" w:cs="Arial" w:eastAsia="Arial" w:hAnsi="Arial"/>
          <w:sz w:val="16"/>
          <w:szCs w:val="16"/>
          <w:i w:val="1"/>
          <w:iCs w:val="1"/>
          <w:color w:val="auto"/>
        </w:rPr>
        <w:t>Maintenance of Properties; Insurance</w:t>
      </w:r>
      <w:r>
        <w:rPr>
          <w:rFonts w:ascii="Arial" w:cs="Arial" w:eastAsia="Arial" w:hAnsi="Arial"/>
          <w:sz w:val="16"/>
          <w:szCs w:val="16"/>
          <w:color w:val="auto"/>
        </w:rPr>
        <w:t>. The Parent Guarantor will, and will cause each of its Subsidiaries (including the Lessee) to,</w:t>
      </w:r>
    </w:p>
    <w:p>
      <w:pPr>
        <w:spacing w:after="0" w:line="46" w:lineRule="exact"/>
        <w:rPr>
          <w:rFonts w:ascii="Arial" w:cs="Arial" w:eastAsia="Arial" w:hAnsi="Arial"/>
          <w:sz w:val="16"/>
          <w:szCs w:val="16"/>
          <w:color w:val="auto"/>
        </w:rPr>
      </w:pPr>
    </w:p>
    <w:p>
      <w:pPr>
        <w:ind w:right="240"/>
        <w:spacing w:after="0" w:line="292" w:lineRule="auto"/>
        <w:rPr>
          <w:rFonts w:ascii="Arial" w:cs="Arial" w:eastAsia="Arial" w:hAnsi="Arial"/>
          <w:sz w:val="16"/>
          <w:szCs w:val="16"/>
          <w:color w:val="auto"/>
        </w:rPr>
      </w:pPr>
      <w:r>
        <w:rPr>
          <w:rFonts w:ascii="Arial" w:cs="Arial" w:eastAsia="Arial" w:hAnsi="Arial"/>
          <w:sz w:val="16"/>
          <w:szCs w:val="16"/>
          <w:color w:val="auto"/>
        </w:rPr>
        <w:t>(i) keep and maintain all other tangible property material to the conduct of its business in good working order and condition, ordinary wear and tear and casualty excepted and except (A) pursuant to transactions permitted by Section 9(c) or (B) where the failure to do so could not reasonably be expected to result in a Material Adverse Effect, and (ii) maintain, subject to Article XIII of the Lease, in all material respects, with carriers reasonably believed by the Parent Guarantor to be financially sound and reputable insurance or through reasonable and adequate self-insurance in such amounts and against such risks and such other hazards, as is customarily maintained by companies engaged in the same or similar businesses operating in the same or similar locations.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59"/>
        <w:spacing w:after="0" w:line="285" w:lineRule="auto"/>
        <w:tabs>
          <w:tab w:leader="none" w:pos="1949" w:val="left"/>
        </w:tabs>
        <w:numPr>
          <w:ilvl w:val="0"/>
          <w:numId w:val="142"/>
        </w:numPr>
        <w:rPr>
          <w:rFonts w:ascii="Arial" w:cs="Arial" w:eastAsia="Arial" w:hAnsi="Arial"/>
          <w:sz w:val="16"/>
          <w:szCs w:val="16"/>
          <w:color w:val="auto"/>
        </w:rPr>
      </w:pPr>
      <w:r>
        <w:rPr>
          <w:rFonts w:ascii="Arial" w:cs="Arial" w:eastAsia="Arial" w:hAnsi="Arial"/>
          <w:sz w:val="16"/>
          <w:szCs w:val="16"/>
          <w:i w:val="1"/>
          <w:iCs w:val="1"/>
          <w:color w:val="auto"/>
        </w:rPr>
        <w:t>Books and Records; Inspection Rights</w:t>
      </w:r>
      <w:r>
        <w:rPr>
          <w:rFonts w:ascii="Arial" w:cs="Arial" w:eastAsia="Arial" w:hAnsi="Arial"/>
          <w:sz w:val="16"/>
          <w:szCs w:val="16"/>
          <w:color w:val="auto"/>
        </w:rPr>
        <w:t>. The Parent Guarantor will, and will cause each of its Material Subsidiaries and the Lessee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keep proper books of record and account in which full, true and correct entries in conformity in all material respects with applicable law are made of all material financial dealings and transactions in relation to its business and activities and, subject to Section 8(a)(ii), in form permitting financial statements conforming with GAAP or IFRS (as applicable) to be derived therefrom. The Parent Guarantor will, and will cause each of its Subsidiaries (including the Lessee) to, permit any representatives designated by the Lessor and/or Administrative Agent, at reasonable times upon reasonable prior written notice, to visit and inspect its properties, to examine and make extracts from its books and records and to discuss its affairs, finances and condition with its Responsible Officers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Parent Guarantor or such Subsidiary is afforded the opportunity to participate in such discussion, its independent accountants, all at such reasonable times and as often as reasonably requested;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 long as no Event of Default has occurred and is continuing, none of the Guarantors or Lessee shall be required to reimburse the Lessor or Administrative Agent or any of their respective representatives for fees, costs and expenses in connection with the Administrative Agent’s or the Lessor’s exercise of such rights set forth in this sentence more than one time total in any calendar year. The Parent Guarantor acknowledges that, subject to Section 15.14 of the Participation Agreement, the Administrative Agent or Lessor, after exercising its rights of inspection, may prepare and distribute to the Participants certain reports pertaining to the assets of the Parent Guarantor, Lessee and/or any Subsidiary for internal use by the Administrative Agent, the Lessor and the Lenders. Notwithstanding anything to the contrary in this Section 8, neither the Parent Guarantor nor any of its Subsidiaries will be required to disclose, permit the inspection, examination or making of extracts, or discussion of, any documents, information or other matter that (1) constitutes non-financial trade secrets or non-financial proprietary information, (2) in respect of which disclosure to the Administrative Agent or Lessor (or any designated representative) is then prohibited by law, rule or regulation or any agreement binding on the Parent Guarantor or any of its Subsidiaries or (3) is subject to attorney-client or similar privilege or constitutes attorney work-product.</w:t>
      </w:r>
    </w:p>
    <w:p>
      <w:pPr>
        <w:spacing w:after="0" w:line="175" w:lineRule="exact"/>
        <w:rPr>
          <w:rFonts w:ascii="Arial" w:cs="Arial" w:eastAsia="Arial" w:hAnsi="Arial"/>
          <w:sz w:val="16"/>
          <w:szCs w:val="16"/>
          <w:color w:val="auto"/>
        </w:rPr>
      </w:pPr>
    </w:p>
    <w:p>
      <w:pPr>
        <w:ind w:right="120" w:firstLine="1332"/>
        <w:spacing w:after="0" w:line="276" w:lineRule="auto"/>
        <w:tabs>
          <w:tab w:leader="none" w:pos="1965" w:val="left"/>
        </w:tabs>
        <w:numPr>
          <w:ilvl w:val="0"/>
          <w:numId w:val="142"/>
        </w:numPr>
        <w:rPr>
          <w:rFonts w:ascii="Arial" w:cs="Arial" w:eastAsia="Arial" w:hAnsi="Arial"/>
          <w:sz w:val="17"/>
          <w:szCs w:val="17"/>
          <w:color w:val="auto"/>
        </w:rPr>
      </w:pPr>
      <w:r>
        <w:rPr>
          <w:rFonts w:ascii="Arial" w:cs="Arial" w:eastAsia="Arial" w:hAnsi="Arial"/>
          <w:sz w:val="17"/>
          <w:szCs w:val="17"/>
          <w:i w:val="1"/>
          <w:iCs w:val="1"/>
          <w:color w:val="auto"/>
        </w:rPr>
        <w:t>Compliance with Laws</w:t>
      </w:r>
      <w:r>
        <w:rPr>
          <w:rFonts w:ascii="Arial" w:cs="Arial" w:eastAsia="Arial" w:hAnsi="Arial"/>
          <w:sz w:val="17"/>
          <w:szCs w:val="17"/>
          <w:color w:val="auto"/>
        </w:rPr>
        <w:t>. The Parent Guarantor will, and will cause each of its Subsidiaries (including the Lessee) to, comply with</w:t>
      </w:r>
      <w:r>
        <w:rPr>
          <w:rFonts w:ascii="Arial" w:cs="Arial" w:eastAsia="Arial" w:hAnsi="Arial"/>
          <w:sz w:val="17"/>
          <w:szCs w:val="17"/>
          <w:i w:val="1"/>
          <w:iCs w:val="1"/>
          <w:color w:val="auto"/>
        </w:rPr>
        <w:t xml:space="preserve"> </w:t>
      </w:r>
      <w:r>
        <w:rPr>
          <w:rFonts w:ascii="Arial" w:cs="Arial" w:eastAsia="Arial" w:hAnsi="Arial"/>
          <w:sz w:val="17"/>
          <w:szCs w:val="17"/>
          <w:color w:val="auto"/>
        </w:rPr>
        <w:t>all laws, rules, regulations and orders of any Governmental Authority applicable to it or its property (including without limitation Environmental Laws), except where the failure to do so could not reasonably be expected to result in a Material Adverse Effect. The Parent Guarantor will maintain in effect and enforce policies and is implementing and will maintain procedures reasonably designed to achieve compliance by the Parent Guarantor, its Subsidiaries (including the Lessee) and their respective directors, officers, employees and agents with Anti-Corruption Laws and applicable Sanctions.</w:t>
      </w:r>
    </w:p>
    <w:p>
      <w:pPr>
        <w:spacing w:after="0" w:line="172" w:lineRule="exact"/>
        <w:rPr>
          <w:rFonts w:ascii="Arial" w:cs="Arial" w:eastAsia="Arial" w:hAnsi="Arial"/>
          <w:sz w:val="17"/>
          <w:szCs w:val="17"/>
          <w:color w:val="auto"/>
        </w:rPr>
      </w:pPr>
    </w:p>
    <w:p>
      <w:pPr>
        <w:ind w:right="20" w:firstLine="1332"/>
        <w:spacing w:after="0" w:line="257" w:lineRule="auto"/>
        <w:tabs>
          <w:tab w:leader="none" w:pos="1952"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 xml:space="preserve">Additional Subsidiary Guarantors. </w:t>
      </w:r>
      <w:r>
        <w:rPr>
          <w:rFonts w:ascii="Arial" w:cs="Arial" w:eastAsia="Arial" w:hAnsi="Arial"/>
          <w:sz w:val="18"/>
          <w:szCs w:val="18"/>
          <w:color w:val="auto"/>
        </w:rPr>
        <w:t>Within forty-five (45) days (or such later date as may be agreed upon by the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after which financial statements have been delivered pursuant to Section 8(a)(i) and any Person (other than the Lessee) qualifies as a Material Domestic Subsidiary pursuant to the definition of “Material Subsidiary” in accordance with the calculations in such financial statements, the Parent Guarantor shall provide the Administrative Agent with written notice thereof and shall cause each such Subsidiary to execute and deliver to the Administrative Agent the Guaranty (or a joinder thereto in the form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contemplated thereby) pursuant to which such Subsidiary agrees to be bound by the terms and provisions thereof, the Guaranty (or joinder thereto) to be accompanied by requisite organizational resolutions, other organizational documentation and legal opinions as may be reasonably requested by the Administrative Agent (with any such opinion so requested to be in form and substance reasonably satisfactory to the Administrative Agent but, in any case, limited to the types of matters covered in the legal opinions delivered pursuant to Section 6.1 of the Participation Agreement). Each guarantor and each borrower under the Bank Credit Agreement that is a Domestic Subsidiary (and not (x) the Lessee or (y) an Excluded Subsidiary pursuant to any of clauses</w:t>
      </w:r>
    </w:p>
    <w:p>
      <w:pPr>
        <w:sectPr>
          <w:pgSz w:w="11900" w:h="16838" w:orient="portrait"/>
          <w:cols w:equalWidth="0" w:num="1">
            <w:col w:w="11420"/>
          </w:cols>
          <w:pgMar w:left="240" w:top="584" w:right="239" w:bottom="0" w:gutter="0" w:footer="0" w:header="0"/>
        </w:sectPr>
      </w:pPr>
    </w:p>
    <w:bookmarkStart w:id="68" w:name="page69"/>
    <w:bookmarkEnd w:id="68"/>
    <w:p>
      <w:pPr>
        <w:spacing w:after="0" w:line="80" w:lineRule="exact"/>
        <w:rPr>
          <w:sz w:val="20"/>
          <w:szCs w:val="20"/>
          <w:color w:val="auto"/>
        </w:rPr>
      </w:pPr>
    </w:p>
    <w:p>
      <w:pPr>
        <w:ind w:right="620" w:firstLine="8"/>
        <w:spacing w:after="0" w:line="277" w:lineRule="auto"/>
        <w:tabs>
          <w:tab w:leader="none" w:pos="24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through (d) of the definition thereof) shall be party to this Guaranty, subject to Section 17 hereof. Notwithstanding anything to the contrary in any Operative Document, no Excluded Subsidiary shall be required to become a Subsidiary Guarantor.</w:t>
      </w:r>
    </w:p>
    <w:p>
      <w:pPr>
        <w:spacing w:after="0" w:line="170" w:lineRule="exact"/>
        <w:rPr>
          <w:rFonts w:ascii="Arial" w:cs="Arial" w:eastAsia="Arial" w:hAnsi="Arial"/>
          <w:sz w:val="18"/>
          <w:szCs w:val="18"/>
          <w:color w:val="auto"/>
        </w:rPr>
      </w:pPr>
    </w:p>
    <w:p>
      <w:pPr>
        <w:ind w:right="20" w:firstLine="1369"/>
        <w:spacing w:after="0" w:line="255" w:lineRule="auto"/>
        <w:tabs>
          <w:tab w:leader="none" w:pos="1963" w:val="left"/>
        </w:tabs>
        <w:numPr>
          <w:ilvl w:val="1"/>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Use of Proceeds. </w:t>
      </w:r>
      <w:r>
        <w:rPr>
          <w:rFonts w:ascii="Arial" w:cs="Arial" w:eastAsia="Arial" w:hAnsi="Arial"/>
          <w:sz w:val="18"/>
          <w:szCs w:val="18"/>
          <w:color w:val="auto"/>
        </w:rPr>
        <w:t>The proceeds of the Advance will be used only to pay for Participant Costs. No part of the proceeds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will be used, whether directly or indirectly, for any purpose that entails a violation of any of the Regulations of the F.R.S. Board, including Regulations T, U and X of the F.R.S. Board. The Parent Guarantor shall procure that its Subsidiaries (including the Lessee) and its or their respective directors, officers, employees and agents shall not use, the proceeds of the Advance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189" w:lineRule="exact"/>
        <w:rPr>
          <w:sz w:val="20"/>
          <w:szCs w:val="20"/>
          <w:color w:val="auto"/>
        </w:rPr>
      </w:pPr>
    </w:p>
    <w:p>
      <w:pPr>
        <w:ind w:right="300" w:firstLine="778"/>
        <w:spacing w:after="0" w:line="277" w:lineRule="auto"/>
        <w:rPr>
          <w:sz w:val="20"/>
          <w:szCs w:val="20"/>
          <w:color w:val="auto"/>
        </w:rPr>
      </w:pPr>
      <w:r>
        <w:rPr>
          <w:rFonts w:ascii="Arial" w:cs="Arial" w:eastAsia="Arial" w:hAnsi="Arial"/>
          <w:sz w:val="18"/>
          <w:szCs w:val="18"/>
          <w:i w:val="1"/>
          <w:iCs w:val="1"/>
          <w:color w:val="auto"/>
        </w:rPr>
        <w:t xml:space="preserve">Section 9. Guarantor Negative Covenants. </w:t>
      </w:r>
      <w:r>
        <w:rPr>
          <w:rFonts w:ascii="Arial" w:cs="Arial" w:eastAsia="Arial" w:hAnsi="Arial"/>
          <w:sz w:val="18"/>
          <w:szCs w:val="18"/>
          <w:color w:val="auto"/>
        </w:rPr>
        <w:t>The Parent Guarantor shall comply with the following covenants until all Liabilities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paid in full:</w:t>
      </w:r>
    </w:p>
    <w:p>
      <w:pPr>
        <w:spacing w:after="0" w:line="170" w:lineRule="exact"/>
        <w:rPr>
          <w:sz w:val="20"/>
          <w:szCs w:val="20"/>
          <w:color w:val="auto"/>
        </w:rPr>
      </w:pPr>
    </w:p>
    <w:p>
      <w:pPr>
        <w:ind w:firstLine="1332"/>
        <w:spacing w:after="0" w:line="277" w:lineRule="auto"/>
        <w:tabs>
          <w:tab w:leader="none" w:pos="1942"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Indebtedness</w:t>
      </w:r>
      <w:r>
        <w:rPr>
          <w:rFonts w:ascii="Arial" w:cs="Arial" w:eastAsia="Arial" w:hAnsi="Arial"/>
          <w:sz w:val="18"/>
          <w:szCs w:val="18"/>
          <w:color w:val="auto"/>
        </w:rPr>
        <w:t>. The Parent Guarantor will not, and will not permit Lessee or any other Subsidiary to, create, incur, assume or permit</w:t>
      </w:r>
      <w:r>
        <w:rPr>
          <w:rFonts w:ascii="Arial" w:cs="Arial" w:eastAsia="Arial" w:hAnsi="Arial"/>
          <w:sz w:val="18"/>
          <w:szCs w:val="18"/>
          <w:i w:val="1"/>
          <w:iCs w:val="1"/>
          <w:color w:val="auto"/>
        </w:rPr>
        <w:t xml:space="preserve"> </w:t>
      </w:r>
      <w:r>
        <w:rPr>
          <w:rFonts w:ascii="Arial" w:cs="Arial" w:eastAsia="Arial" w:hAnsi="Arial"/>
          <w:sz w:val="18"/>
          <w:szCs w:val="18"/>
          <w:color w:val="auto"/>
        </w:rPr>
        <w:t>to exist any Indebtedness, except:</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300" w:right="260" w:firstLine="653"/>
        <w:spacing w:after="0" w:line="279" w:lineRule="auto"/>
        <w:tabs>
          <w:tab w:leader="none" w:pos="2627" w:val="left"/>
        </w:tabs>
        <w:numPr>
          <w:ilvl w:val="1"/>
          <w:numId w:val="144"/>
        </w:numPr>
        <w:rPr>
          <w:rFonts w:ascii="Arial" w:cs="Arial" w:eastAsia="Arial" w:hAnsi="Arial"/>
          <w:sz w:val="17"/>
          <w:szCs w:val="17"/>
          <w:color w:val="auto"/>
        </w:rPr>
      </w:pPr>
      <w:r>
        <w:rPr>
          <w:rFonts w:ascii="Arial" w:cs="Arial" w:eastAsia="Arial" w:hAnsi="Arial"/>
          <w:sz w:val="17"/>
          <w:szCs w:val="17"/>
          <w:color w:val="auto"/>
        </w:rPr>
        <w:t>Indebtedness existing on the date hereof and set forth in Schedule 9(a) and amendments, modifications, extensions, refinancings, renewals and replacements of any such Indebtedness that does not increase the outstanding principal amount thereof (other than with respect to unpaid accrued interest and premium thereon, any committed or undrawn amounts and underwriting discounts, fees, commissions, premiums and expenses associated with such Indebtedness);</w:t>
      </w:r>
    </w:p>
    <w:p>
      <w:pPr>
        <w:spacing w:after="0" w:line="171" w:lineRule="exact"/>
        <w:rPr>
          <w:rFonts w:ascii="Arial" w:cs="Arial" w:eastAsia="Arial" w:hAnsi="Arial"/>
          <w:sz w:val="17"/>
          <w:szCs w:val="17"/>
          <w:color w:val="auto"/>
        </w:rPr>
      </w:pPr>
    </w:p>
    <w:p>
      <w:pPr>
        <w:ind w:left="2640" w:hanging="687"/>
        <w:spacing w:after="0"/>
        <w:tabs>
          <w:tab w:leader="none" w:pos="264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Indebtedness of the Parent Guarantor to any Subsidiary and of any Subsidiary to the Parent Guarantor or any other</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Subsidiary;</w:t>
      </w:r>
    </w:p>
    <w:p>
      <w:pPr>
        <w:spacing w:after="0" w:line="210" w:lineRule="exact"/>
        <w:rPr>
          <w:rFonts w:ascii="Arial" w:cs="Arial" w:eastAsia="Arial" w:hAnsi="Arial"/>
          <w:sz w:val="17"/>
          <w:szCs w:val="17"/>
          <w:color w:val="auto"/>
        </w:rPr>
      </w:pPr>
    </w:p>
    <w:p>
      <w:pPr>
        <w:ind w:left="1300" w:right="400" w:firstLine="653"/>
        <w:spacing w:after="0" w:line="277" w:lineRule="auto"/>
        <w:tabs>
          <w:tab w:leader="none" w:pos="2613" w:val="left"/>
        </w:tabs>
        <w:numPr>
          <w:ilvl w:val="1"/>
          <w:numId w:val="144"/>
        </w:numPr>
        <w:rPr>
          <w:rFonts w:ascii="Arial" w:cs="Arial" w:eastAsia="Arial" w:hAnsi="Arial"/>
          <w:sz w:val="18"/>
          <w:szCs w:val="18"/>
          <w:color w:val="auto"/>
        </w:rPr>
      </w:pPr>
      <w:r>
        <w:rPr>
          <w:rFonts w:ascii="Arial" w:cs="Arial" w:eastAsia="Arial" w:hAnsi="Arial"/>
          <w:sz w:val="18"/>
          <w:szCs w:val="18"/>
          <w:color w:val="auto"/>
        </w:rPr>
        <w:t>Guarantees by the Parent Guarantor of Indebtedness or other obligations of any Subsidiary and by any Subsidiary of Indebtedness or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obligations of the Parent Guarantor or any other Subsidiary;</w:t>
      </w:r>
    </w:p>
    <w:p>
      <w:pPr>
        <w:spacing w:after="0" w:line="225" w:lineRule="exact"/>
        <w:rPr>
          <w:sz w:val="20"/>
          <w:szCs w:val="20"/>
          <w:color w:val="auto"/>
        </w:rPr>
      </w:pPr>
    </w:p>
    <w:p>
      <w:pPr>
        <w:ind w:left="1300" w:right="40" w:firstLine="653"/>
        <w:spacing w:after="0" w:line="272" w:lineRule="auto"/>
        <w:tabs>
          <w:tab w:leader="none" w:pos="2604"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Indebtedness of the Parent Guarantor or any Subsidiary incurred to finance the acquisition, construction, repair, replacement, lease or improvement of any fixed or capital assets, including Capital Lease Obligations and any Indebtedness assumed in connection with the acquisition of any such assets or secured by a Lien on any such assets prior to the acquisition thereof, and amendments, modifications, extensions, refinancings, renewals and replacements of any such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Indebtedness is incurred prior to or within one hundred eighty (180) days after such acquisition or the completion of such construction, repair, replacement, lease or improvement and (B) the aggregate outstanding principal amount of Indebtedness permitted by this clause (v) shall not exceed $75,000,000 at any time outstanding;</w:t>
      </w:r>
    </w:p>
    <w:p>
      <w:pPr>
        <w:spacing w:after="0" w:line="177" w:lineRule="exact"/>
        <w:rPr>
          <w:rFonts w:ascii="Arial" w:cs="Arial" w:eastAsia="Arial" w:hAnsi="Arial"/>
          <w:sz w:val="17"/>
          <w:szCs w:val="17"/>
          <w:color w:val="auto"/>
        </w:rPr>
      </w:pPr>
    </w:p>
    <w:p>
      <w:pPr>
        <w:ind w:left="2620" w:hanging="667"/>
        <w:spacing w:after="0"/>
        <w:tabs>
          <w:tab w:leader="none" w:pos="26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Indebtedness of the Parent Guarantor or any Subsidiary as an account party in respect of letters of credit or bank</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guarantees;</w:t>
      </w:r>
    </w:p>
    <w:p>
      <w:pPr>
        <w:spacing w:after="0" w:line="210" w:lineRule="exact"/>
        <w:rPr>
          <w:rFonts w:ascii="Arial" w:cs="Arial" w:eastAsia="Arial" w:hAnsi="Arial"/>
          <w:sz w:val="17"/>
          <w:szCs w:val="17"/>
          <w:color w:val="auto"/>
        </w:rPr>
      </w:pPr>
    </w:p>
    <w:p>
      <w:pPr>
        <w:ind w:left="1300" w:right="400" w:firstLine="653"/>
        <w:spacing w:after="0" w:line="277" w:lineRule="auto"/>
        <w:tabs>
          <w:tab w:leader="none" w:pos="262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unfunded pension fund and other employee benefit plan obligations and liabilities to the extent they are permitted to remain unfunded under applicable law;</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Indebtedness representing deferred compensation to employees incurred in the ordinary course of business;</w:t>
      </w:r>
    </w:p>
    <w:p>
      <w:pPr>
        <w:spacing w:after="0" w:line="225" w:lineRule="exact"/>
        <w:rPr>
          <w:rFonts w:ascii="Arial" w:cs="Arial" w:eastAsia="Arial" w:hAnsi="Arial"/>
          <w:sz w:val="18"/>
          <w:szCs w:val="18"/>
          <w:color w:val="auto"/>
        </w:rPr>
      </w:pPr>
    </w:p>
    <w:p>
      <w:pPr>
        <w:ind w:left="1300" w:right="80" w:firstLine="653"/>
        <w:spacing w:after="0" w:line="264" w:lineRule="auto"/>
        <w:tabs>
          <w:tab w:leader="none" w:pos="261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Guarantees, surety bonds or performance bonds securing the performance of the Parent Guarantor or any of its Subsidiaries, in each case incurred or assumed in connection with an Acquisition or disposition or other acquisition of assets not prohibited hereunder;</w:t>
      </w:r>
    </w:p>
    <w:p>
      <w:pPr>
        <w:spacing w:after="0" w:line="181" w:lineRule="exact"/>
        <w:rPr>
          <w:rFonts w:ascii="Arial" w:cs="Arial" w:eastAsia="Arial" w:hAnsi="Arial"/>
          <w:sz w:val="18"/>
          <w:szCs w:val="18"/>
          <w:color w:val="auto"/>
        </w:rPr>
      </w:pPr>
    </w:p>
    <w:p>
      <w:pPr>
        <w:ind w:left="1300" w:right="40" w:firstLine="653"/>
        <w:spacing w:after="0" w:line="312" w:lineRule="auto"/>
        <w:tabs>
          <w:tab w:leader="none" w:pos="2604" w:val="left"/>
        </w:tabs>
        <w:numPr>
          <w:ilvl w:val="0"/>
          <w:numId w:val="145"/>
        </w:numPr>
        <w:rPr>
          <w:rFonts w:ascii="Arial" w:cs="Arial" w:eastAsia="Arial" w:hAnsi="Arial"/>
          <w:sz w:val="16"/>
          <w:szCs w:val="16"/>
          <w:color w:val="auto"/>
        </w:rPr>
      </w:pPr>
      <w:r>
        <w:rPr>
          <w:rFonts w:ascii="Arial" w:cs="Arial" w:eastAsia="Arial" w:hAnsi="Arial"/>
          <w:sz w:val="16"/>
          <w:szCs w:val="16"/>
          <w:color w:val="auto"/>
        </w:rPr>
        <w:t>Indebtedness of the Parent Guarantor or any of its Subsidiaries in respect of performance bonds, bid bonds, appeal bonds, surety bonds and similar obligations, in each case provided in the ordinary course of business, including guarantees or obligations with respect to letters of credit supporting such performance bonds, bid bonds, appeal bonds, surety bonds and similar obligations;</w:t>
      </w:r>
    </w:p>
    <w:p>
      <w:pPr>
        <w:spacing w:after="0" w:line="146" w:lineRule="exact"/>
        <w:rPr>
          <w:rFonts w:ascii="Arial" w:cs="Arial" w:eastAsia="Arial" w:hAnsi="Arial"/>
          <w:sz w:val="16"/>
          <w:szCs w:val="16"/>
          <w:color w:val="auto"/>
        </w:rPr>
      </w:pPr>
    </w:p>
    <w:p>
      <w:pPr>
        <w:ind w:left="1300" w:right="140" w:firstLine="653"/>
        <w:spacing w:after="0" w:line="259" w:lineRule="auto"/>
        <w:tabs>
          <w:tab w:leader="none" w:pos="261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Indebtedness arising from the honoring by a bank or other financial institution of a check, draft or similar instrument drawn against insufficient funds in the ordinary course of business or otherwise in respect of any netting services, overdrafts and related liabilities arising from treasury, depository and cash management services or in connection with any automated clearing-house transfers of funds;</w:t>
      </w:r>
    </w:p>
    <w:p>
      <w:pPr>
        <w:spacing w:after="0" w:line="186" w:lineRule="exact"/>
        <w:rPr>
          <w:rFonts w:ascii="Arial" w:cs="Arial" w:eastAsia="Arial" w:hAnsi="Arial"/>
          <w:sz w:val="18"/>
          <w:szCs w:val="18"/>
          <w:color w:val="auto"/>
        </w:rPr>
      </w:pPr>
    </w:p>
    <w:p>
      <w:pPr>
        <w:ind w:left="2620" w:hanging="667"/>
        <w:spacing w:after="0"/>
        <w:tabs>
          <w:tab w:leader="none" w:pos="26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Indebtedness in respect to judgments or awards under circumstances not giving rise to an Event of Default;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40" w:hanging="687"/>
        <w:spacing w:after="0"/>
        <w:tabs>
          <w:tab w:leader="none" w:pos="26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Indebtedness in respect of obligations that are being contested in accordance with Section 8(d);</w:t>
      </w:r>
    </w:p>
    <w:p>
      <w:pPr>
        <w:spacing w:after="0" w:line="225" w:lineRule="exact"/>
        <w:rPr>
          <w:rFonts w:ascii="Arial" w:cs="Arial" w:eastAsia="Arial" w:hAnsi="Arial"/>
          <w:sz w:val="18"/>
          <w:szCs w:val="18"/>
          <w:color w:val="auto"/>
        </w:rPr>
      </w:pPr>
    </w:p>
    <w:p>
      <w:pPr>
        <w:ind w:left="1300" w:firstLine="653"/>
        <w:spacing w:after="0" w:line="264" w:lineRule="auto"/>
        <w:tabs>
          <w:tab w:leader="none" w:pos="260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Indebtedness consisting of (A) deferred payments or financing of insurance premiums incurred in the ordinary course of business of the Parent Guarantor or any of its Subsidiaries and (B) take or pay obligations contained in any supply agreement entered into in the ordinary course of business;</w:t>
      </w:r>
    </w:p>
    <w:p>
      <w:pPr>
        <w:sectPr>
          <w:pgSz w:w="11900" w:h="16918" w:orient="portrait"/>
          <w:cols w:equalWidth="0" w:num="1">
            <w:col w:w="11400"/>
          </w:cols>
          <w:pgMar w:left="240" w:top="125" w:right="259" w:bottom="0" w:gutter="0" w:footer="0" w:header="0"/>
        </w:sectPr>
      </w:pPr>
    </w:p>
    <w:bookmarkStart w:id="69" w:name="page70"/>
    <w:bookmarkEnd w:id="69"/>
    <w:p>
      <w:pPr>
        <w:spacing w:after="0" w:line="106" w:lineRule="exact"/>
        <w:rPr>
          <w:sz w:val="20"/>
          <w:szCs w:val="20"/>
          <w:color w:val="auto"/>
        </w:rPr>
      </w:pPr>
    </w:p>
    <w:p>
      <w:pPr>
        <w:ind w:left="1260" w:right="200" w:firstLine="653"/>
        <w:spacing w:after="0" w:line="264" w:lineRule="auto"/>
        <w:tabs>
          <w:tab w:leader="none" w:pos="255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Indebtedness representing deferred compensation, severance, pension, and health and welfare retirement benefits or the equivalent to current and former employees of the Parent Guarantor and its Subsidiaries incurred in the ordinary course of business or existing on the Document Closing Date;</w:t>
      </w:r>
    </w:p>
    <w:p>
      <w:pPr>
        <w:spacing w:after="0" w:line="181" w:lineRule="exact"/>
        <w:rPr>
          <w:rFonts w:ascii="Arial" w:cs="Arial" w:eastAsia="Arial" w:hAnsi="Arial"/>
          <w:sz w:val="18"/>
          <w:szCs w:val="18"/>
          <w:color w:val="auto"/>
        </w:rPr>
      </w:pPr>
    </w:p>
    <w:p>
      <w:pPr>
        <w:ind w:left="1260" w:right="120" w:firstLine="653"/>
        <w:spacing w:after="0" w:line="277" w:lineRule="auto"/>
        <w:tabs>
          <w:tab w:leader="none" w:pos="256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customer advances or deposits or other endorsements for collection, deposit or negotiation and warranties of products or services, in each case received or incurred in the ordinary course of business;</w:t>
      </w:r>
    </w:p>
    <w:p>
      <w:pPr>
        <w:spacing w:after="0" w:line="170" w:lineRule="exact"/>
        <w:rPr>
          <w:rFonts w:ascii="Arial" w:cs="Arial" w:eastAsia="Arial" w:hAnsi="Arial"/>
          <w:sz w:val="18"/>
          <w:szCs w:val="18"/>
          <w:color w:val="auto"/>
        </w:rPr>
      </w:pPr>
    </w:p>
    <w:p>
      <w:pPr>
        <w:ind w:left="2580" w:hanging="667"/>
        <w:spacing w:after="0"/>
        <w:tabs>
          <w:tab w:leader="none" w:pos="25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Priority Indebtedness (excluding any Indebtedness (i) that is otherwise permitted by any other clause of this</w:t>
      </w:r>
    </w:p>
    <w:p>
      <w:pPr>
        <w:spacing w:after="0" w:line="23" w:lineRule="exact"/>
        <w:rPr>
          <w:sz w:val="20"/>
          <w:szCs w:val="20"/>
          <w:color w:val="auto"/>
        </w:rPr>
      </w:pPr>
    </w:p>
    <w:p>
      <w:pPr>
        <w:ind w:left="1260" w:right="20"/>
        <w:spacing w:after="0" w:line="290" w:lineRule="auto"/>
        <w:rPr>
          <w:sz w:val="20"/>
          <w:szCs w:val="20"/>
          <w:color w:val="auto"/>
        </w:rPr>
      </w:pPr>
      <w:r>
        <w:rPr>
          <w:rFonts w:ascii="Arial" w:cs="Arial" w:eastAsia="Arial" w:hAnsi="Arial"/>
          <w:sz w:val="16"/>
          <w:szCs w:val="16"/>
          <w:color w:val="auto"/>
        </w:rPr>
        <w:t>Section 9(a) and (ii) to the extent secured by a Lien, that is secured by a Lien permitted by Section 9(b) (other than by clause (xix) thereof)) in an aggregate outstanding principal amount not to exceed, at the time of incurrence of any such Priority Indebtedness and when taken together with the aggregate outstanding amount of other obligations secured by a Lien pursuant to Section 9(b)(xix)(B), fifteen percent (15%) of the Parent Guarantor’s Consolidated Net Worth (determined as of the last day of the most recent fiscal quarter for which financial statements shall have been delivered pursuant to Section 8(a)(i) or Section 8(a)(ii) (or, prior to the delivery of any such financial statements, ending with the last fiscal quarter included in the financial statements referred to in Section 6.1(xviii) of the Participation Agreement);</w:t>
      </w:r>
    </w:p>
    <w:p>
      <w:pPr>
        <w:spacing w:after="0" w:line="164" w:lineRule="exact"/>
        <w:rPr>
          <w:sz w:val="20"/>
          <w:szCs w:val="20"/>
          <w:color w:val="auto"/>
        </w:rPr>
      </w:pPr>
    </w:p>
    <w:p>
      <w:pPr>
        <w:ind w:left="1260" w:right="280" w:firstLine="653"/>
        <w:spacing w:after="0" w:line="279" w:lineRule="auto"/>
        <w:tabs>
          <w:tab w:leader="none" w:pos="258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unsecured Indebtedness of the Parent Guarantor, the Lessee, any Subsidiary Guarantor or any Bank Credit Agreement Specified Loan Party so long as at the time of and immediately after giving effect (including giving effect on a pro forma basis) to the incurrence of such Indebtedness (A) no Default or Event of Default shall have occurred and be continuing and (B) the Parent Guarantor shall be in compliance with the financial covenants set forth in Sections 9(f) and (g);</w:t>
      </w:r>
    </w:p>
    <w:p>
      <w:pPr>
        <w:spacing w:after="0" w:line="171" w:lineRule="exact"/>
        <w:rPr>
          <w:rFonts w:ascii="Arial" w:cs="Arial" w:eastAsia="Arial" w:hAnsi="Arial"/>
          <w:sz w:val="17"/>
          <w:szCs w:val="17"/>
          <w:color w:val="auto"/>
        </w:rPr>
      </w:pPr>
    </w:p>
    <w:p>
      <w:pPr>
        <w:ind w:left="2580" w:hanging="667"/>
        <w:spacing w:after="0"/>
        <w:tabs>
          <w:tab w:leader="none" w:pos="25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other Indebtedness in an aggregate outstanding principal amount not to exceed $50,000,000;</w:t>
      </w:r>
    </w:p>
    <w:p>
      <w:pPr>
        <w:spacing w:after="0" w:line="225" w:lineRule="exact"/>
        <w:rPr>
          <w:rFonts w:ascii="Arial" w:cs="Arial" w:eastAsia="Arial" w:hAnsi="Arial"/>
          <w:sz w:val="18"/>
          <w:szCs w:val="18"/>
          <w:color w:val="auto"/>
        </w:rPr>
      </w:pPr>
    </w:p>
    <w:p>
      <w:pPr>
        <w:ind w:left="1260" w:right="80" w:firstLine="653"/>
        <w:spacing w:after="0" w:line="264" w:lineRule="auto"/>
        <w:tabs>
          <w:tab w:leader="none" w:pos="255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Indebtedness assumed by the Parent Guarantor or any Subsidiary in connection with any Acquisition or other acquisition of any property or assets or Indebtedness of any Person that becomes a Subsidiary after the Document Closing Date in a transaction not prohibited hereby, and amendments,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260" w:right="240"/>
        <w:spacing w:after="0" w:line="264" w:lineRule="auto"/>
        <w:rPr>
          <w:sz w:val="20"/>
          <w:szCs w:val="20"/>
          <w:color w:val="auto"/>
        </w:rPr>
      </w:pPr>
      <w:r>
        <w:rPr>
          <w:rFonts w:ascii="Arial" w:cs="Arial" w:eastAsia="Arial" w:hAnsi="Arial"/>
          <w:sz w:val="18"/>
          <w:szCs w:val="18"/>
          <w:color w:val="auto"/>
        </w:rPr>
        <w:t xml:space="preserve">modifications, extensions, refinancings, renewals and replacements of any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Indebtedness is not incurred in contemplation of such acquisition and (B) the aggregate outstanding principal amount of such Indebtedness does not exceed $200,000,000;</w:t>
      </w:r>
    </w:p>
    <w:p>
      <w:pPr>
        <w:spacing w:after="0" w:line="181" w:lineRule="exact"/>
        <w:rPr>
          <w:sz w:val="20"/>
          <w:szCs w:val="20"/>
          <w:color w:val="auto"/>
        </w:rPr>
      </w:pPr>
    </w:p>
    <w:p>
      <w:pPr>
        <w:ind w:left="1260" w:right="120" w:firstLine="653"/>
        <w:spacing w:after="0" w:line="285" w:lineRule="auto"/>
        <w:tabs>
          <w:tab w:leader="none" w:pos="2569" w:val="left"/>
        </w:tabs>
        <w:numPr>
          <w:ilvl w:val="1"/>
          <w:numId w:val="149"/>
        </w:numPr>
        <w:rPr>
          <w:rFonts w:ascii="Arial" w:cs="Arial" w:eastAsia="Arial" w:hAnsi="Arial"/>
          <w:sz w:val="16"/>
          <w:szCs w:val="16"/>
          <w:color w:val="auto"/>
        </w:rPr>
      </w:pPr>
      <w:r>
        <w:rPr>
          <w:rFonts w:ascii="Arial" w:cs="Arial" w:eastAsia="Arial" w:hAnsi="Arial"/>
          <w:sz w:val="16"/>
          <w:szCs w:val="16"/>
          <w:color w:val="auto"/>
        </w:rPr>
        <w:t>the “Obligations” (as defined in the Bank Credit Agreement) in an aggregate principal amount of up to $1,000,000,000, including any additional “Commitments” and/or “Incremental Term Loans” (as such terms are defined therein) pursuant to Section 2.20 of the Bank Credit Agreement, any “Specified Ancillary Obligations” or other defined term of similar import (as defined in the Bank Credit Agreement), and any amendments, modifications, extensions, refinancings, renewals and replacements of any such Indebtedness to the extent not resulting in the aggregate principal amount of all Indebtedness outstanding at any time pursuant to this Section 9(a)</w:t>
      </w:r>
    </w:p>
    <w:p>
      <w:pPr>
        <w:spacing w:after="0" w:line="2" w:lineRule="exact"/>
        <w:rPr>
          <w:rFonts w:ascii="Arial" w:cs="Arial" w:eastAsia="Arial" w:hAnsi="Arial"/>
          <w:sz w:val="16"/>
          <w:szCs w:val="16"/>
          <w:color w:val="auto"/>
        </w:rPr>
      </w:pPr>
    </w:p>
    <w:p>
      <w:pPr>
        <w:ind w:left="1260" w:firstLine="5"/>
        <w:spacing w:after="0" w:line="277" w:lineRule="auto"/>
        <w:tabs>
          <w:tab w:leader="none" w:pos="165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exceeding $1,000,000,000 (other than with respect to increases pursuant to any such amendment, modification, extension, refinancing, renewal and/or replacement on account of unpaid accrued interest and premium on such Indebtedness, any committed or undrawn amounts and underwriting discounts, fees, commissions, premiums and expenses associated with such Indebtedness);</w:t>
      </w:r>
    </w:p>
    <w:p>
      <w:pPr>
        <w:spacing w:after="0" w:line="173" w:lineRule="exact"/>
        <w:rPr>
          <w:rFonts w:ascii="Arial" w:cs="Arial" w:eastAsia="Arial" w:hAnsi="Arial"/>
          <w:sz w:val="17"/>
          <w:szCs w:val="17"/>
          <w:color w:val="auto"/>
        </w:rPr>
      </w:pPr>
    </w:p>
    <w:p>
      <w:pPr>
        <w:ind w:left="1260" w:right="20" w:firstLine="653"/>
        <w:spacing w:after="0" w:line="277" w:lineRule="auto"/>
        <w:tabs>
          <w:tab w:leader="none" w:pos="257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Indebtedness of the Lessee or any Subsidiary incurred to develop Permitted Developed Areas, Undeveloped Areas and/or Permitted Development Projects; and</w:t>
      </w:r>
    </w:p>
    <w:p>
      <w:pPr>
        <w:spacing w:after="0" w:line="170" w:lineRule="exact"/>
        <w:rPr>
          <w:rFonts w:ascii="Arial" w:cs="Arial" w:eastAsia="Arial" w:hAnsi="Arial"/>
          <w:sz w:val="18"/>
          <w:szCs w:val="18"/>
          <w:color w:val="auto"/>
        </w:rPr>
      </w:pPr>
    </w:p>
    <w:p>
      <w:pPr>
        <w:jc w:val="both"/>
        <w:ind w:left="1260" w:right="40" w:firstLine="653"/>
        <w:spacing w:after="0" w:line="302" w:lineRule="auto"/>
        <w:tabs>
          <w:tab w:leader="none" w:pos="2588" w:val="left"/>
        </w:tabs>
        <w:numPr>
          <w:ilvl w:val="1"/>
          <w:numId w:val="150"/>
        </w:numPr>
        <w:rPr>
          <w:rFonts w:ascii="Arial" w:cs="Arial" w:eastAsia="Arial" w:hAnsi="Arial"/>
          <w:sz w:val="16"/>
          <w:szCs w:val="16"/>
          <w:color w:val="auto"/>
        </w:rPr>
      </w:pPr>
      <w:r>
        <w:rPr>
          <w:rFonts w:ascii="Arial" w:cs="Arial" w:eastAsia="Arial" w:hAnsi="Arial"/>
          <w:sz w:val="16"/>
          <w:szCs w:val="16"/>
          <w:color w:val="auto"/>
        </w:rPr>
        <w:t>liabilities incurred in the ordinary course of business relating to the ownership and operation of the Leased Property and the routine administration of Lessee, in amounts not to exceed six percent (6%) of the principal balance of the Loans, which liabilities are not more than sixty (60) days past the date invoiced (unless being contested in good faith in accordance with the terms of this Guaranty and the other Operative Documents), are not evidenced by a note, and which amounts are normal and reasonable under the circumstance.</w:t>
      </w:r>
    </w:p>
    <w:p>
      <w:pPr>
        <w:spacing w:after="0" w:line="154" w:lineRule="exact"/>
        <w:rPr>
          <w:sz w:val="20"/>
          <w:szCs w:val="20"/>
          <w:color w:val="auto"/>
        </w:rPr>
      </w:pPr>
    </w:p>
    <w:p>
      <w:pPr>
        <w:ind w:left="-40" w:right="100" w:firstLine="1332"/>
        <w:spacing w:after="0" w:line="308" w:lineRule="auto"/>
        <w:tabs>
          <w:tab w:leader="none" w:pos="1777" w:val="left"/>
        </w:tabs>
        <w:numPr>
          <w:ilvl w:val="0"/>
          <w:numId w:val="151"/>
        </w:numPr>
        <w:rPr>
          <w:rFonts w:ascii="Arial" w:cs="Arial" w:eastAsia="Arial" w:hAnsi="Arial"/>
          <w:sz w:val="17"/>
          <w:szCs w:val="17"/>
          <w:color w:val="auto"/>
        </w:rPr>
      </w:pPr>
      <w:r>
        <w:rPr>
          <w:rFonts w:ascii="Arial" w:cs="Arial" w:eastAsia="Arial" w:hAnsi="Arial"/>
          <w:sz w:val="17"/>
          <w:szCs w:val="17"/>
          <w:i w:val="1"/>
          <w:iCs w:val="1"/>
          <w:color w:val="auto"/>
        </w:rPr>
        <w:t>Liens</w:t>
      </w:r>
      <w:r>
        <w:rPr>
          <w:rFonts w:ascii="Arial" w:cs="Arial" w:eastAsia="Arial" w:hAnsi="Arial"/>
          <w:sz w:val="17"/>
          <w:szCs w:val="17"/>
          <w:color w:val="auto"/>
        </w:rPr>
        <w:t>. The Parent Guarantor will not, and will not permit Lessee or any other Subsidiary to, create, incur, assume or permit to exist</w:t>
      </w:r>
      <w:r>
        <w:rPr>
          <w:rFonts w:ascii="Arial" w:cs="Arial" w:eastAsia="Arial" w:hAnsi="Arial"/>
          <w:sz w:val="17"/>
          <w:szCs w:val="17"/>
          <w:i w:val="1"/>
          <w:iCs w:val="1"/>
          <w:color w:val="auto"/>
        </w:rPr>
        <w:t xml:space="preserve"> </w:t>
      </w:r>
      <w:r>
        <w:rPr>
          <w:rFonts w:ascii="Arial" w:cs="Arial" w:eastAsia="Arial" w:hAnsi="Arial"/>
          <w:sz w:val="17"/>
          <w:szCs w:val="17"/>
          <w:color w:val="auto"/>
        </w:rPr>
        <w:t>any Lien on (y) the Leased Property other than Permitted Liens or (z) any other property or asset now owned or hereafter acquired by it except:</w:t>
      </w:r>
    </w:p>
    <w:p>
      <w:pPr>
        <w:spacing w:after="0" w:line="146" w:lineRule="exact"/>
        <w:rPr>
          <w:rFonts w:ascii="Arial" w:cs="Arial" w:eastAsia="Arial" w:hAnsi="Arial"/>
          <w:sz w:val="17"/>
          <w:szCs w:val="17"/>
          <w:color w:val="auto"/>
        </w:rPr>
      </w:pPr>
    </w:p>
    <w:p>
      <w:pPr>
        <w:ind w:left="2580" w:hanging="667"/>
        <w:spacing w:after="0"/>
        <w:tabs>
          <w:tab w:leader="none" w:pos="258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Liens (if any) created pursuant to any Operative Document including with respect to any obligation to provide cash</w:t>
      </w:r>
    </w:p>
    <w:p>
      <w:pPr>
        <w:spacing w:after="0" w:line="34" w:lineRule="exact"/>
        <w:rPr>
          <w:rFonts w:ascii="Arial" w:cs="Arial" w:eastAsia="Arial" w:hAnsi="Arial"/>
          <w:sz w:val="17"/>
          <w:szCs w:val="17"/>
          <w:color w:val="auto"/>
        </w:rPr>
      </w:pPr>
    </w:p>
    <w:p>
      <w:pPr>
        <w:ind w:left="1260"/>
        <w:spacing w:after="0"/>
        <w:rPr>
          <w:rFonts w:ascii="Arial" w:cs="Arial" w:eastAsia="Arial" w:hAnsi="Arial"/>
          <w:sz w:val="17"/>
          <w:szCs w:val="17"/>
          <w:color w:val="auto"/>
        </w:rPr>
      </w:pPr>
      <w:r>
        <w:rPr>
          <w:rFonts w:ascii="Arial" w:cs="Arial" w:eastAsia="Arial" w:hAnsi="Arial"/>
          <w:sz w:val="18"/>
          <w:szCs w:val="18"/>
          <w:color w:val="auto"/>
        </w:rPr>
        <w:t>collateral;</w:t>
      </w:r>
    </w:p>
    <w:p>
      <w:pPr>
        <w:spacing w:after="0" w:line="210" w:lineRule="exact"/>
        <w:rPr>
          <w:rFonts w:ascii="Arial" w:cs="Arial" w:eastAsia="Arial" w:hAnsi="Arial"/>
          <w:sz w:val="17"/>
          <w:szCs w:val="17"/>
          <w:color w:val="auto"/>
        </w:rPr>
      </w:pPr>
    </w:p>
    <w:p>
      <w:pPr>
        <w:ind w:left="2600" w:hanging="687"/>
        <w:spacing w:after="0"/>
        <w:tabs>
          <w:tab w:leader="none" w:pos="26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Permitted Encumbrances and Permitted Liens;</w:t>
      </w:r>
    </w:p>
    <w:p>
      <w:pPr>
        <w:spacing w:after="0" w:line="225" w:lineRule="exact"/>
        <w:rPr>
          <w:rFonts w:ascii="Arial" w:cs="Arial" w:eastAsia="Arial" w:hAnsi="Arial"/>
          <w:sz w:val="18"/>
          <w:szCs w:val="18"/>
          <w:color w:val="auto"/>
        </w:rPr>
      </w:pPr>
    </w:p>
    <w:p>
      <w:pPr>
        <w:ind w:left="1260" w:right="220" w:firstLine="653"/>
        <w:spacing w:after="0" w:line="277" w:lineRule="auto"/>
        <w:tabs>
          <w:tab w:leader="none" w:pos="2597"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any Lien on any property or asset of the Parent Guarantor or any Subsidiary existing on the date hereof and set forth in Schedule 9(b) and any amendments, modifications, extensions, renewals, refinancings and replacements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60" w:right="240"/>
        <w:spacing w:after="0" w:line="302" w:lineRule="auto"/>
        <w:rPr>
          <w:sz w:val="20"/>
          <w:szCs w:val="20"/>
          <w:color w:val="auto"/>
        </w:rPr>
      </w:pPr>
      <w:r>
        <w:rPr>
          <w:rFonts w:ascii="Arial" w:cs="Arial" w:eastAsia="Arial" w:hAnsi="Arial"/>
          <w:sz w:val="16"/>
          <w:szCs w:val="16"/>
          <w:color w:val="auto"/>
        </w:rPr>
        <w:t xml:space="preserve">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such Lien shall not apply to any other property or asset of the Parent Guarantor or any Subsidiary other than improvements thereon and proceeds from the disposition of such property or asset and (2) the amount secured or benefited thereby is not increased (other than as permitted by Section 9(a)) and amendments, modifications, extensions, refinancings, renewals and replacements thereof that do not increase the outstanding principal amount thereof (other than as permitted by Section 9(a));</w:t>
      </w:r>
    </w:p>
    <w:p>
      <w:pPr>
        <w:spacing w:after="0" w:line="154" w:lineRule="exact"/>
        <w:rPr>
          <w:sz w:val="20"/>
          <w:szCs w:val="20"/>
          <w:color w:val="auto"/>
        </w:rPr>
      </w:pPr>
    </w:p>
    <w:p>
      <w:pPr>
        <w:ind w:left="1260" w:right="20" w:firstLine="653"/>
        <w:spacing w:after="0" w:line="302" w:lineRule="auto"/>
        <w:tabs>
          <w:tab w:leader="none" w:pos="2573"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any Lien existing on any property or asset prior to the acquisition thereof by the Parent Guarantor or any Subsidiary or existing on any property or asset of any Person that becomes a Subsidiary after the date hereof prior to the time such Person becomes a Subsidiary and any amendments, modifications, extensions, renewals and replacements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such Lien is not created in contemplation of or in connection with such acquisition or such Person becoming a Subsidiary, as the case may be, (2) such Lien shall not</w:t>
      </w:r>
    </w:p>
    <w:p>
      <w:pPr>
        <w:sectPr>
          <w:pgSz w:w="11900" w:h="16945" w:orient="portrait"/>
          <w:cols w:equalWidth="0" w:num="1">
            <w:col w:w="11360"/>
          </w:cols>
          <w:pgMar w:left="280" w:top="341" w:right="259" w:bottom="0" w:gutter="0" w:footer="0" w:header="0"/>
        </w:sectPr>
      </w:pPr>
    </w:p>
    <w:bookmarkStart w:id="70" w:name="page71"/>
    <w:bookmarkEnd w:id="70"/>
    <w:p>
      <w:pPr>
        <w:spacing w:after="0" w:line="106" w:lineRule="exact"/>
        <w:rPr>
          <w:sz w:val="20"/>
          <w:szCs w:val="20"/>
          <w:color w:val="auto"/>
        </w:rPr>
      </w:pPr>
    </w:p>
    <w:p>
      <w:pPr>
        <w:jc w:val="both"/>
        <w:ind w:left="100" w:right="80"/>
        <w:spacing w:after="0" w:line="288" w:lineRule="auto"/>
        <w:rPr>
          <w:sz w:val="20"/>
          <w:szCs w:val="20"/>
          <w:color w:val="auto"/>
        </w:rPr>
      </w:pPr>
      <w:r>
        <w:rPr>
          <w:rFonts w:ascii="Arial" w:cs="Arial" w:eastAsia="Arial" w:hAnsi="Arial"/>
          <w:sz w:val="16"/>
          <w:szCs w:val="16"/>
          <w:color w:val="auto"/>
        </w:rPr>
        <w:t>apply to any other property or assets of the Parent Guarantor or any Subsidiary (other than the proceeds or products thereof and other than after-acquired property subjected to a Lien securing Indebtedness and other obligations incurred prior to such time and which Indebtedness and other obligations are permitted hereunder that require, pursuant to their terms at such time, a pledge of after-acquired property) and</w:t>
      </w:r>
    </w:p>
    <w:p>
      <w:pPr>
        <w:ind w:left="100" w:right="300" w:firstLine="5"/>
        <w:spacing w:after="0" w:line="277" w:lineRule="auto"/>
        <w:tabs>
          <w:tab w:leader="none" w:pos="35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such Lien shall secure only those obligations which it secures on the date of such acquisition or the date such Person becomes a Subsidiary, as the case may be, and amendments, modifications, extensions, refinancings, renewals and replacements thereof that do not increase the outstanding principal amount thereof (other than as permitted by Section 9(a));</w:t>
      </w:r>
    </w:p>
    <w:p>
      <w:pPr>
        <w:spacing w:after="0" w:line="173" w:lineRule="exact"/>
        <w:rPr>
          <w:rFonts w:ascii="Arial" w:cs="Arial" w:eastAsia="Arial" w:hAnsi="Arial"/>
          <w:sz w:val="17"/>
          <w:szCs w:val="17"/>
          <w:color w:val="auto"/>
        </w:rPr>
      </w:pPr>
    </w:p>
    <w:p>
      <w:pPr>
        <w:ind w:left="100" w:right="160" w:firstLine="653"/>
        <w:spacing w:after="0" w:line="271" w:lineRule="auto"/>
        <w:tabs>
          <w:tab w:leader="none" w:pos="1404" w:val="left"/>
        </w:tabs>
        <w:numPr>
          <w:ilvl w:val="1"/>
          <w:numId w:val="153"/>
        </w:numPr>
        <w:rPr>
          <w:rFonts w:ascii="Arial" w:cs="Arial" w:eastAsia="Arial" w:hAnsi="Arial"/>
          <w:sz w:val="17"/>
          <w:szCs w:val="17"/>
          <w:color w:val="auto"/>
        </w:rPr>
      </w:pPr>
      <w:r>
        <w:rPr>
          <w:rFonts w:ascii="Arial" w:cs="Arial" w:eastAsia="Arial" w:hAnsi="Arial"/>
          <w:sz w:val="17"/>
          <w:szCs w:val="17"/>
          <w:color w:val="auto"/>
        </w:rPr>
        <w:t xml:space="preserve">Liens on fixed or capital assets (including capital leases) acquired (including as a replacement), constructed, repaired, leased or improved by the Parent Guarantor or any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Liens secure Indebtedness or Capital Lease Obligations permitted by Section 9(a)(v), (B) such Liens and the Indebtedness secured thereby are incurred prior to or within one hundred eighty (180) days after such acquisition or lease or the completion of such construction, replacement, repair or improvement and (C) such Liens shall not apply to any other property or assets of the Parent Guarantor or any Subsidiary other than improvements thereon, replacements and products thereof, additions and accessions thereto or proceeds from the disposition of such property or assets and customary security deposits;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individual financings of equipment provided by one lender (or a syndicate of lenders) may be cross-collateralized to other financings of equipment provided by such lender (or syndicate);</w:t>
      </w:r>
    </w:p>
    <w:p>
      <w:pPr>
        <w:spacing w:after="0" w:line="178" w:lineRule="exact"/>
        <w:rPr>
          <w:rFonts w:ascii="Arial" w:cs="Arial" w:eastAsia="Arial" w:hAnsi="Arial"/>
          <w:sz w:val="17"/>
          <w:szCs w:val="17"/>
          <w:color w:val="auto"/>
        </w:rPr>
      </w:pPr>
    </w:p>
    <w:p>
      <w:pPr>
        <w:ind w:left="100" w:firstLine="653"/>
        <w:spacing w:after="0" w:line="264" w:lineRule="auto"/>
        <w:tabs>
          <w:tab w:leader="none" w:pos="1413" w:val="left"/>
        </w:tabs>
        <w:numPr>
          <w:ilvl w:val="1"/>
          <w:numId w:val="153"/>
        </w:numPr>
        <w:rPr>
          <w:rFonts w:ascii="Arial" w:cs="Arial" w:eastAsia="Arial" w:hAnsi="Arial"/>
          <w:sz w:val="18"/>
          <w:szCs w:val="18"/>
          <w:color w:val="auto"/>
        </w:rPr>
      </w:pPr>
      <w:r>
        <w:rPr>
          <w:rFonts w:ascii="Arial" w:cs="Arial" w:eastAsia="Arial" w:hAnsi="Arial"/>
          <w:sz w:val="18"/>
          <w:szCs w:val="18"/>
          <w:color w:val="auto"/>
        </w:rPr>
        <w:t>Liens granted by a Subsidiary that is not a Subsidiary Guarantor in favor of the Parent Guarantor, the Lessee, a Subsidiary Guarantor or a Bank Credit Agreement Specified Loan Party in respect of Indebtedness owed by such Subsidiary to the Parent Guarantor, the Lessee, such Subsidiary Guarantor or such</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Bank Credit Agreement Specified Loan Party;</w:t>
      </w:r>
    </w:p>
    <w:p>
      <w:pPr>
        <w:spacing w:after="0" w:line="225" w:lineRule="exact"/>
        <w:rPr>
          <w:sz w:val="20"/>
          <w:szCs w:val="20"/>
          <w:color w:val="auto"/>
        </w:rPr>
      </w:pPr>
    </w:p>
    <w:p>
      <w:pPr>
        <w:ind w:left="100" w:right="140" w:firstLine="653"/>
        <w:spacing w:after="0" w:line="277" w:lineRule="auto"/>
        <w:tabs>
          <w:tab w:leader="none" w:pos="1423" w:val="left"/>
        </w:tabs>
        <w:numPr>
          <w:ilvl w:val="1"/>
          <w:numId w:val="154"/>
        </w:numPr>
        <w:rPr>
          <w:rFonts w:ascii="Arial" w:cs="Arial" w:eastAsia="Arial" w:hAnsi="Arial"/>
          <w:sz w:val="18"/>
          <w:szCs w:val="18"/>
          <w:color w:val="auto"/>
        </w:rPr>
      </w:pPr>
      <w:r>
        <w:rPr>
          <w:rFonts w:ascii="Arial" w:cs="Arial" w:eastAsia="Arial" w:hAnsi="Arial"/>
          <w:sz w:val="18"/>
          <w:szCs w:val="18"/>
          <w:color w:val="auto"/>
        </w:rPr>
        <w:t>Liens arising out of any conditional sale, title retention, consignment or other similar arrangements for the sale of goods entered into by the Parent Guarantor or any of its Subsidiaries the ordinary course of business;</w:t>
      </w:r>
    </w:p>
    <w:p>
      <w:pPr>
        <w:spacing w:after="0" w:line="170" w:lineRule="exact"/>
        <w:rPr>
          <w:rFonts w:ascii="Arial" w:cs="Arial" w:eastAsia="Arial" w:hAnsi="Arial"/>
          <w:sz w:val="18"/>
          <w:szCs w:val="18"/>
          <w:color w:val="auto"/>
        </w:rPr>
      </w:pPr>
    </w:p>
    <w:p>
      <w:pPr>
        <w:ind w:left="1440" w:hanging="687"/>
        <w:spacing w:after="0"/>
        <w:tabs>
          <w:tab w:leader="none" w:pos="144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Liens securing Indebtedness permitted hereunder to finance insurance premiums solely to the extent of such premiums;</w:t>
      </w:r>
    </w:p>
    <w:p>
      <w:pPr>
        <w:spacing w:after="0" w:line="248" w:lineRule="exact"/>
        <w:rPr>
          <w:rFonts w:ascii="Arial" w:cs="Arial" w:eastAsia="Arial" w:hAnsi="Arial"/>
          <w:sz w:val="16"/>
          <w:szCs w:val="16"/>
          <w:color w:val="auto"/>
        </w:rPr>
      </w:pPr>
    </w:p>
    <w:p>
      <w:pPr>
        <w:ind w:left="100" w:right="20" w:firstLine="653"/>
        <w:spacing w:after="0" w:line="279" w:lineRule="auto"/>
        <w:tabs>
          <w:tab w:leader="none" w:pos="1413" w:val="left"/>
        </w:tabs>
        <w:numPr>
          <w:ilvl w:val="1"/>
          <w:numId w:val="154"/>
        </w:numPr>
        <w:rPr>
          <w:rFonts w:ascii="Arial" w:cs="Arial" w:eastAsia="Arial" w:hAnsi="Arial"/>
          <w:sz w:val="17"/>
          <w:szCs w:val="17"/>
          <w:color w:val="auto"/>
        </w:rPr>
      </w:pPr>
      <w:r>
        <w:rPr>
          <w:rFonts w:ascii="Arial" w:cs="Arial" w:eastAsia="Arial" w:hAnsi="Arial"/>
          <w:sz w:val="17"/>
          <w:szCs w:val="17"/>
          <w:color w:val="auto"/>
        </w:rPr>
        <w:t>statutory and common law rights of setoff and other Liens, similar rights and remedies arising as a matter of law encumbering deposits of cash, securities, commodities and other funds in favor of banks, financial institutions, other depository institutions, securities or commodities intermediaries or brokerage, and Liens of a collecting bank arising under Section 4-208 or 4-210 of the UCC in effect in the relevant jurisdiction or any similar law of any foreign jurisdiction on items in the course of collection;</w:t>
      </w:r>
    </w:p>
    <w:p>
      <w:pPr>
        <w:spacing w:after="0" w:line="171" w:lineRule="exact"/>
        <w:rPr>
          <w:rFonts w:ascii="Arial" w:cs="Arial" w:eastAsia="Arial" w:hAnsi="Arial"/>
          <w:sz w:val="17"/>
          <w:szCs w:val="17"/>
          <w:color w:val="auto"/>
        </w:rPr>
      </w:pPr>
    </w:p>
    <w:p>
      <w:pPr>
        <w:ind w:left="100" w:right="520" w:firstLine="653"/>
        <w:spacing w:after="0" w:line="277" w:lineRule="auto"/>
        <w:tabs>
          <w:tab w:leader="none" w:pos="1404" w:val="left"/>
        </w:tabs>
        <w:numPr>
          <w:ilvl w:val="1"/>
          <w:numId w:val="154"/>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170" w:lineRule="exact"/>
        <w:rPr>
          <w:rFonts w:ascii="Arial" w:cs="Arial" w:eastAsia="Arial" w:hAnsi="Arial"/>
          <w:sz w:val="18"/>
          <w:szCs w:val="18"/>
          <w:color w:val="auto"/>
        </w:rPr>
      </w:pPr>
    </w:p>
    <w:p>
      <w:pPr>
        <w:ind w:left="100" w:right="120" w:firstLine="653"/>
        <w:spacing w:after="0" w:line="308" w:lineRule="auto"/>
        <w:tabs>
          <w:tab w:leader="none" w:pos="1413" w:val="left"/>
        </w:tabs>
        <w:numPr>
          <w:ilvl w:val="1"/>
          <w:numId w:val="154"/>
        </w:numPr>
        <w:rPr>
          <w:rFonts w:ascii="Arial" w:cs="Arial" w:eastAsia="Arial" w:hAnsi="Arial"/>
          <w:sz w:val="17"/>
          <w:szCs w:val="17"/>
          <w:color w:val="auto"/>
        </w:rPr>
      </w:pPr>
      <w:r>
        <w:rPr>
          <w:rFonts w:ascii="Arial" w:cs="Arial" w:eastAsia="Arial" w:hAnsi="Arial"/>
          <w:sz w:val="17"/>
          <w:szCs w:val="17"/>
          <w:color w:val="auto"/>
        </w:rPr>
        <w:t>Liens on any cash earnest money deposits made by the Parent Guarantor or any of its Subsidiaries in connection with an Acquisition, including, without limitation, in connection with any letter of intent or purchase agreement relating thereto;</w:t>
      </w:r>
    </w:p>
    <w:p>
      <w:pPr>
        <w:spacing w:after="0" w:line="146" w:lineRule="exact"/>
        <w:rPr>
          <w:rFonts w:ascii="Arial" w:cs="Arial" w:eastAsia="Arial" w:hAnsi="Arial"/>
          <w:sz w:val="17"/>
          <w:szCs w:val="17"/>
          <w:color w:val="auto"/>
        </w:rPr>
      </w:pPr>
    </w:p>
    <w:p>
      <w:pPr>
        <w:ind w:left="100" w:right="100" w:firstLine="653"/>
        <w:spacing w:after="0" w:line="277" w:lineRule="auto"/>
        <w:tabs>
          <w:tab w:leader="none" w:pos="1423" w:val="left"/>
        </w:tabs>
        <w:numPr>
          <w:ilvl w:val="1"/>
          <w:numId w:val="154"/>
        </w:numPr>
        <w:rPr>
          <w:rFonts w:ascii="Arial" w:cs="Arial" w:eastAsia="Arial" w:hAnsi="Arial"/>
          <w:sz w:val="18"/>
          <w:szCs w:val="18"/>
          <w:color w:val="auto"/>
        </w:rPr>
      </w:pPr>
      <w:r>
        <w:rPr>
          <w:rFonts w:ascii="Arial" w:cs="Arial" w:eastAsia="Arial" w:hAnsi="Arial"/>
          <w:sz w:val="18"/>
          <w:szCs w:val="18"/>
          <w:color w:val="auto"/>
        </w:rPr>
        <w:t>Liens in connection with the sale or transfer of any assets in a transaction permitted under Section 9(c), customary rights and restrictions contained in agreements relating to such sale or transfer pending the completion thereof;</w:t>
      </w:r>
    </w:p>
    <w:p>
      <w:pPr>
        <w:spacing w:after="0" w:line="170" w:lineRule="exact"/>
        <w:rPr>
          <w:rFonts w:ascii="Arial" w:cs="Arial" w:eastAsia="Arial" w:hAnsi="Arial"/>
          <w:sz w:val="18"/>
          <w:szCs w:val="18"/>
          <w:color w:val="auto"/>
        </w:rPr>
      </w:pPr>
    </w:p>
    <w:p>
      <w:pPr>
        <w:ind w:left="100" w:right="220" w:firstLine="653"/>
        <w:spacing w:after="0" w:line="291" w:lineRule="auto"/>
        <w:tabs>
          <w:tab w:leader="none" w:pos="1432" w:val="left"/>
        </w:tabs>
        <w:numPr>
          <w:ilvl w:val="1"/>
          <w:numId w:val="154"/>
        </w:numPr>
        <w:rPr>
          <w:rFonts w:ascii="Arial" w:cs="Arial" w:eastAsia="Arial" w:hAnsi="Arial"/>
          <w:sz w:val="16"/>
          <w:szCs w:val="16"/>
          <w:color w:val="auto"/>
        </w:rPr>
      </w:pPr>
      <w:r>
        <w:rPr>
          <w:rFonts w:ascii="Arial" w:cs="Arial" w:eastAsia="Arial" w:hAnsi="Arial"/>
          <w:sz w:val="16"/>
          <w:szCs w:val="16"/>
          <w:color w:val="auto"/>
        </w:rPr>
        <w:t>Liens in the nature of the right of setoff in favor of counterparties to contractual agreements with the Parent Guarantor, the Lessee, any Subsidiary Guarantor or any Bank Credit Agreement Specified Loan Party (A) in the ordinary course of business or</w:t>
      </w:r>
    </w:p>
    <w:p>
      <w:pPr>
        <w:ind w:left="380" w:hanging="275"/>
        <w:spacing w:after="0"/>
        <w:tabs>
          <w:tab w:leader="none" w:pos="3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otherwise permitted hereunder other than in connection with Indebtedness;</w:t>
      </w:r>
    </w:p>
    <w:p>
      <w:pPr>
        <w:spacing w:after="0" w:line="210" w:lineRule="exact"/>
        <w:rPr>
          <w:rFonts w:ascii="Arial" w:cs="Arial" w:eastAsia="Arial" w:hAnsi="Arial"/>
          <w:sz w:val="18"/>
          <w:szCs w:val="18"/>
          <w:color w:val="auto"/>
        </w:rPr>
      </w:pPr>
    </w:p>
    <w:p>
      <w:pPr>
        <w:ind w:left="1420" w:hanging="667"/>
        <w:spacing w:after="0"/>
        <w:tabs>
          <w:tab w:leader="none" w:pos="14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dispositions and other sales of assets permitted under Section 9(c);</w:t>
      </w:r>
    </w:p>
    <w:p>
      <w:pPr>
        <w:spacing w:after="0" w:line="225" w:lineRule="exact"/>
        <w:rPr>
          <w:rFonts w:ascii="Arial" w:cs="Arial" w:eastAsia="Arial" w:hAnsi="Arial"/>
          <w:sz w:val="18"/>
          <w:szCs w:val="18"/>
          <w:color w:val="auto"/>
        </w:rPr>
      </w:pPr>
    </w:p>
    <w:p>
      <w:pPr>
        <w:ind w:left="100" w:right="600" w:firstLine="653"/>
        <w:spacing w:after="0" w:line="277" w:lineRule="auto"/>
        <w:tabs>
          <w:tab w:leader="none" w:pos="1399"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to the extent constituting a Lien, Liens with respect to repurchase obligations in the ordinary course of business in connection with the cash management activities of the Parent Guarantor or any Subsidiary;</w:t>
      </w:r>
    </w:p>
    <w:p>
      <w:pPr>
        <w:spacing w:after="0" w:line="170" w:lineRule="exact"/>
        <w:rPr>
          <w:rFonts w:ascii="Arial" w:cs="Arial" w:eastAsia="Arial" w:hAnsi="Arial"/>
          <w:sz w:val="18"/>
          <w:szCs w:val="18"/>
          <w:color w:val="auto"/>
        </w:rPr>
      </w:pPr>
    </w:p>
    <w:p>
      <w:pPr>
        <w:ind w:left="100" w:right="340" w:firstLine="653"/>
        <w:spacing w:after="0" w:line="277" w:lineRule="auto"/>
        <w:tabs>
          <w:tab w:leader="none" w:pos="1409" w:val="left"/>
        </w:tabs>
        <w:numPr>
          <w:ilvl w:val="1"/>
          <w:numId w:val="155"/>
        </w:numPr>
        <w:rPr>
          <w:rFonts w:ascii="Arial" w:cs="Arial" w:eastAsia="Arial" w:hAnsi="Arial"/>
          <w:sz w:val="18"/>
          <w:szCs w:val="18"/>
          <w:color w:val="auto"/>
        </w:rPr>
      </w:pPr>
      <w:r>
        <w:rPr>
          <w:rFonts w:ascii="Arial" w:cs="Arial" w:eastAsia="Arial" w:hAnsi="Arial"/>
          <w:sz w:val="18"/>
          <w:szCs w:val="18"/>
          <w:color w:val="auto"/>
        </w:rPr>
        <w:t>Liens that are contractual rights of set-off (A) relating to the establishment of depositary relations with banks or other financial institutions not</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right="220"/>
        <w:spacing w:after="0" w:line="264" w:lineRule="auto"/>
        <w:rPr>
          <w:sz w:val="20"/>
          <w:szCs w:val="20"/>
          <w:color w:val="auto"/>
        </w:rPr>
      </w:pPr>
      <w:r>
        <w:rPr>
          <w:rFonts w:ascii="Arial" w:cs="Arial" w:eastAsia="Arial" w:hAnsi="Arial"/>
          <w:sz w:val="18"/>
          <w:szCs w:val="18"/>
          <w:color w:val="auto"/>
        </w:rPr>
        <w:t>given in connection with the issuance of Indebtedness or (B) relating to pooled deposit or sweep accounts of Parent Guarantor or any Subsidiary to permit satisfaction of overdraft or similar obligations incurred in the ordinary course of business of the Parent Guarantor or any Subsidiary;</w:t>
      </w:r>
    </w:p>
    <w:p>
      <w:pPr>
        <w:spacing w:after="0" w:line="181" w:lineRule="exact"/>
        <w:rPr>
          <w:sz w:val="20"/>
          <w:szCs w:val="20"/>
          <w:color w:val="auto"/>
        </w:rPr>
      </w:pPr>
    </w:p>
    <w:p>
      <w:pPr>
        <w:ind w:left="100" w:right="960" w:firstLine="653"/>
        <w:spacing w:after="0" w:line="308" w:lineRule="auto"/>
        <w:tabs>
          <w:tab w:leader="none" w:pos="1418"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any Lien (and rights of set-off) arising under Section 24 or 25 of the general terms and conditions (</w:t>
      </w:r>
      <w:r>
        <w:rPr>
          <w:rFonts w:ascii="Arial" w:cs="Arial" w:eastAsia="Arial" w:hAnsi="Arial"/>
          <w:sz w:val="17"/>
          <w:szCs w:val="17"/>
          <w:i w:val="1"/>
          <w:iCs w:val="1"/>
          <w:color w:val="auto"/>
        </w:rPr>
        <w:t>algemene</w:t>
      </w:r>
      <w:r>
        <w:rPr>
          <w:rFonts w:ascii="Arial" w:cs="Arial" w:eastAsia="Arial" w:hAnsi="Arial"/>
          <w:sz w:val="17"/>
          <w:szCs w:val="17"/>
          <w:color w:val="auto"/>
        </w:rPr>
        <w:t xml:space="preserve"> </w:t>
      </w:r>
      <w:r>
        <w:rPr>
          <w:rFonts w:ascii="Arial" w:cs="Arial" w:eastAsia="Arial" w:hAnsi="Arial"/>
          <w:sz w:val="17"/>
          <w:szCs w:val="17"/>
          <w:i w:val="1"/>
          <w:iCs w:val="1"/>
          <w:color w:val="auto"/>
        </w:rPr>
        <w:t>bankvoorwaarden</w:t>
      </w:r>
      <w:r>
        <w:rPr>
          <w:rFonts w:ascii="Arial" w:cs="Arial" w:eastAsia="Arial" w:hAnsi="Arial"/>
          <w:sz w:val="17"/>
          <w:szCs w:val="17"/>
          <w:color w:val="auto"/>
        </w:rPr>
        <w:t>) of any member of the Dutch Bankers’ Association (</w:t>
      </w:r>
      <w:r>
        <w:rPr>
          <w:rFonts w:ascii="Arial" w:cs="Arial" w:eastAsia="Arial" w:hAnsi="Arial"/>
          <w:sz w:val="17"/>
          <w:szCs w:val="17"/>
          <w:i w:val="1"/>
          <w:iCs w:val="1"/>
          <w:color w:val="auto"/>
        </w:rPr>
        <w:t>nederlandse vereniging van Banken</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100" w:right="140" w:firstLine="653"/>
        <w:spacing w:after="0" w:line="264" w:lineRule="auto"/>
        <w:tabs>
          <w:tab w:leader="none" w:pos="142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Liens of sellers of goods to the Parent Guarantor, any Subsidiary Guarantor and any of their respective Subsidiaries arising under Article 2 of the UCC or similar provisions of applicable law in the ordinary course of business, covering only the goods sold and securing only the unpaid purchase price for such goods and related expenses;</w:t>
      </w:r>
    </w:p>
    <w:p>
      <w:pPr>
        <w:spacing w:after="0" w:line="181" w:lineRule="exact"/>
        <w:rPr>
          <w:rFonts w:ascii="Arial" w:cs="Arial" w:eastAsia="Arial" w:hAnsi="Arial"/>
          <w:sz w:val="18"/>
          <w:szCs w:val="18"/>
          <w:color w:val="auto"/>
        </w:rPr>
      </w:pPr>
    </w:p>
    <w:p>
      <w:pPr>
        <w:ind w:left="100" w:right="220" w:firstLine="653"/>
        <w:spacing w:after="0" w:line="302" w:lineRule="auto"/>
        <w:tabs>
          <w:tab w:leader="none" w:pos="1409" w:val="left"/>
        </w:tabs>
        <w:numPr>
          <w:ilvl w:val="0"/>
          <w:numId w:val="156"/>
        </w:numPr>
        <w:rPr>
          <w:rFonts w:ascii="Arial" w:cs="Arial" w:eastAsia="Arial" w:hAnsi="Arial"/>
          <w:sz w:val="16"/>
          <w:szCs w:val="16"/>
          <w:color w:val="auto"/>
        </w:rPr>
      </w:pPr>
      <w:r>
        <w:rPr>
          <w:rFonts w:ascii="Arial" w:cs="Arial" w:eastAsia="Arial" w:hAnsi="Arial"/>
          <w:sz w:val="16"/>
          <w:szCs w:val="16"/>
          <w:color w:val="auto"/>
        </w:rPr>
        <w:t>Liens securing (A) Indebtedness described in clause (a) of the definition of Priority Indebtedness and permitted to be incurred under Section 9(a)(xvii) and (B) other obligations (excluding any Indebtedness) of the Parent Guarantor or any Subsidiary, in an aggregate outstanding amount, for the foregoing clauses (A) and (B) taken together, not to exceed, at the time such Liens are created and when taken together with the aggregate outstanding principal amount of Indebtedness incurred pursuant to Section 9(a)(xvii), fifteen</w:t>
      </w:r>
    </w:p>
    <w:p>
      <w:pPr>
        <w:sectPr>
          <w:pgSz w:w="11900" w:h="16945" w:orient="portrait"/>
          <w:cols w:equalWidth="0" w:num="1">
            <w:col w:w="10200"/>
          </w:cols>
          <w:pgMar w:left="1440" w:top="125" w:right="259" w:bottom="0" w:gutter="0" w:footer="0" w:header="0"/>
        </w:sectPr>
      </w:pPr>
    </w:p>
    <w:bookmarkStart w:id="71" w:name="page72"/>
    <w:bookmarkEnd w:id="71"/>
    <w:p>
      <w:pPr>
        <w:spacing w:after="0" w:line="114" w:lineRule="exact"/>
        <w:rPr>
          <w:sz w:val="20"/>
          <w:szCs w:val="20"/>
          <w:color w:val="auto"/>
        </w:rPr>
      </w:pPr>
    </w:p>
    <w:p>
      <w:pPr>
        <w:ind w:left="1280" w:right="200"/>
        <w:spacing w:after="0" w:line="259" w:lineRule="auto"/>
        <w:rPr>
          <w:sz w:val="20"/>
          <w:szCs w:val="20"/>
          <w:color w:val="auto"/>
        </w:rPr>
      </w:pPr>
      <w:r>
        <w:rPr>
          <w:rFonts w:ascii="Arial" w:cs="Arial" w:eastAsia="Arial" w:hAnsi="Arial"/>
          <w:sz w:val="18"/>
          <w:szCs w:val="18"/>
          <w:color w:val="auto"/>
        </w:rPr>
        <w:t>percent (15%) of the Parent Guarantor’s Consolidated Net Worth (determined as of the last day of the most recent fiscal quarter for which financial statements shall have been delivered pursuant to Section 8(a)(i) or Section 8(a)(ii) (or, prior to the delivery of any such financial statements, ending with the last fiscal quarter included in the financial statements referred to in Section 6.1(xviii) of the Participation Agreement);</w:t>
      </w:r>
    </w:p>
    <w:p>
      <w:pPr>
        <w:spacing w:after="0" w:line="187" w:lineRule="exact"/>
        <w:rPr>
          <w:sz w:val="20"/>
          <w:szCs w:val="20"/>
          <w:color w:val="auto"/>
        </w:rPr>
      </w:pPr>
    </w:p>
    <w:p>
      <w:pPr>
        <w:ind w:left="1280" w:right="100" w:firstLine="653"/>
        <w:spacing w:after="0" w:line="264" w:lineRule="auto"/>
        <w:tabs>
          <w:tab w:leader="none" w:pos="257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Liens in favor of a credit card or debit card processor arising in the ordinary course of business under any processor agreement and relating solely to the amounts paid or payable thereunder, or customary deposits on reserve held by such credit card or debit card processor;</w:t>
      </w:r>
    </w:p>
    <w:p>
      <w:pPr>
        <w:spacing w:after="0" w:line="181" w:lineRule="exact"/>
        <w:rPr>
          <w:rFonts w:ascii="Arial" w:cs="Arial" w:eastAsia="Arial" w:hAnsi="Arial"/>
          <w:sz w:val="18"/>
          <w:szCs w:val="18"/>
          <w:color w:val="auto"/>
        </w:rPr>
      </w:pPr>
    </w:p>
    <w:p>
      <w:pPr>
        <w:ind w:left="1280" w:right="560" w:firstLine="653"/>
        <w:spacing w:after="0" w:line="277" w:lineRule="auto"/>
        <w:tabs>
          <w:tab w:leader="none" w:pos="258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pledges or deposits to secure Indebtedness permitted to be incurred under Section 9(a)(vi) so long as the aggregate principal amount of such Indebtedness so secured does not exceed $50,000,000;</w:t>
      </w:r>
    </w:p>
    <w:p>
      <w:pPr>
        <w:spacing w:after="0" w:line="170" w:lineRule="exact"/>
        <w:rPr>
          <w:rFonts w:ascii="Arial" w:cs="Arial" w:eastAsia="Arial" w:hAnsi="Arial"/>
          <w:sz w:val="18"/>
          <w:szCs w:val="18"/>
          <w:color w:val="auto"/>
        </w:rPr>
      </w:pPr>
    </w:p>
    <w:p>
      <w:pPr>
        <w:ind w:left="1280" w:right="180" w:firstLine="653"/>
        <w:spacing w:after="0" w:line="277" w:lineRule="auto"/>
        <w:tabs>
          <w:tab w:leader="none" w:pos="259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pledges or transfers of collateral to support bilateral mark-to-market security arrangements in respect of uncleared swap or derivative transactions;</w:t>
      </w:r>
    </w:p>
    <w:p>
      <w:pPr>
        <w:spacing w:after="0" w:line="170" w:lineRule="exact"/>
        <w:rPr>
          <w:rFonts w:ascii="Arial" w:cs="Arial" w:eastAsia="Arial" w:hAnsi="Arial"/>
          <w:sz w:val="18"/>
          <w:szCs w:val="18"/>
          <w:color w:val="auto"/>
        </w:rPr>
      </w:pPr>
    </w:p>
    <w:p>
      <w:pPr>
        <w:ind w:left="1280" w:right="500" w:firstLine="653"/>
        <w:spacing w:after="0" w:line="277" w:lineRule="auto"/>
        <w:tabs>
          <w:tab w:leader="none" w:pos="260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Liens on assets of the Parent Guarantor and its Subsidiaries not otherwise permitted above so long as the aggregate principal amount of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Indebtedness and other obligations subject to such Liens does not at any time exceed $50,000,000;</w:t>
      </w:r>
    </w:p>
    <w:p>
      <w:pPr>
        <w:spacing w:after="0" w:line="225" w:lineRule="exact"/>
        <w:rPr>
          <w:sz w:val="20"/>
          <w:szCs w:val="20"/>
          <w:color w:val="auto"/>
        </w:rPr>
      </w:pPr>
    </w:p>
    <w:p>
      <w:pPr>
        <w:ind w:left="1280" w:right="160" w:firstLine="653"/>
        <w:spacing w:after="0" w:line="264" w:lineRule="auto"/>
        <w:tabs>
          <w:tab w:leader="none" w:pos="258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Liens (if any) created pursuant to the Bank Credit Agreement with respect to any obligation to provide cash collateral in connection with any defaulting lenders thereunder, any letters of credit issued thereunder and/or extensions of credit thereunder denominated in a currency other than Dollars; and</w:t>
      </w:r>
    </w:p>
    <w:p>
      <w:pPr>
        <w:spacing w:after="0" w:line="181" w:lineRule="exact"/>
        <w:rPr>
          <w:sz w:val="20"/>
          <w:szCs w:val="20"/>
          <w:color w:val="auto"/>
        </w:rPr>
      </w:pPr>
    </w:p>
    <w:p>
      <w:pPr>
        <w:ind w:left="1280" w:right="60" w:firstLine="653"/>
        <w:spacing w:after="0" w:line="342" w:lineRule="auto"/>
        <w:tabs>
          <w:tab w:leader="none" w:pos="2584" w:val="left"/>
        </w:tabs>
        <w:numPr>
          <w:ilvl w:val="2"/>
          <w:numId w:val="159"/>
        </w:numPr>
        <w:rPr>
          <w:rFonts w:ascii="Arial" w:cs="Arial" w:eastAsia="Arial" w:hAnsi="Arial"/>
          <w:sz w:val="16"/>
          <w:szCs w:val="16"/>
          <w:color w:val="auto"/>
        </w:rPr>
      </w:pPr>
      <w:r>
        <w:rPr>
          <w:rFonts w:ascii="Arial" w:cs="Arial" w:eastAsia="Arial" w:hAnsi="Arial"/>
          <w:sz w:val="16"/>
          <w:szCs w:val="16"/>
          <w:color w:val="auto"/>
        </w:rPr>
        <w:t>Liens on Permitted Developed Areas, Undeveloped Areas and/or Permitted Development Projects and property related to any of the foregoing (other than any Collateral); provided that such Liens secure Indebtedness permitted by Section 9(a)(xxii).</w:t>
      </w:r>
    </w:p>
    <w:p>
      <w:pPr>
        <w:spacing w:after="0" w:line="123" w:lineRule="exact"/>
        <w:rPr>
          <w:rFonts w:ascii="Arial" w:cs="Arial" w:eastAsia="Arial" w:hAnsi="Arial"/>
          <w:sz w:val="16"/>
          <w:szCs w:val="16"/>
          <w:color w:val="auto"/>
        </w:rPr>
      </w:pPr>
    </w:p>
    <w:p>
      <w:pPr>
        <w:ind w:left="-20" w:right="40" w:firstLine="1332"/>
        <w:spacing w:after="0" w:line="279" w:lineRule="auto"/>
        <w:tabs>
          <w:tab w:leader="none" w:pos="1935" w:val="left"/>
        </w:tabs>
        <w:numPr>
          <w:ilvl w:val="0"/>
          <w:numId w:val="160"/>
        </w:numPr>
        <w:rPr>
          <w:rFonts w:ascii="Arial" w:cs="Arial" w:eastAsia="Arial" w:hAnsi="Arial"/>
          <w:sz w:val="17"/>
          <w:szCs w:val="17"/>
          <w:color w:val="auto"/>
        </w:rPr>
      </w:pPr>
      <w:r>
        <w:rPr>
          <w:rFonts w:ascii="Arial" w:cs="Arial" w:eastAsia="Arial" w:hAnsi="Arial"/>
          <w:sz w:val="17"/>
          <w:szCs w:val="17"/>
          <w:i w:val="1"/>
          <w:iCs w:val="1"/>
          <w:color w:val="auto"/>
        </w:rPr>
        <w:t>Fundamental Changes and Asset Sales</w:t>
      </w:r>
      <w:r>
        <w:rPr>
          <w:rFonts w:ascii="Arial" w:cs="Arial" w:eastAsia="Arial" w:hAnsi="Arial"/>
          <w:sz w:val="17"/>
          <w:szCs w:val="17"/>
          <w:color w:val="auto"/>
        </w:rPr>
        <w:t>. (i) The Parent Guarantor will not, and will not permit Lessee or any other Subsidiary to,</w:t>
      </w:r>
      <w:r>
        <w:rPr>
          <w:rFonts w:ascii="Arial" w:cs="Arial" w:eastAsia="Arial" w:hAnsi="Arial"/>
          <w:sz w:val="17"/>
          <w:szCs w:val="17"/>
          <w:i w:val="1"/>
          <w:iCs w:val="1"/>
          <w:color w:val="auto"/>
        </w:rPr>
        <w:t xml:space="preserve"> </w:t>
      </w:r>
      <w:r>
        <w:rPr>
          <w:rFonts w:ascii="Arial" w:cs="Arial" w:eastAsia="Arial" w:hAnsi="Arial"/>
          <w:sz w:val="17"/>
          <w:szCs w:val="17"/>
          <w:color w:val="auto"/>
        </w:rPr>
        <w:t>merge into or consolidate with any other Person, or permit any other Person to merge into or consolidate with it, or sell, transfer, lease or otherwise dispose of (in one transaction or in a series of transactions, including pursuant to a Sale and Leaseback Transaction) all or substantially all of the assets of the Parent Guarantor and its Subsidiaries (taken as a whole) (whether now owned or hereafter acquired), or liquidate or dissolve, except that:</w:t>
      </w:r>
    </w:p>
    <w:p>
      <w:pPr>
        <w:spacing w:after="0" w:line="171" w:lineRule="exact"/>
        <w:rPr>
          <w:rFonts w:ascii="Arial" w:cs="Arial" w:eastAsia="Arial" w:hAnsi="Arial"/>
          <w:sz w:val="17"/>
          <w:szCs w:val="17"/>
          <w:color w:val="auto"/>
        </w:rPr>
      </w:pPr>
    </w:p>
    <w:p>
      <w:pPr>
        <w:ind w:left="1600" w:right="60" w:firstLine="981"/>
        <w:spacing w:after="0" w:line="276" w:lineRule="auto"/>
        <w:tabs>
          <w:tab w:leader="none" w:pos="3241" w:val="left"/>
        </w:tabs>
        <w:numPr>
          <w:ilvl w:val="3"/>
          <w:numId w:val="160"/>
        </w:numPr>
        <w:rPr>
          <w:rFonts w:ascii="Arial" w:cs="Arial" w:eastAsia="Arial" w:hAnsi="Arial"/>
          <w:sz w:val="17"/>
          <w:szCs w:val="17"/>
          <w:color w:val="auto"/>
        </w:rPr>
      </w:pPr>
      <w:r>
        <w:rPr>
          <w:rFonts w:ascii="Arial" w:cs="Arial" w:eastAsia="Arial" w:hAnsi="Arial"/>
          <w:sz w:val="17"/>
          <w:szCs w:val="17"/>
          <w:color w:val="auto"/>
        </w:rPr>
        <w:t xml:space="preserve">if at the time thereof and immediately after giving effect thereto no Event of Default shall have occurred and be continuing, any Person (other than the Parent Guarantor or any of its Subsidiaries) may merge or consolidate with the Parent Guarantor or any of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merger or consolidation involving (1) the Lessee must result in the Lessee as the surviving entity, (2) the Parent Guarantor must result in the Parent Guarantor as the surviving entity and (3) a Subsidiary Guarantor must result in a Subsidiary Guarantor as the surviving entity;</w:t>
      </w:r>
    </w:p>
    <w:p>
      <w:pPr>
        <w:spacing w:after="0" w:line="172" w:lineRule="exact"/>
        <w:rPr>
          <w:rFonts w:ascii="Arial" w:cs="Arial" w:eastAsia="Arial" w:hAnsi="Arial"/>
          <w:sz w:val="17"/>
          <w:szCs w:val="17"/>
          <w:color w:val="auto"/>
        </w:rPr>
      </w:pPr>
    </w:p>
    <w:p>
      <w:pPr>
        <w:ind w:left="1600" w:right="20" w:firstLine="981"/>
        <w:spacing w:after="0" w:line="288" w:lineRule="auto"/>
        <w:tabs>
          <w:tab w:leader="none" w:pos="3231" w:val="left"/>
        </w:tabs>
        <w:numPr>
          <w:ilvl w:val="3"/>
          <w:numId w:val="160"/>
        </w:numPr>
        <w:rPr>
          <w:rFonts w:ascii="Arial" w:cs="Arial" w:eastAsia="Arial" w:hAnsi="Arial"/>
          <w:sz w:val="16"/>
          <w:szCs w:val="16"/>
          <w:color w:val="auto"/>
        </w:rPr>
      </w:pPr>
      <w:r>
        <w:rPr>
          <w:rFonts w:ascii="Arial" w:cs="Arial" w:eastAsia="Arial" w:hAnsi="Arial"/>
          <w:sz w:val="16"/>
          <w:szCs w:val="16"/>
          <w:color w:val="auto"/>
        </w:rPr>
        <w:t xml:space="preserve">any Subsidiary may merge into or consolidate with the Parent Guarantor, the Lessee, a Subsidiary Guarantor or a Bank Credit Agreement Specified Loan Party in a transaction in which the surviving entity is the Parent Guarantor, the Lessee, such Subsidiary Guarantor or such Bank Credit Agreement Specified Loan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merger or consolidation involving</w:t>
      </w:r>
    </w:p>
    <w:p>
      <w:pPr>
        <w:ind w:left="1600" w:right="460" w:firstLine="9"/>
        <w:spacing w:after="0" w:line="323" w:lineRule="auto"/>
        <w:tabs>
          <w:tab w:leader="none" w:pos="1855" w:val="left"/>
        </w:tabs>
        <w:numPr>
          <w:ilvl w:val="1"/>
          <w:numId w:val="160"/>
        </w:numPr>
        <w:rPr>
          <w:rFonts w:ascii="Arial" w:cs="Arial" w:eastAsia="Arial" w:hAnsi="Arial"/>
          <w:sz w:val="16"/>
          <w:szCs w:val="16"/>
          <w:color w:val="auto"/>
        </w:rPr>
      </w:pPr>
      <w:r>
        <w:rPr>
          <w:rFonts w:ascii="Arial" w:cs="Arial" w:eastAsia="Arial" w:hAnsi="Arial"/>
          <w:sz w:val="16"/>
          <w:szCs w:val="16"/>
          <w:color w:val="auto"/>
        </w:rPr>
        <w:t>the Lessee must result in the Lessee as the surviving entity, (2) the Parent Guarantor must result in the Parent Guarantor as the surviving entity and (3) a Subsidiary Guarantor must result in a Subsidiary Guarantor as the surviving entity;</w:t>
      </w:r>
    </w:p>
    <w:p>
      <w:pPr>
        <w:spacing w:after="0" w:line="138" w:lineRule="exact"/>
        <w:rPr>
          <w:rFonts w:ascii="Arial" w:cs="Arial" w:eastAsia="Arial" w:hAnsi="Arial"/>
          <w:sz w:val="16"/>
          <w:szCs w:val="16"/>
          <w:color w:val="auto"/>
        </w:rPr>
      </w:pPr>
    </w:p>
    <w:p>
      <w:pPr>
        <w:ind w:left="1600" w:right="200" w:firstLine="981"/>
        <w:spacing w:after="0" w:line="277" w:lineRule="auto"/>
        <w:tabs>
          <w:tab w:leader="none" w:pos="3231" w:val="left"/>
        </w:tabs>
        <w:numPr>
          <w:ilvl w:val="3"/>
          <w:numId w:val="161"/>
        </w:numPr>
        <w:rPr>
          <w:rFonts w:ascii="Arial" w:cs="Arial" w:eastAsia="Arial" w:hAnsi="Arial"/>
          <w:sz w:val="18"/>
          <w:szCs w:val="18"/>
          <w:color w:val="auto"/>
        </w:rPr>
      </w:pPr>
      <w:r>
        <w:rPr>
          <w:rFonts w:ascii="Arial" w:cs="Arial" w:eastAsia="Arial" w:hAnsi="Arial"/>
          <w:sz w:val="18"/>
          <w:szCs w:val="18"/>
          <w:color w:val="auto"/>
        </w:rPr>
        <w:t>any Subsidiary that is not a Subsidiary Guarantor may merge into or consolidate with, or sell, transfer, lease or otherwise dispose of any or all of its assets to, another Subsidiary that is not a Subsidiary Guarantor;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00" w:right="140" w:firstLine="981"/>
        <w:spacing w:after="0" w:line="264" w:lineRule="auto"/>
        <w:tabs>
          <w:tab w:leader="none" w:pos="324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Subsidiary may sell, transfer, lease or otherwise dispose of any or all of its assets to the Parent Guarantor, the Lessee, a Subsidiary Guarantor or a Bank Credit Agreement Specified Loan Party (in connection with a liquidation, winding up or dissolution or otherwise);</w:t>
      </w:r>
    </w:p>
    <w:p>
      <w:pPr>
        <w:spacing w:after="0" w:line="181" w:lineRule="exact"/>
        <w:rPr>
          <w:rFonts w:ascii="Arial" w:cs="Arial" w:eastAsia="Arial" w:hAnsi="Arial"/>
          <w:sz w:val="18"/>
          <w:szCs w:val="18"/>
          <w:color w:val="auto"/>
        </w:rPr>
      </w:pPr>
    </w:p>
    <w:p>
      <w:pPr>
        <w:ind w:left="1600" w:right="80" w:firstLine="981"/>
        <w:spacing w:after="0" w:line="259" w:lineRule="auto"/>
        <w:tabs>
          <w:tab w:leader="none" w:pos="323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Subsidiary that is not a Subsidiary Guarantor may liquidate, wind up or dissolve (1) if the Parent Guarantor determines in good faith that such liquidation, winding up or dissolution is in the best interests of the Parent Guarantor and is not materially disadvantageous to the Participants or (2) to the extent undertaken in good faith for the purpose of improving the overall tax efficiency of the Parent Guarantor and its Subsidiaries;</w:t>
      </w:r>
    </w:p>
    <w:p>
      <w:pPr>
        <w:spacing w:after="0" w:line="186" w:lineRule="exact"/>
        <w:rPr>
          <w:rFonts w:ascii="Arial" w:cs="Arial" w:eastAsia="Arial" w:hAnsi="Arial"/>
          <w:sz w:val="18"/>
          <w:szCs w:val="18"/>
          <w:color w:val="auto"/>
        </w:rPr>
      </w:pPr>
    </w:p>
    <w:p>
      <w:pPr>
        <w:ind w:left="3240" w:hanging="659"/>
        <w:spacing w:after="0"/>
        <w:tabs>
          <w:tab w:leader="none" w:pos="32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Parent Guarantor and its Subsidiaries may consummate Permitted Restructurings;</w:t>
      </w:r>
    </w:p>
    <w:p>
      <w:pPr>
        <w:spacing w:after="0" w:line="225" w:lineRule="exact"/>
        <w:rPr>
          <w:rFonts w:ascii="Arial" w:cs="Arial" w:eastAsia="Arial" w:hAnsi="Arial"/>
          <w:sz w:val="18"/>
          <w:szCs w:val="18"/>
          <w:color w:val="auto"/>
        </w:rPr>
      </w:pPr>
    </w:p>
    <w:p>
      <w:pPr>
        <w:ind w:left="1600" w:right="220" w:firstLine="981"/>
        <w:spacing w:after="0" w:line="259" w:lineRule="auto"/>
        <w:tabs>
          <w:tab w:leader="none" w:pos="324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Parent Guarantor and its Subsidiaries may enter into, terminate or modify leases, subleases, licenses and sublicenses of technology and other property (1) in the ordinary course of business, (2) between or among the Parent Guarantor, the Lessee, any Subsidiary Guarantors and any of their Subsidiaries (or any combination thereof) or (3) as permitted by Article VI of the Lease;</w:t>
      </w:r>
    </w:p>
    <w:p>
      <w:pPr>
        <w:spacing w:after="0" w:line="186" w:lineRule="exact"/>
        <w:rPr>
          <w:rFonts w:ascii="Arial" w:cs="Arial" w:eastAsia="Arial" w:hAnsi="Arial"/>
          <w:sz w:val="18"/>
          <w:szCs w:val="18"/>
          <w:color w:val="auto"/>
        </w:rPr>
      </w:pPr>
    </w:p>
    <w:p>
      <w:pPr>
        <w:ind w:left="3240" w:hanging="659"/>
        <w:spacing w:after="0"/>
        <w:tabs>
          <w:tab w:leader="none" w:pos="32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Parent Guarantor and its Subsidiaries may incur Liens permitted under Section 9(b); and</w:t>
      </w:r>
    </w:p>
    <w:p>
      <w:pPr>
        <w:spacing w:after="0" w:line="225" w:lineRule="exact"/>
        <w:rPr>
          <w:rFonts w:ascii="Arial" w:cs="Arial" w:eastAsia="Arial" w:hAnsi="Arial"/>
          <w:sz w:val="18"/>
          <w:szCs w:val="18"/>
          <w:color w:val="auto"/>
        </w:rPr>
      </w:pPr>
    </w:p>
    <w:p>
      <w:pPr>
        <w:ind w:left="1600" w:firstLine="981"/>
        <w:spacing w:after="0" w:line="312" w:lineRule="auto"/>
        <w:tabs>
          <w:tab w:leader="none" w:pos="322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with respect to any rights, title or interest of the Parent Guarantor and its Subsidiaries in the Collateral and the Purchase Agreement, leases, subleases, assignments and other transfers pursuant to or permitted by the Operative Documents, including (A) the assignment of certain rights under the Purchase Agreement (including the right to take title to the Facility) pursuant to</w:t>
      </w:r>
    </w:p>
    <w:p>
      <w:pPr>
        <w:sectPr>
          <w:pgSz w:w="11900" w:h="16952" w:orient="portrait"/>
          <w:cols w:equalWidth="0" w:num="1">
            <w:col w:w="11400"/>
          </w:cols>
          <w:pgMar w:left="260" w:top="125" w:right="239" w:bottom="0" w:gutter="0" w:footer="0" w:header="0"/>
        </w:sectPr>
      </w:pPr>
    </w:p>
    <w:bookmarkStart w:id="72" w:name="page73"/>
    <w:bookmarkEnd w:id="72"/>
    <w:p>
      <w:pPr>
        <w:ind w:left="1620" w:right="420"/>
        <w:spacing w:after="0" w:line="277" w:lineRule="auto"/>
        <w:rPr>
          <w:sz w:val="20"/>
          <w:szCs w:val="20"/>
          <w:color w:val="auto"/>
        </w:rPr>
      </w:pPr>
      <w:r>
        <w:rPr>
          <w:rFonts w:ascii="Arial" w:cs="Arial" w:eastAsia="Arial" w:hAnsi="Arial"/>
          <w:sz w:val="18"/>
          <w:szCs w:val="18"/>
          <w:color w:val="auto"/>
        </w:rPr>
        <w:t>the Assignment of Purchase Agreement and (B) the assignment or other transfer by the Parent Guarantor to a directly or indirectly wholly-owned Subsidiary as an affiliate transferee pursuant to the Operative Documents.</w:t>
      </w:r>
    </w:p>
    <w:p>
      <w:pPr>
        <w:spacing w:after="0" w:line="170" w:lineRule="exact"/>
        <w:rPr>
          <w:sz w:val="20"/>
          <w:szCs w:val="20"/>
          <w:color w:val="auto"/>
        </w:rPr>
      </w:pPr>
    </w:p>
    <w:p>
      <w:pPr>
        <w:ind w:left="1120" w:right="20" w:firstLine="833"/>
        <w:spacing w:after="0" w:line="259" w:lineRule="auto"/>
        <w:tabs>
          <w:tab w:leader="none" w:pos="2629"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Parent Guarantor will not, and will not permit Lessee or any other Subsidiary to, engage to any material extent in any business substantially different from businesses of the type conducted by the Parent Guarantor and its Subsidiaries (taken as a whole) on the Document Closing Date and businesses reasonably related, ancillary, similar, complementary or synergistic thereto or reasonable extensions, development or expansion thereof.</w:t>
      </w:r>
    </w:p>
    <w:p>
      <w:pPr>
        <w:spacing w:after="0" w:line="186" w:lineRule="exact"/>
        <w:rPr>
          <w:rFonts w:ascii="Arial" w:cs="Arial" w:eastAsia="Arial" w:hAnsi="Arial"/>
          <w:sz w:val="18"/>
          <w:szCs w:val="18"/>
          <w:color w:val="auto"/>
        </w:rPr>
      </w:pPr>
    </w:p>
    <w:p>
      <w:pPr>
        <w:ind w:right="140" w:firstLine="1129"/>
        <w:spacing w:after="0" w:line="264" w:lineRule="auto"/>
        <w:tabs>
          <w:tab w:leader="none" w:pos="1952"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Restricted Payments</w:t>
      </w:r>
      <w:r>
        <w:rPr>
          <w:rFonts w:ascii="Arial" w:cs="Arial" w:eastAsia="Arial" w:hAnsi="Arial"/>
          <w:sz w:val="18"/>
          <w:szCs w:val="18"/>
          <w:color w:val="auto"/>
        </w:rPr>
        <w:t>. The Parent Guarantor will not, and will not permit Lessee or any other Subsidiary to, make,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any Restricted Payment, except (i) the Parent Guarantor may pay dividends or make other Restricted Payments with respect to its Equity Interests payable solely in additional Equity Interests, (ii) the Parent Guarantor may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repurchase Equity Interests upon the exercise of stock options or warrants if such Equity Interests represent a portion of the exercise price of such options or warrants or with the proceeds received from the substantially concurrent issue of new Equity Interests, (iii) the Parent Guarantor may make cash payments</w:t>
      </w:r>
    </w:p>
    <w:p>
      <w:pPr>
        <w:ind w:firstLine="8"/>
        <w:spacing w:after="0" w:line="284" w:lineRule="auto"/>
        <w:tabs>
          <w:tab w:leader="none" w:pos="29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 xml:space="preserve">on securities convertible into or exchangeable for Equity Interests in the Parent Guarantor in accordance with their terms or (B) in lieu of the issuance of fractional Equity Interests in connection with any dividend, split or combination thereof or the exercise of warrants, options or other securities convertible into or exchangeable for Equity Interests in the Parent Guarantor, (iv) Subsidiaries may (A) make dividends or other distributions to their respective equityholders with respect to their Equity Interests (which distributions shall be (x) made on at least a ratable basis to any such equityholders that are Subsidiary Guarantors and (y) in the case of a Subsidiary that is not a wholly-owned Subsidiary, made on at least a ratable basis to any such equityholders that are the Parent Guarantor or a Subsidiary), (B) make other Restricted Payments to Parent Guarantor, the Lessee or any Subsidiary Guarantor (either directly or indirectly through one or more Subsidiaries that are not Subsidiary Guarantors or the Lessee), (C) other than with respect to any such distributions by a Subsidiary Guarantor, make other Restricted Payments to a Bank Credit Agreement Specified Loan Party (either directly or indirectly through one or more Subsidiaries that are not Subsidiary Guarantors or the Lessee) and (D) make any Restricted Payments that the Parent Guarantor would have otherwise been permitted to make pursuant to this Section 9(d), (v) the Parent Guarantor may make Restricted Payments (A) for the repurchase, retirement or other acquisition or retirement for value of Equity Interests of the Parent Guarantor from any future, present or former employee, officer, director or manager or consultant of the Parent Guarantor or any Subsidiary upon the death, disability, retirement or termination of employment of any such Person or (B) pursuant to and in accordance with any agreement (including any employment agreement), stock option or stock ownership plans, incentive plans or other benefit plans, in each case for future, present or former directors, officers, managers or employees of the Parent Guarantor and its Subsidiaries (including, without limitation, in respect of tax withholding or other similar tax obligation related to the foregoing) and (vi) the Parent Guarantor and its Subsidiaries may make any other Restricted Payment so long as no Event of Default has occurred and is continuing prior to making such Restricted Payment or would arise immediately after giving effect (including giving effect on a pro forma basis) thereto and the aggregate amount of all such Restricted Payments pursuant to this clause (vi) during any fiscal year of the Parent Guarantor does not exceed $75,000,000;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Dollar limitation shall not be applicable, and such Restricted Payment shall not count against such Dollar limitation, if at the time of the making of such Restricted Payment and immediately after giving effect (on a pro forma basis) thereto, the Total Leverage Ratio is equal to or less than 2.75 to 1.00.</w:t>
      </w:r>
    </w:p>
    <w:p>
      <w:pPr>
        <w:spacing w:after="0" w:line="169" w:lineRule="exact"/>
        <w:rPr>
          <w:rFonts w:ascii="Arial" w:cs="Arial" w:eastAsia="Arial" w:hAnsi="Arial"/>
          <w:sz w:val="16"/>
          <w:szCs w:val="16"/>
          <w:color w:val="auto"/>
        </w:rPr>
      </w:pPr>
    </w:p>
    <w:p>
      <w:pPr>
        <w:ind w:right="60" w:firstLine="1129"/>
        <w:spacing w:after="0" w:line="297" w:lineRule="auto"/>
        <w:tabs>
          <w:tab w:leader="none" w:pos="1955" w:val="left"/>
        </w:tabs>
        <w:numPr>
          <w:ilvl w:val="1"/>
          <w:numId w:val="165"/>
        </w:numPr>
        <w:rPr>
          <w:rFonts w:ascii="Arial" w:cs="Arial" w:eastAsia="Arial" w:hAnsi="Arial"/>
          <w:sz w:val="16"/>
          <w:szCs w:val="16"/>
          <w:color w:val="auto"/>
        </w:rPr>
      </w:pPr>
      <w:r>
        <w:rPr>
          <w:rFonts w:ascii="Arial" w:cs="Arial" w:eastAsia="Arial" w:hAnsi="Arial"/>
          <w:sz w:val="16"/>
          <w:szCs w:val="16"/>
          <w:i w:val="1"/>
          <w:iCs w:val="1"/>
          <w:color w:val="auto"/>
        </w:rPr>
        <w:t>Transactions with Affiliates</w:t>
      </w:r>
      <w:r>
        <w:rPr>
          <w:rFonts w:ascii="Arial" w:cs="Arial" w:eastAsia="Arial" w:hAnsi="Arial"/>
          <w:sz w:val="16"/>
          <w:szCs w:val="16"/>
          <w:color w:val="auto"/>
        </w:rPr>
        <w:t>. The Parent Guarantor will not, and will not permit Lessee or any other Subsidiary to, sell, lease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transfer any property or assets to, or purchase, lease or otherwise acquire any property or assets from, or otherwise engage in any other transactions with, any of its Affiliates, except (i) transactions on terms and conditions not materially less favorable to the Parent Guarantor or such Subsidiary than could be obtained on an arm’s-length basis from a Person that is not an Affiliate for a comparable transaction, (ii) transactions between or among the Parent Guarantor and its Subsidiaries (or an entity that becomes a Subsidiary of the Parent Guarantor as a result of such transaction) (or 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combination thereof), (iii) the payment of customary fees to directors of the Parent Guarantor or any of its Subsidiaries, and customary compensation, reasonable out-of-pocket expense reimbursement and indemnification (including the provision of directors and officers insurance) of, and other employment agreements and arrangements, employee benefit plans and stock incentive plans paid to, future, present or past directors, officers, managers and employees of the Parent Guarantor or any of its Subsidiaries, (iv) transactions undertaken in good faith for the purpose of improving the overall tax efficiency of the Parent Guarantor and its Subsidiaries, (v) loans, advances and other transactions to the extent permitted by the terms of this Guaranty, the Lease or the Participation Agreement, including without limitation any Restricted Payment permitted by Section 9(d) and transactions permitted by Section 9(c), (vi) issuances of Equity Interests to Affiliates and the registration rights associated therewith, (vii) any Collaboration Arrangement or any other license, sublicense, lease or sublease (A) in existence on the Document Closing Date (together with any amendments, restatements, extensions, replacements or other modifications thereto that are not materially adverse to the interests of the Lenders in their capacities as such), (B) in the ordinary course of business or (C) substantially consistent with past practices, (viii) transactions with Affiliates that are Disclosed Matters, (ix) transactions pursuant to agreements in effect on the Document Closing Date (together with any amendments, restatements, extensions, replacements or other modifications thereto that are not materially adverse to the interests of the Participants in their capacities as such), (x) transactions with joint ventures for the purchase or sale of property or other assets and services entered into in the ordinary course of business and investments in joint ventures, (xi) transactions approved by a majority of Disinterested Directors of the Parent Guarantor or of the applicable Subsidiary in good faith, (xii) any transactions or series of related transactions with respect to which the aggregate consideration paid, or fair market value of property disposed of, by the Parent Guarantor and its Subsidiaries is less than $2,000,000 and (xiii) subleases and assignments permitted by the Operative Documents, including Article VI of the Lease.</w:t>
      </w:r>
    </w:p>
    <w:p>
      <w:pPr>
        <w:spacing w:after="0" w:line="178" w:lineRule="exact"/>
        <w:rPr>
          <w:sz w:val="20"/>
          <w:szCs w:val="20"/>
          <w:color w:val="auto"/>
        </w:rPr>
      </w:pPr>
    </w:p>
    <w:p>
      <w:pPr>
        <w:ind w:right="20" w:firstLine="1129"/>
        <w:spacing w:after="0" w:line="289" w:lineRule="auto"/>
        <w:tabs>
          <w:tab w:leader="none" w:pos="1949" w:val="left"/>
        </w:tabs>
        <w:numPr>
          <w:ilvl w:val="0"/>
          <w:numId w:val="166"/>
        </w:numPr>
        <w:rPr>
          <w:rFonts w:ascii="Arial" w:cs="Arial" w:eastAsia="Arial" w:hAnsi="Arial"/>
          <w:sz w:val="16"/>
          <w:szCs w:val="16"/>
          <w:color w:val="auto"/>
        </w:rPr>
      </w:pPr>
      <w:r>
        <w:rPr>
          <w:rFonts w:ascii="Arial" w:cs="Arial" w:eastAsia="Arial" w:hAnsi="Arial"/>
          <w:sz w:val="16"/>
          <w:szCs w:val="16"/>
          <w:i w:val="1"/>
          <w:iCs w:val="1"/>
          <w:color w:val="auto"/>
        </w:rPr>
        <w:t>Maximum Total Leverage Ratio</w:t>
      </w:r>
      <w:r>
        <w:rPr>
          <w:rFonts w:ascii="Arial" w:cs="Arial" w:eastAsia="Arial" w:hAnsi="Arial"/>
          <w:sz w:val="16"/>
          <w:szCs w:val="16"/>
          <w:color w:val="auto"/>
        </w:rPr>
        <w:t>. The Parent Guarantor will not permit the ratio (the “</w:t>
      </w:r>
      <w:r>
        <w:rPr>
          <w:rFonts w:ascii="Arial" w:cs="Arial" w:eastAsia="Arial" w:hAnsi="Arial"/>
          <w:sz w:val="16"/>
          <w:szCs w:val="16"/>
          <w:i w:val="1"/>
          <w:iCs w:val="1"/>
          <w:color w:val="auto"/>
        </w:rPr>
        <w:t>Total Leverage Ratio</w:t>
      </w:r>
      <w:r>
        <w:rPr>
          <w:rFonts w:ascii="Arial" w:cs="Arial" w:eastAsia="Arial" w:hAnsi="Arial"/>
          <w:sz w:val="16"/>
          <w:szCs w:val="16"/>
          <w:color w:val="auto"/>
        </w:rPr>
        <w:t>”), determined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end of each of its fiscal quarters ending on and after March 31, 2017, of (i) Consolidated Total Indebtedness to (ii) Consolidated EBITDA for the period of four (4) consecutive fiscal quarters ending with the end of such fiscal quarter, all calculated for the Parent Guarantor and its Subsidiaries on a consolidated basis, to be greater than 3.00 to 1.00. Notwithstanding the foregoing, the Parent Guarantor shall be permitted (such permission, the “</w:t>
      </w:r>
      <w:r>
        <w:rPr>
          <w:rFonts w:ascii="Arial" w:cs="Arial" w:eastAsia="Arial" w:hAnsi="Arial"/>
          <w:sz w:val="16"/>
          <w:szCs w:val="16"/>
          <w:i w:val="1"/>
          <w:iCs w:val="1"/>
          <w:color w:val="auto"/>
        </w:rPr>
        <w:t>Acquisition Holiday</w:t>
      </w:r>
      <w:r>
        <w:rPr>
          <w:rFonts w:ascii="Arial" w:cs="Arial" w:eastAsia="Arial" w:hAnsi="Arial"/>
          <w:sz w:val="16"/>
          <w:szCs w:val="16"/>
          <w:color w:val="auto"/>
        </w:rPr>
        <w:t xml:space="preserve">”) on one (1) occasion during the term of the Participation Agreement to allow the maximum Total Leverage Ratio under this Section 9(f) to be increased to 3.50 to 1.00 for a period of four consecutive fiscal quarters in connection with an Acquisition occurring during the first of such four fiscal quarters if the aggregate consideration paid or to be paid in respect of such Acquisition exceeds $500,000,000, so long as the Parent Guarantor is in compliance on a pro forma basis with the maximum Total Leverage Ratio of 3.50 to 1.00 on the closing date of such Acquisition immediately after giving effect to such Acquisition;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the Parent Guarantor shall provide notice in writing to the Administrative Agent of such increase and a transaction description of such Acquisition</w:t>
      </w:r>
    </w:p>
    <w:p>
      <w:pPr>
        <w:sectPr>
          <w:pgSz w:w="11900" w:h="16838" w:orient="portrait"/>
          <w:cols w:equalWidth="0" w:num="1">
            <w:col w:w="11420"/>
          </w:cols>
          <w:pgMar w:left="240" w:top="125" w:right="239" w:bottom="0" w:gutter="0" w:footer="0" w:header="0"/>
        </w:sectPr>
      </w:pPr>
    </w:p>
    <w:bookmarkStart w:id="73" w:name="page74"/>
    <w:bookmarkEnd w:id="73"/>
    <w:p>
      <w:pPr>
        <w:ind w:right="120"/>
        <w:spacing w:after="0" w:line="308" w:lineRule="auto"/>
        <w:rPr>
          <w:sz w:val="20"/>
          <w:szCs w:val="20"/>
          <w:color w:val="auto"/>
        </w:rPr>
      </w:pPr>
      <w:r>
        <w:rPr>
          <w:rFonts w:ascii="Arial" w:cs="Arial" w:eastAsia="Arial" w:hAnsi="Arial"/>
          <w:sz w:val="17"/>
          <w:szCs w:val="17"/>
          <w:color w:val="auto"/>
        </w:rPr>
        <w:t>(regarding the name of the Person or summary description of the assets being acquired and the approximate purchase price) and (y) at the end of such period of four consecutive fiscal quarters, the maximum Total Leverage Ratio permitted under this Section 9(f) shall revert to 3.00 to 1.00.</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1305"/>
        <w:spacing w:after="0" w:line="291" w:lineRule="auto"/>
        <w:tabs>
          <w:tab w:leader="none" w:pos="1965" w:val="left"/>
        </w:tabs>
        <w:numPr>
          <w:ilvl w:val="1"/>
          <w:numId w:val="167"/>
        </w:numPr>
        <w:rPr>
          <w:rFonts w:ascii="Arial" w:cs="Arial" w:eastAsia="Arial" w:hAnsi="Arial"/>
          <w:sz w:val="16"/>
          <w:szCs w:val="16"/>
          <w:color w:val="auto"/>
        </w:rPr>
      </w:pPr>
      <w:r>
        <w:rPr>
          <w:rFonts w:ascii="Arial" w:cs="Arial" w:eastAsia="Arial" w:hAnsi="Arial"/>
          <w:sz w:val="16"/>
          <w:szCs w:val="16"/>
          <w:i w:val="1"/>
          <w:iCs w:val="1"/>
          <w:color w:val="auto"/>
        </w:rPr>
        <w:t>Minimum Interest Coverage Ratio</w:t>
      </w:r>
      <w:r>
        <w:rPr>
          <w:rFonts w:ascii="Arial" w:cs="Arial" w:eastAsia="Arial" w:hAnsi="Arial"/>
          <w:sz w:val="16"/>
          <w:szCs w:val="16"/>
          <w:color w:val="auto"/>
        </w:rPr>
        <w:t>. The Parent Guarantor will not permit the ratio, determined as of the end of each of its fiscal</w:t>
      </w:r>
      <w:r>
        <w:rPr>
          <w:rFonts w:ascii="Arial" w:cs="Arial" w:eastAsia="Arial" w:hAnsi="Arial"/>
          <w:sz w:val="16"/>
          <w:szCs w:val="16"/>
          <w:i w:val="1"/>
          <w:iCs w:val="1"/>
          <w:color w:val="auto"/>
        </w:rPr>
        <w:t xml:space="preserve"> </w:t>
      </w:r>
      <w:r>
        <w:rPr>
          <w:rFonts w:ascii="Arial" w:cs="Arial" w:eastAsia="Arial" w:hAnsi="Arial"/>
          <w:sz w:val="16"/>
          <w:szCs w:val="16"/>
          <w:color w:val="auto"/>
        </w:rPr>
        <w:t>quarters ending on and after March 31, 2017, of (i) Consolidated EBITDA to (ii) Consolidated Interest Expense, in each case for the period of four</w:t>
      </w:r>
    </w:p>
    <w:p>
      <w:pPr>
        <w:ind w:right="160" w:firstLine="8"/>
        <w:spacing w:after="0" w:line="261" w:lineRule="auto"/>
        <w:tabs>
          <w:tab w:leader="none" w:pos="25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consecutive fiscal quarters ending with the end of such fiscal quarter, all calculated for the Parent Guarantor and its Subsidiaries on a consolidated basis, to be less than 3.00 to 1.00.</w:t>
      </w:r>
    </w:p>
    <w:p>
      <w:pPr>
        <w:spacing w:after="0" w:line="184" w:lineRule="exact"/>
        <w:rPr>
          <w:sz w:val="20"/>
          <w:szCs w:val="20"/>
          <w:color w:val="auto"/>
        </w:rPr>
      </w:pPr>
    </w:p>
    <w:p>
      <w:pPr>
        <w:ind w:firstLine="729"/>
        <w:spacing w:after="0" w:line="259" w:lineRule="auto"/>
        <w:rPr>
          <w:sz w:val="20"/>
          <w:szCs w:val="20"/>
          <w:color w:val="auto"/>
        </w:rPr>
      </w:pPr>
      <w:r>
        <w:rPr>
          <w:rFonts w:ascii="Arial" w:cs="Arial" w:eastAsia="Arial" w:hAnsi="Arial"/>
          <w:sz w:val="18"/>
          <w:szCs w:val="18"/>
          <w:i w:val="1"/>
          <w:iCs w:val="1"/>
          <w:color w:val="auto"/>
        </w:rPr>
        <w:t>Section 10. Successors and Assigns</w:t>
      </w:r>
      <w:r>
        <w:rPr>
          <w:rFonts w:ascii="Arial" w:cs="Arial" w:eastAsia="Arial" w:hAnsi="Arial"/>
          <w:sz w:val="18"/>
          <w:szCs w:val="18"/>
          <w:color w:val="auto"/>
        </w:rPr>
        <w:t>. This Guaranty shall be binding upon each Guarantor and upon each Guarantor’s successors and assigns;</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no Guarantor shall assign or transfer any of its interests or obligations hereunder without the prior written consent of the requisite Participants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Section 15.5 of the Participation Agreement (it being understood that the foregoing proviso shall not prohibit transactions permitted by Section 9(c) of this Guaranty).</w:t>
      </w:r>
    </w:p>
    <w:p>
      <w:pPr>
        <w:spacing w:after="0" w:line="187" w:lineRule="exact"/>
        <w:rPr>
          <w:sz w:val="20"/>
          <w:szCs w:val="20"/>
          <w:color w:val="auto"/>
        </w:rPr>
      </w:pPr>
    </w:p>
    <w:p>
      <w:pPr>
        <w:ind w:right="60" w:firstLine="729"/>
        <w:spacing w:after="0" w:line="264" w:lineRule="auto"/>
        <w:rPr>
          <w:sz w:val="20"/>
          <w:szCs w:val="20"/>
          <w:color w:val="auto"/>
        </w:rPr>
      </w:pPr>
      <w:r>
        <w:rPr>
          <w:rFonts w:ascii="Arial" w:cs="Arial" w:eastAsia="Arial" w:hAnsi="Arial"/>
          <w:sz w:val="18"/>
          <w:szCs w:val="18"/>
          <w:i w:val="1"/>
          <w:iCs w:val="1"/>
          <w:color w:val="auto"/>
        </w:rPr>
        <w:t>Section 11. Severability</w:t>
      </w:r>
      <w:r>
        <w:rPr>
          <w:rFonts w:ascii="Arial" w:cs="Arial" w:eastAsia="Arial" w:hAnsi="Arial"/>
          <w:sz w:val="18"/>
          <w:szCs w:val="18"/>
          <w:color w:val="auto"/>
        </w:rPr>
        <w:t>. Any provision of this Guaranty that is prohibited or unenforceable in any jurisdiction shall, as to such jurisdiction, be</w:t>
      </w:r>
      <w:r>
        <w:rPr>
          <w:rFonts w:ascii="Arial" w:cs="Arial" w:eastAsia="Arial" w:hAnsi="Arial"/>
          <w:sz w:val="18"/>
          <w:szCs w:val="18"/>
          <w:i w:val="1"/>
          <w:iCs w:val="1"/>
          <w:color w:val="auto"/>
        </w:rPr>
        <w:t xml:space="preserve"> </w:t>
      </w:r>
      <w:r>
        <w:rPr>
          <w:rFonts w:ascii="Arial" w:cs="Arial" w:eastAsia="Arial" w:hAnsi="Arial"/>
          <w:sz w:val="18"/>
          <w:szCs w:val="18"/>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1" w:lineRule="exact"/>
        <w:rPr>
          <w:sz w:val="20"/>
          <w:szCs w:val="20"/>
          <w:color w:val="auto"/>
        </w:rPr>
      </w:pPr>
    </w:p>
    <w:p>
      <w:pPr>
        <w:ind w:firstLine="729"/>
        <w:spacing w:after="0" w:line="289" w:lineRule="auto"/>
        <w:rPr>
          <w:sz w:val="20"/>
          <w:szCs w:val="20"/>
          <w:color w:val="auto"/>
        </w:rPr>
      </w:pPr>
      <w:r>
        <w:rPr>
          <w:rFonts w:ascii="Arial" w:cs="Arial" w:eastAsia="Arial" w:hAnsi="Arial"/>
          <w:sz w:val="16"/>
          <w:szCs w:val="16"/>
          <w:i w:val="1"/>
          <w:iCs w:val="1"/>
          <w:color w:val="auto"/>
        </w:rPr>
        <w:t>Section 12. Submission to Jurisdiction; Service of Process</w:t>
      </w:r>
      <w:r>
        <w:rPr>
          <w:rFonts w:ascii="Arial" w:cs="Arial" w:eastAsia="Arial" w:hAnsi="Arial"/>
          <w:sz w:val="16"/>
          <w:szCs w:val="16"/>
          <w:color w:val="auto"/>
        </w:rPr>
        <w:t>. Each Guarantor: (a) submits for itself and its property in any legal action or</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 relating to this Guaranty, or for recognition and enforcement of any judgment in respect thereof, to the exclusive general jurisdiction of the United States District Court for the Southern District of New York and of any New York state court sitting in the borough of Manhattan, and appellate courts from any thereof; (b) consents that any such action or proceedings may be brought to such courts, and waives any objection that it may now or hereafter have to the venue of any such action or proceeding in any such court or that such action or proceeding was brought in an inconvenient court and agrees not to plead or claim the same; (c) agrees, to the fullest extent of Applicable Law, that service of process in any such action or proceeding may be effected by mailing a copy thereof by registered or certified mail (or any substantially similar form of mail), postage prepaid, to it at its address referred to in Section 13 below or at such other address of which the other parties hereto shall have been notified pursuant to Section 13; and (d) agrees that nothing herein shall affect the right to effect service of process in any other manner permitted by law or shall affect the right that any Beneficiary may otherwise have to sue in any other jurisdiction.</w:t>
      </w:r>
    </w:p>
    <w:p>
      <w:pPr>
        <w:spacing w:after="0" w:line="167" w:lineRule="exact"/>
        <w:rPr>
          <w:sz w:val="20"/>
          <w:szCs w:val="20"/>
          <w:color w:val="auto"/>
        </w:rPr>
      </w:pPr>
    </w:p>
    <w:p>
      <w:pPr>
        <w:ind w:right="80" w:firstLine="729"/>
        <w:spacing w:after="0" w:line="259" w:lineRule="auto"/>
        <w:rPr>
          <w:sz w:val="20"/>
          <w:szCs w:val="20"/>
          <w:color w:val="auto"/>
        </w:rPr>
      </w:pPr>
      <w:r>
        <w:rPr>
          <w:rFonts w:ascii="Arial" w:cs="Arial" w:eastAsia="Arial" w:hAnsi="Arial"/>
          <w:sz w:val="18"/>
          <w:szCs w:val="18"/>
          <w:i w:val="1"/>
          <w:iCs w:val="1"/>
          <w:color w:val="auto"/>
        </w:rPr>
        <w:t>Section 13. Notices</w:t>
      </w:r>
      <w:r>
        <w:rPr>
          <w:rFonts w:ascii="Arial" w:cs="Arial" w:eastAsia="Arial" w:hAnsi="Arial"/>
          <w:sz w:val="18"/>
          <w:szCs w:val="18"/>
          <w:color w:val="auto"/>
        </w:rPr>
        <w:t>. All notices, requests, demands or other communications (i) to any Guarantor or (ii) that are required or permitted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made by any Guarantor pursuant to this Guaranty to Administrative Agent and/or any Participant shall be in writing and shall be deemed to have been duly given when addressed to the appropriate Person and delivered in the manner specified in Section 15.3 of the Participation Agreement. The initial address for notices to each Guarantor is set forth on Schedule III to the Participation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729"/>
        <w:spacing w:after="0" w:line="277" w:lineRule="auto"/>
        <w:rPr>
          <w:sz w:val="20"/>
          <w:szCs w:val="20"/>
          <w:color w:val="auto"/>
        </w:rPr>
      </w:pPr>
      <w:r>
        <w:rPr>
          <w:rFonts w:ascii="Arial" w:cs="Arial" w:eastAsia="Arial" w:hAnsi="Arial"/>
          <w:sz w:val="18"/>
          <w:szCs w:val="18"/>
          <w:i w:val="1"/>
          <w:iCs w:val="1"/>
          <w:color w:val="auto"/>
        </w:rPr>
        <w:t xml:space="preserve">Section 14. Amendment. </w:t>
      </w:r>
      <w:r>
        <w:rPr>
          <w:rFonts w:ascii="Arial" w:cs="Arial" w:eastAsia="Arial" w:hAnsi="Arial"/>
          <w:sz w:val="18"/>
          <w:szCs w:val="18"/>
          <w:color w:val="auto"/>
        </w:rPr>
        <w:t>This Guaranty may not be amended or modified or any of its provisions waived, except in accordance with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of Section 15.5 of the Participation Agreement.</w:t>
      </w:r>
    </w:p>
    <w:p>
      <w:pPr>
        <w:spacing w:after="0" w:line="166" w:lineRule="exact"/>
        <w:rPr>
          <w:sz w:val="20"/>
          <w:szCs w:val="20"/>
          <w:color w:val="auto"/>
        </w:rPr>
      </w:pPr>
    </w:p>
    <w:p>
      <w:pPr>
        <w:ind w:left="740"/>
        <w:spacing w:after="0"/>
        <w:tabs>
          <w:tab w:leader="none" w:pos="1900" w:val="left"/>
        </w:tabs>
        <w:rPr>
          <w:sz w:val="20"/>
          <w:szCs w:val="20"/>
          <w:color w:val="auto"/>
        </w:rPr>
      </w:pPr>
      <w:r>
        <w:rPr>
          <w:rFonts w:ascii="Arial" w:cs="Arial" w:eastAsia="Arial" w:hAnsi="Arial"/>
          <w:sz w:val="18"/>
          <w:szCs w:val="18"/>
          <w:i w:val="1"/>
          <w:iCs w:val="1"/>
          <w:color w:val="auto"/>
        </w:rPr>
        <w:t>Section 15.</w:t>
      </w:r>
      <w:r>
        <w:rPr>
          <w:sz w:val="20"/>
          <w:szCs w:val="20"/>
          <w:color w:val="auto"/>
        </w:rPr>
        <w:tab/>
      </w:r>
      <w:r>
        <w:rPr>
          <w:rFonts w:ascii="Arial" w:cs="Arial" w:eastAsia="Arial" w:hAnsi="Arial"/>
          <w:sz w:val="17"/>
          <w:szCs w:val="17"/>
          <w:i w:val="1"/>
          <w:iCs w:val="1"/>
          <w:color w:val="auto"/>
        </w:rPr>
        <w:t>Governing Law; Waiver of Jury Trial</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THIS GUARANTY SHALL IN ALL RESPECTS, EXCEPT AS SET FORTH IN THE</w:t>
      </w:r>
    </w:p>
    <w:p>
      <w:pPr>
        <w:spacing w:after="0" w:line="2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b w:val="1"/>
          <w:bCs w:val="1"/>
          <w:color w:val="auto"/>
        </w:rPr>
        <w:t>PROVISO, BE GOVERNED BY THE INTERNAL LAW OF THE STATE OF NEW YORK AS TO ALL MATTERS OF CONSTRUCTION, VALIDITY AND PERFORMANCE, WITHOUT REGARD TO CONFLICTS OF LAW PRINCIPLES, EXCEPT TITLE 14 OF ARTICLE 5 OF THE NEW YORK GENERAL OBLIGATIONS LAW; PROVIDED, HOWEVER, THAT WITH RESPECT TO THE CREATION, PERFECTION, EFFECT OF PERFECTION, PRIORITY AND ENFORCEMENT OF SECURITY INTERESTS AND LIENS IN THE LEASED PROPERTY AND PROJECT COLLATERAL, SUCH MATTERS SHALL BE GOVERNED BY THE LAWS OF THE STATE OF NEW YORK AND, TO THE EXTENT APPLICABLE, THE UNIFORM COMMERCIAL CODE OF SUCH STATE (INCLUDING THE CHOICE OF LAW RULES UNDER SUCH UNIFORM COMMERCIAL CODE). EACH GUARANTOR HEREBY EXPRESSLY WAIVES ANY RIGHT TO A TRIAL BY JURY IN ANY ACTION OR PROCEEDING TO ENFORCE OR DEFEND ANY RIGHTS UNDER THIS GUARANTY OR UNDER ANY AMENDMENT, INSTRUMENT, DOCUMENT OR AGREEMENT DELIVERED OR WHICH MAY IN THE FUTURE BE DELIVERED IN CONNECTION HEREWITH OR ARISING FROM ANY RELATIONSHIP EXISTING IN CONNECTION WITH THIS GUARANTY, AND AGREES THAT ANY SUCH ACTION OR PROCEEDING SHALL BE TRIED BEFORE A COURT AND NOT BEFORE A JURY.</w:t>
      </w:r>
    </w:p>
    <w:p>
      <w:pPr>
        <w:spacing w:after="0" w:line="198" w:lineRule="exact"/>
        <w:rPr>
          <w:sz w:val="20"/>
          <w:szCs w:val="20"/>
          <w:color w:val="auto"/>
        </w:rPr>
      </w:pPr>
    </w:p>
    <w:p>
      <w:pPr>
        <w:ind w:right="240" w:firstLine="729"/>
        <w:spacing w:after="0" w:line="291" w:lineRule="auto"/>
        <w:rPr>
          <w:sz w:val="20"/>
          <w:szCs w:val="20"/>
          <w:color w:val="auto"/>
        </w:rPr>
      </w:pPr>
      <w:r>
        <w:rPr>
          <w:rFonts w:ascii="Arial" w:cs="Arial" w:eastAsia="Arial" w:hAnsi="Arial"/>
          <w:sz w:val="16"/>
          <w:szCs w:val="16"/>
          <w:i w:val="1"/>
          <w:iCs w:val="1"/>
          <w:color w:val="auto"/>
        </w:rPr>
        <w:t>Section 16. No Advisory or Fiduciary Responsibility</w:t>
      </w:r>
      <w:r>
        <w:rPr>
          <w:rFonts w:ascii="Arial" w:cs="Arial" w:eastAsia="Arial" w:hAnsi="Arial"/>
          <w:sz w:val="16"/>
          <w:szCs w:val="16"/>
          <w:color w:val="auto"/>
        </w:rPr>
        <w:t>. In connection with all aspects of each transaction contemplated hereby (including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any amendment, waiver or other modification hereof or of any other Operative Document), each Guarantor acknowledges and agrees that:</w:t>
      </w:r>
    </w:p>
    <w:p>
      <w:pPr>
        <w:ind w:firstLine="8"/>
        <w:spacing w:after="0" w:line="267" w:lineRule="auto"/>
        <w:tabs>
          <w:tab w:leader="none" w:pos="215" w:val="left"/>
        </w:tabs>
        <w:numPr>
          <w:ilvl w:val="0"/>
          <w:numId w:val="169"/>
        </w:numPr>
        <w:rPr>
          <w:rFonts w:ascii="Arial" w:cs="Arial" w:eastAsia="Arial" w:hAnsi="Arial"/>
          <w:sz w:val="17"/>
          <w:szCs w:val="17"/>
          <w:color w:val="auto"/>
        </w:rPr>
      </w:pPr>
      <w:r>
        <w:rPr>
          <w:rFonts w:ascii="Arial" w:cs="Arial" w:eastAsia="Arial" w:hAnsi="Arial"/>
          <w:sz w:val="17"/>
          <w:szCs w:val="17"/>
          <w:color w:val="auto"/>
        </w:rPr>
        <w:t>(A) the services regarding this Guaranty provided by the Administrative Agent and the Participants are arm’s-length commercial transactions between the Guarantors, on the one hand, and the Administrative Agent and the Participants, on the other hand, (B) each Guarantor has consulted its own legal, accounting, regulatory and tax advisors to the extent it has deemed appropriate, and (C) each Guarantor is capable of evaluating, and understands and accepts, the terms, risks and conditions of the transactions contemplated hereby and by the other Operative Documents; (ii) (A) the Administrative Agent and each Participant is and has been acting solely as a principal and, except as expressly agreed in writing by the relevant parties, has not been, is not, and will not be acting as an advisor, agent or fiduciary for any Guarantor or any other Person and (B) neither the Administrative Agent nor any Participant has any obligation to any Guarantor or any of its Affiliates with respect to the transactions contemplated hereby except those obligations expressly set forth herein and in the other Operative Documents; and (iii) the Administrative Agent and the Participants and their respective Affiliates may be engaged in a broad range of transactions that involve interests that differ from those of the Guarantors and their respective Affiliates, and neither the Administrative Agent, nor any Participant has any obligation to disclose any of such interests to any Guarantor or any of its Affiliates. To the fullest extent permitted by law, each Guarantor hereby waives and releases any claims that it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680" w:gutter="0" w:footer="0" w:header="0"/>
        </w:sectPr>
      </w:pPr>
    </w:p>
    <w:bookmarkStart w:id="74" w:name="page75"/>
    <w:bookmarkEnd w:id="74"/>
    <w:p>
      <w:pPr>
        <w:spacing w:after="0" w:line="277" w:lineRule="auto"/>
        <w:rPr>
          <w:sz w:val="20"/>
          <w:szCs w:val="20"/>
          <w:color w:val="auto"/>
        </w:rPr>
      </w:pPr>
      <w:r>
        <w:rPr>
          <w:rFonts w:ascii="Arial" w:cs="Arial" w:eastAsia="Arial" w:hAnsi="Arial"/>
          <w:sz w:val="18"/>
          <w:szCs w:val="18"/>
          <w:color w:val="auto"/>
        </w:rPr>
        <w:t>may have against the Administrative Agent, or any Participant with respect to any breach or alleged breach of agency or fiduciary duty in connection with any aspect of any transaction contemplated hereby.</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17.</w:t>
      </w:r>
      <w:r>
        <w:rPr>
          <w:sz w:val="20"/>
          <w:szCs w:val="20"/>
          <w:color w:val="auto"/>
        </w:rPr>
        <w:tab/>
      </w:r>
      <w:r>
        <w:rPr>
          <w:rFonts w:ascii="Arial" w:cs="Arial" w:eastAsia="Arial" w:hAnsi="Arial"/>
          <w:sz w:val="16"/>
          <w:szCs w:val="16"/>
          <w:i w:val="1"/>
          <w:iCs w:val="1"/>
          <w:color w:val="auto"/>
        </w:rPr>
        <w:t>Releases; Termination of Guaranty</w:t>
      </w:r>
      <w:r>
        <w:rPr>
          <w:rFonts w:ascii="Arial" w:cs="Arial" w:eastAsia="Arial" w:hAnsi="Arial"/>
          <w:sz w:val="16"/>
          <w:szCs w:val="16"/>
          <w:color w:val="auto"/>
        </w:rPr>
        <w:t>.</w:t>
      </w:r>
    </w:p>
    <w:p>
      <w:pPr>
        <w:spacing w:after="0" w:line="225" w:lineRule="exact"/>
        <w:rPr>
          <w:sz w:val="20"/>
          <w:szCs w:val="20"/>
          <w:color w:val="auto"/>
        </w:rPr>
      </w:pPr>
    </w:p>
    <w:p>
      <w:pPr>
        <w:ind w:right="80" w:firstLine="1332"/>
        <w:spacing w:after="0" w:line="302" w:lineRule="auto"/>
        <w:tabs>
          <w:tab w:leader="none" w:pos="1942" w:val="left"/>
        </w:tabs>
        <w:numPr>
          <w:ilvl w:val="1"/>
          <w:numId w:val="170"/>
        </w:numPr>
        <w:rPr>
          <w:rFonts w:ascii="Arial" w:cs="Arial" w:eastAsia="Arial" w:hAnsi="Arial"/>
          <w:sz w:val="16"/>
          <w:szCs w:val="16"/>
          <w:color w:val="auto"/>
        </w:rPr>
      </w:pPr>
      <w:r>
        <w:rPr>
          <w:rFonts w:ascii="Arial" w:cs="Arial" w:eastAsia="Arial" w:hAnsi="Arial"/>
          <w:sz w:val="16"/>
          <w:szCs w:val="16"/>
          <w:color w:val="auto"/>
        </w:rPr>
        <w:t xml:space="preserve">A Subsidiary Guarantor shall automatically be released from its obligations under this Guaranty upon the consummation of any transaction permitted by this Guaranty as a result of which such Subsidiary Guarantor ceases to be a Subsidiary, so long as, immediately after giving effect to the consummation of such transaction, no Default or Event of Default results therefrom;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so required by this Guaranty or the Participation Agreement, the Required Participants shall have consented to such transaction and the terms of such consent shall not have provided otherwise.</w:t>
      </w:r>
    </w:p>
    <w:p>
      <w:pPr>
        <w:spacing w:after="0" w:line="154" w:lineRule="exact"/>
        <w:rPr>
          <w:rFonts w:ascii="Arial" w:cs="Arial" w:eastAsia="Arial" w:hAnsi="Arial"/>
          <w:sz w:val="16"/>
          <w:szCs w:val="16"/>
          <w:color w:val="auto"/>
        </w:rPr>
      </w:pPr>
    </w:p>
    <w:p>
      <w:pPr>
        <w:ind w:firstLine="1332"/>
        <w:spacing w:after="0" w:line="255" w:lineRule="auto"/>
        <w:tabs>
          <w:tab w:leader="none" w:pos="1952" w:val="left"/>
        </w:tabs>
        <w:numPr>
          <w:ilvl w:val="1"/>
          <w:numId w:val="170"/>
        </w:numPr>
        <w:rPr>
          <w:rFonts w:ascii="Arial" w:cs="Arial" w:eastAsia="Arial" w:hAnsi="Arial"/>
          <w:sz w:val="18"/>
          <w:szCs w:val="18"/>
          <w:color w:val="auto"/>
        </w:rPr>
      </w:pPr>
      <w:r>
        <w:rPr>
          <w:rFonts w:ascii="Arial" w:cs="Arial" w:eastAsia="Arial" w:hAnsi="Arial"/>
          <w:sz w:val="18"/>
          <w:szCs w:val="18"/>
          <w:color w:val="auto"/>
        </w:rPr>
        <w:t>Further, the Administrative Agent may (and is hereby irrevocably authorized by each Participant to), upon the request of the Parent Guarantor or Lessee, release any Subsidiary Guarantor from its obligations under this Guaranty if such Subsidiary Guarantor is no longer a Material Domestic Subsidiary, becomes an Excluded Subsidiary or is otherwise not required pursuant to this terms of this Guaranty to provide a Subsidiary Guaranty; provided that, unless such Subsidiary Guarantor is a Bank Credit Agreement Specified Loan Party, prior to or substantially concurrently with the release of such Subsidiary Guarantor pursuant to this Section 17(b), it ceases to be a loan party (whether as a guarantor and/or borrower) under the Bank Credit Agreement and related loan documents.</w:t>
      </w:r>
    </w:p>
    <w:p>
      <w:pPr>
        <w:spacing w:after="0" w:line="193" w:lineRule="exact"/>
        <w:rPr>
          <w:rFonts w:ascii="Arial" w:cs="Arial" w:eastAsia="Arial" w:hAnsi="Arial"/>
          <w:sz w:val="18"/>
          <w:szCs w:val="18"/>
          <w:color w:val="auto"/>
        </w:rPr>
      </w:pPr>
    </w:p>
    <w:p>
      <w:pPr>
        <w:ind w:right="20" w:firstLine="1332"/>
        <w:spacing w:after="0" w:line="264" w:lineRule="auto"/>
        <w:tabs>
          <w:tab w:leader="none" w:pos="1955" w:val="left"/>
        </w:tabs>
        <w:numPr>
          <w:ilvl w:val="1"/>
          <w:numId w:val="170"/>
        </w:numPr>
        <w:rPr>
          <w:rFonts w:ascii="Arial" w:cs="Arial" w:eastAsia="Arial" w:hAnsi="Arial"/>
          <w:sz w:val="18"/>
          <w:szCs w:val="18"/>
          <w:color w:val="auto"/>
        </w:rPr>
      </w:pPr>
      <w:r>
        <w:rPr>
          <w:rFonts w:ascii="Arial" w:cs="Arial" w:eastAsia="Arial" w:hAnsi="Arial"/>
          <w:sz w:val="18"/>
          <w:szCs w:val="18"/>
          <w:color w:val="auto"/>
        </w:rPr>
        <w:t>Further, the Administrative Agent may (and is hereby irrevocably authorized by each Participant to), upon the request of the Parent Guarantor or Lessee, release any Guarantor from its obligations under this Guaranty if such release is approved, authorized or ratified by the requisite Participants pursuant to Section 15.5 of the Participation Agreement.</w:t>
      </w:r>
    </w:p>
    <w:p>
      <w:pPr>
        <w:spacing w:after="0" w:line="181" w:lineRule="exact"/>
        <w:rPr>
          <w:rFonts w:ascii="Arial" w:cs="Arial" w:eastAsia="Arial" w:hAnsi="Arial"/>
          <w:sz w:val="18"/>
          <w:szCs w:val="18"/>
          <w:color w:val="auto"/>
        </w:rPr>
      </w:pPr>
    </w:p>
    <w:p>
      <w:pPr>
        <w:jc w:val="both"/>
        <w:ind w:right="280" w:firstLine="1332"/>
        <w:spacing w:after="0" w:line="286" w:lineRule="auto"/>
        <w:tabs>
          <w:tab w:leader="none" w:pos="1952" w:val="left"/>
        </w:tabs>
        <w:numPr>
          <w:ilvl w:val="1"/>
          <w:numId w:val="170"/>
        </w:numPr>
        <w:rPr>
          <w:rFonts w:ascii="Arial" w:cs="Arial" w:eastAsia="Arial" w:hAnsi="Arial"/>
          <w:sz w:val="16"/>
          <w:szCs w:val="16"/>
          <w:color w:val="auto"/>
        </w:rPr>
      </w:pPr>
      <w:r>
        <w:rPr>
          <w:rFonts w:ascii="Arial" w:cs="Arial" w:eastAsia="Arial" w:hAnsi="Arial"/>
          <w:sz w:val="16"/>
          <w:szCs w:val="16"/>
          <w:color w:val="auto"/>
        </w:rPr>
        <w:t>At such time as the Liabilities (other than Liabilities expressly stated to survive such payment and termination) shall have been indefeasibly paid in full in cash, all obligations of each Guarantor under this Guaranty shall automatically terminate (other than with respect to Liabilities expressly stated to survive such payment and termination), all without delivery of any instrument or performance of any act by any Person (it being agreed that, upon indefeasible payment in full in cash of the Liabilities (other than (i) Liabilities expressly stated to survive such payment and termination and</w:t>
      </w:r>
    </w:p>
    <w:p>
      <w:pPr>
        <w:spacing w:after="0" w:line="1" w:lineRule="exact"/>
        <w:rPr>
          <w:rFonts w:ascii="Arial" w:cs="Arial" w:eastAsia="Arial" w:hAnsi="Arial"/>
          <w:sz w:val="16"/>
          <w:szCs w:val="16"/>
          <w:color w:val="auto"/>
        </w:rPr>
      </w:pPr>
    </w:p>
    <w:p>
      <w:pPr>
        <w:ind w:right="200" w:firstLine="8"/>
        <w:spacing w:after="0" w:line="323" w:lineRule="auto"/>
        <w:tabs>
          <w:tab w:leader="none" w:pos="265" w:val="left"/>
        </w:tabs>
        <w:numPr>
          <w:ilvl w:val="0"/>
          <w:numId w:val="171"/>
        </w:numPr>
        <w:rPr>
          <w:rFonts w:ascii="Arial" w:cs="Arial" w:eastAsia="Arial" w:hAnsi="Arial"/>
          <w:sz w:val="16"/>
          <w:szCs w:val="16"/>
          <w:color w:val="auto"/>
        </w:rPr>
      </w:pPr>
      <w:r>
        <w:rPr>
          <w:rFonts w:ascii="Arial" w:cs="Arial" w:eastAsia="Arial" w:hAnsi="Arial"/>
          <w:sz w:val="16"/>
          <w:szCs w:val="16"/>
          <w:color w:val="auto"/>
        </w:rPr>
        <w:t>contingent Liabilities for costs, expenses, indemnities and similar obligations not then due and payable), Sections 8 and 9 of this Guaranty shall automatically terminate, notwithstanding the survival of this Guaranty with respect to Liabilities expressly stated to survive such payment and termination).</w:t>
      </w:r>
    </w:p>
    <w:p>
      <w:pPr>
        <w:spacing w:after="0" w:line="138" w:lineRule="exact"/>
        <w:rPr>
          <w:rFonts w:ascii="Arial" w:cs="Arial" w:eastAsia="Arial" w:hAnsi="Arial"/>
          <w:sz w:val="16"/>
          <w:szCs w:val="16"/>
          <w:color w:val="auto"/>
        </w:rPr>
      </w:pPr>
    </w:p>
    <w:p>
      <w:pPr>
        <w:ind w:right="260" w:firstLine="1332"/>
        <w:spacing w:after="0" w:line="259" w:lineRule="auto"/>
        <w:tabs>
          <w:tab w:leader="none" w:pos="1955" w:val="left"/>
        </w:tabs>
        <w:numPr>
          <w:ilvl w:val="1"/>
          <w:numId w:val="171"/>
        </w:numPr>
        <w:rPr>
          <w:rFonts w:ascii="Arial" w:cs="Arial" w:eastAsia="Arial" w:hAnsi="Arial"/>
          <w:sz w:val="18"/>
          <w:szCs w:val="18"/>
          <w:color w:val="auto"/>
        </w:rPr>
      </w:pPr>
      <w:r>
        <w:rPr>
          <w:rFonts w:ascii="Arial" w:cs="Arial" w:eastAsia="Arial" w:hAnsi="Arial"/>
          <w:sz w:val="18"/>
          <w:szCs w:val="18"/>
          <w:color w:val="auto"/>
        </w:rPr>
        <w:t>Upon request by the Administrative Agent at any time, the Participants will confirm in writing the Administrative Agent’s authority to release any particular Guarantor pursuant hereto. In connection with any termination or release pursuant to this Section 17, the Administrative Agent shall (and is hereby irrevocably authorized by each Participant to) execute and deliver to any Guarantor or Lessee, at such Guarantor’s or Lessee’s expense, all documents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that such Guarantor or Lessee shall reasonably request to evidence such termination or release. Any execution and delivery of documents pursuant to this Section 17 shall be without recourse to or warranty by the Administrative Agent except with respect to any customary further assurances that are expressly agreed to in writing by the Administrative Agent.</w:t>
      </w:r>
    </w:p>
    <w:p>
      <w:pPr>
        <w:spacing w:after="0" w:line="18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18.</w:t>
      </w:r>
      <w:r>
        <w:rPr>
          <w:sz w:val="20"/>
          <w:szCs w:val="20"/>
          <w:color w:val="auto"/>
        </w:rPr>
        <w:tab/>
      </w:r>
      <w:r>
        <w:rPr>
          <w:rFonts w:ascii="Arial" w:cs="Arial" w:eastAsia="Arial" w:hAnsi="Arial"/>
          <w:sz w:val="16"/>
          <w:szCs w:val="16"/>
          <w:i w:val="1"/>
          <w:iCs w:val="1"/>
          <w:color w:val="auto"/>
        </w:rPr>
        <w:t>Contribution with Respect to Liabilities</w:t>
      </w:r>
      <w:r>
        <w:rPr>
          <w:rFonts w:ascii="Arial" w:cs="Arial" w:eastAsia="Arial" w:hAnsi="Arial"/>
          <w:sz w:val="16"/>
          <w:szCs w:val="16"/>
          <w:color w:val="auto"/>
        </w:rPr>
        <w:t>.</w:t>
      </w:r>
    </w:p>
    <w:p>
      <w:pPr>
        <w:spacing w:after="0" w:line="225" w:lineRule="exact"/>
        <w:rPr>
          <w:sz w:val="20"/>
          <w:szCs w:val="20"/>
          <w:color w:val="auto"/>
        </w:rPr>
      </w:pPr>
    </w:p>
    <w:p>
      <w:pPr>
        <w:ind w:right="60" w:firstLine="1332"/>
        <w:spacing w:after="0" w:line="254" w:lineRule="auto"/>
        <w:tabs>
          <w:tab w:leader="none" w:pos="194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To the extent that any Guarantor shall make a payment under this Guaranty (a “</w:t>
      </w:r>
      <w:r>
        <w:rPr>
          <w:rFonts w:ascii="Arial" w:cs="Arial" w:eastAsia="Arial" w:hAnsi="Arial"/>
          <w:sz w:val="18"/>
          <w:szCs w:val="18"/>
          <w:i w:val="1"/>
          <w:iCs w:val="1"/>
          <w:color w:val="auto"/>
        </w:rPr>
        <w:t>Guarantor Payment</w:t>
      </w:r>
      <w:r>
        <w:rPr>
          <w:rFonts w:ascii="Arial" w:cs="Arial" w:eastAsia="Arial" w:hAnsi="Arial"/>
          <w:sz w:val="18"/>
          <w:szCs w:val="18"/>
          <w:color w:val="auto"/>
        </w:rPr>
        <w:t>”) which, taking into account all other Guarantor Payments then previously or concurrently made by any other Guarantor, exceeds the amount which otherwise would have been paid by or attributable to such Guarantor if each Guarantor had paid the aggregate Liabilities satisfied by such Guarantor Payment in the same proportion as such Guarantor’s “Allocable Amount” (as defined below) (as determined immediately prior to such Guarantor Payment) bore to the aggregate Allocable Amounts of each of the Guarantors as determined immediately prior to the making of such Guarantor Payment, then, following indefeasible payment in full in cash of the Liabilities and termination of this Guaranty, such Guarantor shall be entitled to receive contribution and indemnification payments from, and be reimbursed by, each other Guarantor for the amount of such excess, pro rata based upon their respective Allocable Amounts in effect immediately prior to such Guarantor Payment.</w:t>
      </w:r>
    </w:p>
    <w:p>
      <w:pPr>
        <w:spacing w:after="0" w:line="192" w:lineRule="exact"/>
        <w:rPr>
          <w:rFonts w:ascii="Arial" w:cs="Arial" w:eastAsia="Arial" w:hAnsi="Arial"/>
          <w:sz w:val="18"/>
          <w:szCs w:val="18"/>
          <w:color w:val="auto"/>
        </w:rPr>
      </w:pPr>
    </w:p>
    <w:p>
      <w:pPr>
        <w:ind w:right="40" w:firstLine="1332"/>
        <w:spacing w:after="0" w:line="302" w:lineRule="auto"/>
        <w:tabs>
          <w:tab w:leader="none" w:pos="1952" w:val="left"/>
        </w:tabs>
        <w:numPr>
          <w:ilvl w:val="0"/>
          <w:numId w:val="172"/>
        </w:numPr>
        <w:rPr>
          <w:rFonts w:ascii="Arial" w:cs="Arial" w:eastAsia="Arial" w:hAnsi="Arial"/>
          <w:sz w:val="16"/>
          <w:szCs w:val="16"/>
          <w:color w:val="auto"/>
        </w:rPr>
      </w:pPr>
      <w:r>
        <w:rPr>
          <w:rFonts w:ascii="Arial" w:cs="Arial" w:eastAsia="Arial" w:hAnsi="Arial"/>
          <w:sz w:val="16"/>
          <w:szCs w:val="16"/>
          <w:color w:val="auto"/>
        </w:rPr>
        <w:t>As of any date of determination, the “Allocable Amount” of any Guarantor shall be equal to the excess of the fair saleable value of the property of such Guarantor over the total liabilities of such Guarantor (including the maximum amount reasonably expected to become due in respect of contingent liabilities, calculated, without duplication, assuming each other Guarantor that is also liable for such contingent liability pays its ratable share thereof), giving effect to all payments made by other Guarantors as of such date in a manner to maximize the amount of such contributions.</w:t>
      </w:r>
    </w:p>
    <w:p>
      <w:pPr>
        <w:spacing w:after="0" w:line="154" w:lineRule="exact"/>
        <w:rPr>
          <w:rFonts w:ascii="Arial" w:cs="Arial" w:eastAsia="Arial" w:hAnsi="Arial"/>
          <w:sz w:val="16"/>
          <w:szCs w:val="16"/>
          <w:color w:val="auto"/>
        </w:rPr>
      </w:pPr>
    </w:p>
    <w:p>
      <w:pPr>
        <w:ind w:right="120" w:firstLine="1332"/>
        <w:spacing w:after="0" w:line="264" w:lineRule="auto"/>
        <w:tabs>
          <w:tab w:leader="none" w:pos="195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This Section 18 is intended only to define the relative rights of the Guarantors, and nothing set forth in this Section 18 is intended to or shall impair the obligations of the Guarantors, jointly and severally, to pay any amounts as and when the same shall become due and payable in accordance with the terms of this Guaranty.</w:t>
      </w:r>
    </w:p>
    <w:p>
      <w:pPr>
        <w:spacing w:after="0" w:line="181" w:lineRule="exact"/>
        <w:rPr>
          <w:rFonts w:ascii="Arial" w:cs="Arial" w:eastAsia="Arial" w:hAnsi="Arial"/>
          <w:sz w:val="18"/>
          <w:szCs w:val="18"/>
          <w:color w:val="auto"/>
        </w:rPr>
      </w:pPr>
    </w:p>
    <w:p>
      <w:pPr>
        <w:ind w:right="700" w:firstLine="1332"/>
        <w:spacing w:after="0" w:line="277" w:lineRule="auto"/>
        <w:tabs>
          <w:tab w:leader="none" w:pos="195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parties hereto acknowledge that the rights of contribution and indemnification hereunder shall constitute assets of the Guarantor or Guarantors to which such contribution and indemnification is owing.</w:t>
      </w:r>
    </w:p>
    <w:p>
      <w:pPr>
        <w:spacing w:after="0" w:line="170" w:lineRule="exact"/>
        <w:rPr>
          <w:rFonts w:ascii="Arial" w:cs="Arial" w:eastAsia="Arial" w:hAnsi="Arial"/>
          <w:sz w:val="18"/>
          <w:szCs w:val="18"/>
          <w:color w:val="auto"/>
        </w:rPr>
      </w:pPr>
    </w:p>
    <w:p>
      <w:pPr>
        <w:ind w:right="300" w:firstLine="1332"/>
        <w:spacing w:after="0" w:line="277" w:lineRule="auto"/>
        <w:tabs>
          <w:tab w:leader="none" w:pos="195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rights of the indemnifying Guarantors against other Guarantors under this Section 18 shall be exercisable upon the full and indefeasible payment of the Liabilities in cash and the termination of this Guaranty pursuant to Section 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[END OF PAGE]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FOLLOW]</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each Initial Guarantor has caused this Guaranty to be executed and delivered as of the date first above written.</w:t>
      </w:r>
    </w:p>
    <w:p>
      <w:pPr>
        <w:sectPr>
          <w:pgSz w:w="11900" w:h="16838" w:orient="portrait"/>
          <w:cols w:equalWidth="0" w:num="1">
            <w:col w:w="11420"/>
          </w:cols>
          <w:pgMar w:left="240" w:top="125" w:right="239" w:bottom="0" w:gutter="0" w:footer="0" w:header="0"/>
        </w:sectPr>
      </w:pPr>
    </w:p>
    <w:bookmarkStart w:id="75" w:name="page76"/>
    <w:bookmarkEnd w:id="75"/>
    <w:p>
      <w:pPr>
        <w:ind w:left="5720"/>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as Parent Guarantor</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REGENERON HEALTHCARE SOLUTIONS, INC.,</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as a Subsidiary Guarantor</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REGENERON GENETICS CENTER LLC,</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as a Subsidiary Guarantor</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of the date first written above: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ANNEX I TO GUARANTY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hereby made to the Guaranty, dated as of March 3 2017 (as amended, restated, supplemented or otherwise modified from time to time,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i w:val="1"/>
          <w:iCs w:val="1"/>
          <w:color w:val="auto"/>
        </w:rPr>
        <w:t>Guaranty</w:t>
      </w:r>
      <w:r>
        <w:rPr>
          <w:rFonts w:ascii="Arial" w:cs="Arial" w:eastAsia="Arial" w:hAnsi="Arial"/>
          <w:sz w:val="17"/>
          <w:szCs w:val="17"/>
          <w:color w:val="auto"/>
        </w:rPr>
        <w:t>”), made by (i) REGENERON PHARMACEUTICALS, INC., a New York corporation (the “</w:t>
      </w:r>
      <w:r>
        <w:rPr>
          <w:rFonts w:ascii="Arial" w:cs="Arial" w:eastAsia="Arial" w:hAnsi="Arial"/>
          <w:sz w:val="17"/>
          <w:szCs w:val="17"/>
          <w:i w:val="1"/>
          <w:iCs w:val="1"/>
          <w:color w:val="auto"/>
        </w:rPr>
        <w:t>Parent Guarantor</w:t>
      </w:r>
      <w:r>
        <w:rPr>
          <w:rFonts w:ascii="Arial" w:cs="Arial" w:eastAsia="Arial" w:hAnsi="Arial"/>
          <w:sz w:val="17"/>
          <w:szCs w:val="17"/>
          <w:color w:val="auto"/>
        </w:rPr>
        <w:t>”) and (ii) each Subsidiary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Parent Guarantor party thereto from time to time as a Subsidiary Guarantor, and together with the New Subsidiary Guarantor (as defined below)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 Guarantors</w:t>
      </w:r>
      <w:r>
        <w:rPr>
          <w:rFonts w:ascii="Arial" w:cs="Arial" w:eastAsia="Arial" w:hAnsi="Arial"/>
          <w:sz w:val="16"/>
          <w:szCs w:val="16"/>
          <w:color w:val="auto"/>
        </w:rPr>
        <w:t>”) in favor of (a) each Participant, and (b) the Administrative Agent, for the benefit of itself and the other Beneficiaries. Capitalized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terms used herein and not defined herein shall have the meanings given to them in the Guaranty. By its execution below, the undersigned </w:t>
      </w:r>
      <w:r>
        <w:rPr>
          <w:rFonts w:ascii="Arial" w:cs="Arial" w:eastAsia="Arial" w:hAnsi="Arial"/>
          <w:sz w:val="16"/>
          <w:szCs w:val="16"/>
          <w:b w:val="1"/>
          <w:bCs w:val="1"/>
          <w:color w:val="auto"/>
        </w:rPr>
        <w:t>[NAME OF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SUBSIDIARY GUARANTOR]</w:t>
      </w:r>
      <w:r>
        <w:rPr>
          <w:rFonts w:ascii="Arial" w:cs="Arial" w:eastAsia="Arial" w:hAnsi="Arial"/>
          <w:sz w:val="16"/>
          <w:szCs w:val="16"/>
          <w:color w:val="auto"/>
        </w:rPr>
        <w:t>, a</w:t>
      </w:r>
      <w:r>
        <w:rPr>
          <w:rFonts w:ascii="Arial" w:cs="Arial" w:eastAsia="Arial" w:hAnsi="Arial"/>
          <w:sz w:val="16"/>
          <w:szCs w:val="16"/>
          <w:b w:val="1"/>
          <w:bCs w:val="1"/>
          <w:color w:val="auto"/>
        </w:rPr>
        <w:t xml:space="preserve"> [corporation] [partnership] [limited liability company] </w:t>
      </w:r>
      <w:r>
        <w:rPr>
          <w:rFonts w:ascii="Arial" w:cs="Arial" w:eastAsia="Arial" w:hAnsi="Arial"/>
          <w:sz w:val="16"/>
          <w:szCs w:val="16"/>
          <w:color w:val="auto"/>
        </w:rPr>
        <w:t>(the “</w:t>
      </w:r>
      <w:r>
        <w:rPr>
          <w:rFonts w:ascii="Arial" w:cs="Arial" w:eastAsia="Arial" w:hAnsi="Arial"/>
          <w:sz w:val="16"/>
          <w:szCs w:val="16"/>
          <w:i w:val="1"/>
          <w:iCs w:val="1"/>
          <w:color w:val="auto"/>
        </w:rPr>
        <w:t>New Subsidiary Guarantor</w:t>
      </w:r>
      <w:r>
        <w:rPr>
          <w:rFonts w:ascii="Arial" w:cs="Arial" w:eastAsia="Arial" w:hAnsi="Arial"/>
          <w:sz w:val="16"/>
          <w:szCs w:val="16"/>
          <w:color w:val="auto"/>
        </w:rPr>
        <w:t>”), agrees to become, and does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hereby become, a Subsidiary Guarantor under the Guaranty and agrees to be bound by such Guaranty as if originally a party thereto. By its execution below,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represents and warrants as to itself that all of the representations and warranties contained in Section 7 of the Guaranty that are applicable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Subsidiary Guarantor or a Subsidiary of the Parent Guarantor are true and correct in all material respects (or, in the case of any representation or warranty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qualified by materiality or Material Adverse Effect, in all respects) as of the date hereof except to the extent that such representations and warranties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specifically refer to an earlier date, in which case they are true and correct in all material respects (or, in the case of any representation or warranty qualified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materiality or Material Adverse Effect, in all respects) as of such earlier date.</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of this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20" w:hanging="166"/>
        <w:spacing w:after="0" w:line="277" w:lineRule="auto"/>
        <w:rPr>
          <w:sz w:val="20"/>
          <w:szCs w:val="20"/>
          <w:color w:val="auto"/>
        </w:rPr>
      </w:pPr>
      <w:r>
        <w:rPr>
          <w:rFonts w:ascii="Arial" w:cs="Arial" w:eastAsia="Arial" w:hAnsi="Arial"/>
          <w:sz w:val="18"/>
          <w:szCs w:val="18"/>
          <w:color w:val="auto"/>
        </w:rPr>
        <w:t>IN WITNESS WHEREOF, the New Subsidiary Guarantor has caused this Annex I counterpart to the Guaranty to be duly executed and delivered as day of , 20 .</w:t>
      </w:r>
    </w:p>
    <w:p>
      <w:pPr>
        <w:spacing w:after="0" w:line="170" w:lineRule="exact"/>
        <w:rPr>
          <w:sz w:val="20"/>
          <w:szCs w:val="20"/>
          <w:color w:val="auto"/>
        </w:rPr>
      </w:pPr>
    </w:p>
    <w:p>
      <w:pPr>
        <w:sectPr>
          <w:pgSz w:w="11900" w:h="16838" w:orient="portrait"/>
          <w:cols w:equalWidth="0" w:num="2">
            <w:col w:w="460" w:space="360"/>
            <w:col w:w="10600"/>
          </w:cols>
          <w:pgMar w:left="240" w:top="125" w:right="239" w:bottom="0" w:gutter="0" w:footer="0" w:header="0"/>
          <w:type w:val="continuous"/>
        </w:sectPr>
      </w:pPr>
    </w:p>
    <w:p>
      <w:pPr>
        <w:ind w:left="5720"/>
        <w:spacing w:after="0"/>
        <w:rPr>
          <w:sz w:val="20"/>
          <w:szCs w:val="20"/>
          <w:color w:val="auto"/>
        </w:rPr>
      </w:pPr>
      <w:r>
        <w:rPr>
          <w:rFonts w:ascii="Arial" w:cs="Arial" w:eastAsia="Arial" w:hAnsi="Arial"/>
          <w:sz w:val="17"/>
          <w:szCs w:val="17"/>
          <w:color w:val="auto"/>
        </w:rPr>
        <w:t>[NAME OF NEW SUBSIDIARY GUARANTOR]</w:t>
      </w:r>
    </w:p>
    <w:p>
      <w:pPr>
        <w:spacing w:after="0" w:line="237"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5715</wp:posOffset>
            </wp:positionV>
            <wp:extent cx="30187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01879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ASSIGNMENT AGREEMENT</w:t>
      </w:r>
    </w:p>
    <w:p>
      <w:pPr>
        <w:sectPr>
          <w:pgSz w:w="11900" w:h="16838" w:orient="portrait"/>
          <w:cols w:equalWidth="0" w:num="1">
            <w:col w:w="11420"/>
          </w:cols>
          <w:pgMar w:left="240" w:top="125" w:right="239" w:bottom="0" w:gutter="0" w:footer="0" w:header="0"/>
          <w:type w:val="continuous"/>
        </w:sectPr>
      </w:pP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THIS ASSIGNEE ASSUMPTION AGREEMENT (this </w:t>
      </w:r>
      <w:r>
        <w:rPr>
          <w:rFonts w:ascii="Arial" w:cs="Arial" w:eastAsia="Arial" w:hAnsi="Arial"/>
          <w:sz w:val="18"/>
          <w:szCs w:val="18"/>
          <w:i w:val="1"/>
          <w:iCs w:val="1"/>
          <w:color w:val="auto"/>
        </w:rPr>
        <w:t>“Agreement”</w:t>
      </w:r>
      <w:r>
        <w:rPr>
          <w:rFonts w:ascii="Arial" w:cs="Arial" w:eastAsia="Arial" w:hAnsi="Arial"/>
          <w:sz w:val="18"/>
          <w:szCs w:val="18"/>
          <w:color w:val="auto"/>
        </w:rPr>
        <w:t>) is made by [Name of Assignee], a and acknowledged by [Name of Assignor], a (</w:t>
      </w:r>
      <w:r>
        <w:rPr>
          <w:rFonts w:ascii="Arial" w:cs="Arial" w:eastAsia="Arial" w:hAnsi="Arial"/>
          <w:sz w:val="18"/>
          <w:szCs w:val="18"/>
          <w:i w:val="1"/>
          <w:iCs w:val="1"/>
          <w:color w:val="auto"/>
        </w:rPr>
        <w:t>“Assignor”</w:t>
      </w:r>
      <w:r>
        <w:rPr>
          <w:rFonts w:ascii="Arial" w:cs="Arial" w:eastAsia="Arial" w:hAnsi="Arial"/>
          <w:sz w:val="18"/>
          <w:szCs w:val="18"/>
          <w:color w:val="auto"/>
        </w:rPr>
        <w:t>), on [ , 20 ].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“Assignee”</w:t>
      </w:r>
      <w:r>
        <w:rPr>
          <w:rFonts w:ascii="Arial" w:cs="Arial" w:eastAsia="Arial" w:hAnsi="Arial"/>
          <w:sz w:val="16"/>
          <w:szCs w:val="16"/>
          <w:color w:val="auto"/>
        </w:rPr>
        <w:t>), and agreed to</w:t>
      </w:r>
    </w:p>
    <w:p>
      <w:pPr>
        <w:sectPr>
          <w:pgSz w:w="11900" w:h="16838" w:orient="portrait"/>
          <w:cols w:equalWidth="0" w:num="2">
            <w:col w:w="8520" w:space="720"/>
            <w:col w:w="2180"/>
          </w:cols>
          <w:pgMar w:left="240" w:top="125" w:right="239" w:bottom="0" w:gutter="0" w:footer="0" w:header="0"/>
          <w:type w:val="continuous"/>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 xml:space="preserve">WHEREAS, Assignor is a party to that certain Participation Agreement, dated as of March 3, 2017, among Assignor, as a Participant; OLD SAW MILL HOLDINGS LLC, a New York limited liability company, as Lessee; BA LEASING BSC, LLC, as Lessor; BANK OF AMERICA, N.A., not in its individual capacity, except as expressly stated therein, but solely as Administrative Agent; and the Lenders from time to time party thereto (as amended, restated, supplemented or otherwise modified from time to time, the </w:t>
      </w:r>
      <w:r>
        <w:rPr>
          <w:rFonts w:ascii="Arial" w:cs="Arial" w:eastAsia="Arial" w:hAnsi="Arial"/>
          <w:sz w:val="17"/>
          <w:szCs w:val="17"/>
          <w:i w:val="1"/>
          <w:iCs w:val="1"/>
          <w:color w:val="auto"/>
        </w:rPr>
        <w:t>“Participation Agreement”</w:t>
      </w:r>
      <w:r>
        <w:rPr>
          <w:rFonts w:ascii="Arial" w:cs="Arial" w:eastAsia="Arial" w:hAnsi="Arial"/>
          <w:sz w:val="17"/>
          <w:szCs w:val="17"/>
          <w:color w:val="auto"/>
        </w:rPr>
        <w:t>);</w:t>
      </w:r>
    </w:p>
    <w:p>
      <w:pPr>
        <w:sectPr>
          <w:pgSz w:w="11900" w:h="16838" w:orient="portrait"/>
          <w:cols w:equalWidth="0" w:num="1">
            <w:col w:w="11420"/>
          </w:cols>
          <w:pgMar w:left="240" w:top="337" w:right="239" w:bottom="0" w:gutter="0" w:footer="0" w:header="0"/>
        </w:sectPr>
      </w:pPr>
    </w:p>
    <w:p>
      <w:pPr>
        <w:spacing w:after="0" w:line="17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WHEREAS, subject to the terms and conditions hereof, pursuant to Section 12.1 of the Participation Agreement, Assignor desires to transfer $[ of the amount of its [Loan Balance][Lessor Balance] and its related right, title and interest in, to and under the Participation Agreement, the other Operative Documents to which Assignor is a party, the Leased Property and the other Collateral to Assignee, and Assignee desires to acquire $[ ] of the amount of</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56" w:lineRule="exact"/>
        <w:rPr>
          <w:sz w:val="20"/>
          <w:szCs w:val="20"/>
          <w:color w:val="auto"/>
        </w:rPr>
      </w:pPr>
    </w:p>
    <w:p>
      <w:pPr>
        <w:sectPr>
          <w:pgSz w:w="11900" w:h="16838" w:orient="portrait"/>
          <w:cols w:equalWidth="0" w:num="2">
            <w:col w:w="11220" w:space="80"/>
            <w:col w:w="120"/>
          </w:cols>
          <w:pgMar w:left="240" w:top="337" w:right="239" w:bottom="0" w:gutter="0" w:footer="0" w:header="0"/>
          <w:type w:val="continuous"/>
        </w:sectPr>
      </w:pPr>
    </w:p>
    <w:p>
      <w:pPr>
        <w:spacing w:after="0" w:line="261" w:lineRule="auto"/>
        <w:rPr>
          <w:sz w:val="20"/>
          <w:szCs w:val="20"/>
          <w:color w:val="auto"/>
        </w:rPr>
      </w:pPr>
      <w:r>
        <w:rPr>
          <w:rFonts w:ascii="Arial" w:cs="Arial" w:eastAsia="Arial" w:hAnsi="Arial"/>
          <w:sz w:val="18"/>
          <w:szCs w:val="18"/>
          <w:color w:val="auto"/>
        </w:rPr>
        <w:t>Assignor’s [Loan Balance][Lessor Balance] and of said right, title and interest in, to and under the Participation Agreement, the other Operative Documents to which Assignor is a party, the Leased Property and the other Collateral;</w:t>
      </w:r>
    </w:p>
    <w:p>
      <w:pPr>
        <w:spacing w:after="0" w:line="184"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 xml:space="preserve">WHEREAS, subject to the terms and conditions hereof, pursuant to Section 12.1 of the Participation Agreement Assignee is required,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to become a party to the Participation Agreement and to all of the other Operative Documents to which Assignor is a party, to provide all of the representations, warranties and agreements set forth in Section 2 hereof and to be bound by all of the terms of, and to undertake and assume all of the obligations with respect to the Interest (as defined below) of Assignor contained in, the Operative Documents, except as provided below and Assignor acknowledges and consents to the assumption of such agreements and obligations by Assignee;</w:t>
      </w:r>
    </w:p>
    <w:p>
      <w:pPr>
        <w:spacing w:after="0" w:line="188"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NOW THEREFORE, in consideration of the premises and the mutual agreements herein contained, and other good and valuable consideration, the receipt and sufficiency of which are hereby acknowledged, and intending to be legally bound, the parties hereto agree as follows:</w:t>
      </w:r>
    </w:p>
    <w:p>
      <w:pPr>
        <w:spacing w:after="0" w:line="147"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 xml:space="preserve">Section 1. Definitions. </w:t>
      </w:r>
      <w:r>
        <w:rPr>
          <w:rFonts w:ascii="Arial" w:cs="Arial" w:eastAsia="Arial" w:hAnsi="Arial"/>
          <w:sz w:val="18"/>
          <w:szCs w:val="18"/>
          <w:color w:val="auto"/>
        </w:rPr>
        <w:t>Capitalized terms used but not defined herein shall, except as such definitions may be specifically modified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body of this Agreement for the purposes of a particular section, paragraph or clause, have the meanings given such terms in Appendix 1 to the Participation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40"/>
        <w:spacing w:after="0"/>
        <w:rPr>
          <w:sz w:val="20"/>
          <w:szCs w:val="20"/>
          <w:color w:val="auto"/>
        </w:rPr>
      </w:pPr>
      <w:r>
        <w:rPr>
          <w:rFonts w:ascii="Arial" w:cs="Arial" w:eastAsia="Arial" w:hAnsi="Arial"/>
          <w:sz w:val="15"/>
          <w:szCs w:val="15"/>
          <w:i w:val="1"/>
          <w:iCs w:val="1"/>
          <w:color w:val="auto"/>
        </w:rPr>
        <w:t>Section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Agreements.</w:t>
      </w:r>
    </w:p>
    <w:p>
      <w:pPr>
        <w:spacing w:after="0" w:line="200" w:lineRule="exact"/>
        <w:rPr>
          <w:sz w:val="20"/>
          <w:szCs w:val="20"/>
          <w:color w:val="auto"/>
        </w:rPr>
      </w:pPr>
    </w:p>
    <w:p>
      <w:pPr>
        <w:sectPr>
          <w:pgSz w:w="11900" w:h="16838" w:orient="portrait"/>
          <w:cols w:equalWidth="0" w:num="2">
            <w:col w:w="1540" w:space="400"/>
            <w:col w:w="9480"/>
          </w:cols>
          <w:pgMar w:left="240" w:top="337" w:right="239" w:bottom="0" w:gutter="0" w:footer="0" w:header="0"/>
          <w:type w:val="continuous"/>
        </w:sectPr>
      </w:pPr>
    </w:p>
    <w:p>
      <w:pPr>
        <w:spacing w:after="0" w:line="60" w:lineRule="exact"/>
        <w:rPr>
          <w:sz w:val="20"/>
          <w:szCs w:val="20"/>
          <w:color w:val="auto"/>
        </w:rPr>
      </w:pPr>
    </w:p>
    <w:p>
      <w:pPr>
        <w:ind w:left="660"/>
        <w:spacing w:after="0"/>
        <w:tabs>
          <w:tab w:leader="none" w:pos="1280" w:val="left"/>
          <w:tab w:leader="none" w:pos="1084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i w:val="1"/>
          <w:iCs w:val="1"/>
          <w:color w:val="auto"/>
        </w:rPr>
        <w:t xml:space="preserve">Transfer and Assumption. </w:t>
      </w:r>
      <w:r>
        <w:rPr>
          <w:rFonts w:ascii="Arial" w:cs="Arial" w:eastAsia="Arial" w:hAnsi="Arial"/>
          <w:sz w:val="17"/>
          <w:szCs w:val="17"/>
          <w:color w:val="auto"/>
        </w:rPr>
        <w:t>Assignor hereby irrevocably sells, transfers and assigns, without recourse to Assignor, to Assignee $[</w:t>
      </w:r>
      <w:r>
        <w:rPr>
          <w:sz w:val="20"/>
          <w:szCs w:val="20"/>
          <w:color w:val="auto"/>
        </w:rPr>
        <w:tab/>
      </w:r>
      <w:r>
        <w:rPr>
          <w:rFonts w:ascii="Arial" w:cs="Arial" w:eastAsia="Arial" w:hAnsi="Arial"/>
          <w:sz w:val="17"/>
          <w:szCs w:val="17"/>
          <w:color w:val="auto"/>
        </w:rPr>
        <w:t>] of its</w:t>
      </w:r>
    </w:p>
    <w:p>
      <w:pPr>
        <w:sectPr>
          <w:pgSz w:w="11900" w:h="16838" w:orient="portrait"/>
          <w:cols w:equalWidth="0" w:num="1">
            <w:col w:w="11420"/>
          </w:cols>
          <w:pgMar w:left="240" w:top="337" w:right="239" w:bottom="0" w:gutter="0" w:footer="0" w:header="0"/>
          <w:type w:val="continuous"/>
        </w:sectPr>
      </w:pPr>
    </w:p>
    <w:p>
      <w:pPr>
        <w:spacing w:after="0" w:line="35"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 xml:space="preserve">[Loan Balance][Lessor Balance] and its related right, title and interest in, to and under the Participation Agreement, the other Operative Documents to which Assignor is a party, the Leased Property and the other Collateral, and Assignee hereby irrevocably (A) purchases and assumes $[ ] of Assignor’s [Loan Balance][Lessor Balance] and all of such right, title and interest transferred pursuant to this paragraph (a) in, to and under the Participation Agreement, the other Operative Documents to which Assignor is a party, the Leased Property and other Collateral, (B) confirms that from and after the date hereof it shall be a party to each of the Operative Documents to which Assignor is a party and (C) from and after the date hereof agrees to be bound by all the terms of such Operative Documents as a Participant, and undertakes and assumes all the obligations of Assignor contained in such Operative Documents with respect to the Interest;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Assignor’s rights to indemnification under Article XIII of the Participation Agreement to the extent relating to acts, conditions or events occurring or existing prior to the date hereof shall be retained in full by Assignor,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Assignor shall have the right to direct the Administrative Agent with respect to such rights retained by Assignor and (y) any obligations of Assignor arising or accruing prior to the date hereof shall be retained by Assignor and not assumed by Assignee. The right, title and interest so transferred are hereinafter called the </w:t>
      </w:r>
      <w:r>
        <w:rPr>
          <w:rFonts w:ascii="Arial" w:cs="Arial" w:eastAsia="Arial" w:hAnsi="Arial"/>
          <w:sz w:val="16"/>
          <w:szCs w:val="16"/>
          <w:i w:val="1"/>
          <w:iCs w:val="1"/>
          <w:color w:val="auto"/>
        </w:rPr>
        <w:t>“Interest”.</w:t>
      </w:r>
      <w:r>
        <w:rPr>
          <w:rFonts w:ascii="Arial" w:cs="Arial" w:eastAsia="Arial" w:hAnsi="Arial"/>
          <w:sz w:val="16"/>
          <w:szCs w:val="16"/>
          <w:color w:val="auto"/>
        </w:rPr>
        <w:t xml:space="preserve"> The [Loan Balance]</w:t>
      </w:r>
    </w:p>
    <w:p>
      <w:pPr>
        <w:spacing w:after="0" w:line="7" w:lineRule="exact"/>
        <w:rPr>
          <w:sz w:val="20"/>
          <w:szCs w:val="20"/>
          <w:color w:val="auto"/>
        </w:rPr>
      </w:pPr>
    </w:p>
    <w:p>
      <w:pPr>
        <w:spacing w:after="0"/>
        <w:tabs>
          <w:tab w:leader="none" w:pos="4260" w:val="left"/>
        </w:tabs>
        <w:rPr>
          <w:sz w:val="20"/>
          <w:szCs w:val="20"/>
          <w:color w:val="auto"/>
        </w:rPr>
      </w:pPr>
      <w:r>
        <w:rPr>
          <w:rFonts w:ascii="Arial" w:cs="Arial" w:eastAsia="Arial" w:hAnsi="Arial"/>
          <w:sz w:val="18"/>
          <w:szCs w:val="18"/>
          <w:color w:val="auto"/>
        </w:rPr>
        <w:t>[Lessor Balance] transferred hereunder is equal to $</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right="460" w:firstLine="643"/>
        <w:spacing w:after="0" w:line="277" w:lineRule="auto"/>
        <w:tabs>
          <w:tab w:leader="none" w:pos="1304" w:val="left"/>
        </w:tabs>
        <w:numPr>
          <w:ilvl w:val="0"/>
          <w:numId w:val="173"/>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of Assignee. </w:t>
      </w:r>
      <w:r>
        <w:rPr>
          <w:rFonts w:ascii="Arial" w:cs="Arial" w:eastAsia="Arial" w:hAnsi="Arial"/>
          <w:sz w:val="18"/>
          <w:szCs w:val="18"/>
          <w:color w:val="auto"/>
        </w:rPr>
        <w:t>Assignee, for the benefit of the other Participants, Administrative Agent, Lessee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Guarantors, hereby represents and warrants that:</w:t>
      </w:r>
    </w:p>
    <w:p>
      <w:pPr>
        <w:spacing w:after="0" w:line="170" w:lineRule="exact"/>
        <w:rPr>
          <w:sz w:val="20"/>
          <w:szCs w:val="20"/>
          <w:color w:val="auto"/>
        </w:rPr>
      </w:pPr>
    </w:p>
    <w:p>
      <w:pPr>
        <w:ind w:left="1980" w:hanging="675"/>
        <w:spacing w:after="0"/>
        <w:tabs>
          <w:tab w:leader="none" w:pos="1980" w:val="left"/>
        </w:tabs>
        <w:numPr>
          <w:ilvl w:val="0"/>
          <w:numId w:val="174"/>
        </w:numPr>
        <w:rPr>
          <w:rFonts w:ascii="Arial" w:cs="Arial" w:eastAsia="Arial" w:hAnsi="Arial"/>
          <w:sz w:val="18"/>
          <w:szCs w:val="18"/>
          <w:color w:val="auto"/>
        </w:rPr>
      </w:pPr>
      <w:r>
        <w:rPr>
          <w:rFonts w:ascii="Arial" w:cs="Arial" w:eastAsia="Arial" w:hAnsi="Arial"/>
          <w:sz w:val="18"/>
          <w:szCs w:val="18"/>
          <w:i w:val="1"/>
          <w:iCs w:val="1"/>
          <w:color w:val="auto"/>
        </w:rPr>
        <w:t xml:space="preserve">Eligible Assignee. </w:t>
      </w:r>
      <w:r>
        <w:rPr>
          <w:rFonts w:ascii="Arial" w:cs="Arial" w:eastAsia="Arial" w:hAnsi="Arial"/>
          <w:sz w:val="18"/>
          <w:szCs w:val="18"/>
          <w:color w:val="auto"/>
        </w:rPr>
        <w:t>[</w:t>
      </w:r>
      <w:r>
        <w:rPr>
          <w:rFonts w:ascii="Arial" w:cs="Arial" w:eastAsia="Arial" w:hAnsi="Arial"/>
          <w:sz w:val="18"/>
          <w:szCs w:val="18"/>
          <w:i w:val="1"/>
          <w:iCs w:val="1"/>
          <w:color w:val="auto"/>
        </w:rPr>
        <w:t>SELECT ONE</w:t>
      </w:r>
      <w:r>
        <w:rPr>
          <w:rFonts w:ascii="Arial" w:cs="Arial" w:eastAsia="Arial" w:hAnsi="Arial"/>
          <w:sz w:val="18"/>
          <w:szCs w:val="18"/>
          <w:color w:val="auto"/>
        </w:rPr>
        <w:t>]:</w:t>
      </w:r>
    </w:p>
    <w:p>
      <w:pPr>
        <w:spacing w:after="0" w:line="225" w:lineRule="exact"/>
        <w:rPr>
          <w:sz w:val="20"/>
          <w:szCs w:val="20"/>
          <w:color w:val="auto"/>
        </w:rPr>
      </w:pPr>
    </w:p>
    <w:p>
      <w:pPr>
        <w:ind w:left="1880" w:right="40" w:hanging="5"/>
        <w:spacing w:after="0" w:line="277" w:lineRule="auto"/>
        <w:tabs>
          <w:tab w:leader="none" w:pos="2365"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Assignee is (x) already a Participant (immediately prior to the effectiveness of this Agreement), (y) an Affiliate or Subsidiary of a Participant, and/or (z) a lender or Affiliate or Subsidiary of a lender under the Bank Credit Agreement.</w:t>
      </w:r>
    </w:p>
    <w:p>
      <w:pPr>
        <w:spacing w:after="0" w:line="170" w:lineRule="exact"/>
        <w:rPr>
          <w:rFonts w:ascii="Arial" w:cs="Arial" w:eastAsia="Arial" w:hAnsi="Arial"/>
          <w:sz w:val="18"/>
          <w:szCs w:val="18"/>
          <w:color w:val="auto"/>
        </w:rPr>
      </w:pPr>
    </w:p>
    <w:p>
      <w:pPr>
        <w:ind w:left="1880" w:right="260" w:hanging="5"/>
        <w:spacing w:after="0" w:line="308" w:lineRule="auto"/>
        <w:tabs>
          <w:tab w:leader="none" w:pos="2365" w:val="left"/>
        </w:tabs>
        <w:numPr>
          <w:ilvl w:val="1"/>
          <w:numId w:val="175"/>
        </w:numPr>
        <w:rPr>
          <w:rFonts w:ascii="Arial" w:cs="Arial" w:eastAsia="Arial" w:hAnsi="Arial"/>
          <w:sz w:val="17"/>
          <w:szCs w:val="17"/>
          <w:color w:val="auto"/>
        </w:rPr>
      </w:pPr>
      <w:r>
        <w:rPr>
          <w:rFonts w:ascii="Arial" w:cs="Arial" w:eastAsia="Arial" w:hAnsi="Arial"/>
          <w:sz w:val="17"/>
          <w:szCs w:val="17"/>
          <w:color w:val="auto"/>
        </w:rPr>
        <w:t>Assignee is an Eligible Assignee under clause (c) or (d) of the definition thereof and, to the extent required pursuant to the terms of the Participation Agreement, has obtained Lessee’s consent to the assignment contemplated hereby.</w:t>
      </w:r>
    </w:p>
    <w:p>
      <w:pPr>
        <w:spacing w:after="0" w:line="146" w:lineRule="exact"/>
        <w:rPr>
          <w:rFonts w:ascii="Arial" w:cs="Arial" w:eastAsia="Arial" w:hAnsi="Arial"/>
          <w:sz w:val="17"/>
          <w:szCs w:val="17"/>
          <w:color w:val="auto"/>
        </w:rPr>
      </w:pPr>
    </w:p>
    <w:p>
      <w:pPr>
        <w:ind w:left="660" w:right="480" w:firstLine="645"/>
        <w:spacing w:after="0" w:line="264" w:lineRule="auto"/>
        <w:tabs>
          <w:tab w:leader="none" w:pos="1987" w:val="left"/>
        </w:tabs>
        <w:numPr>
          <w:ilvl w:val="0"/>
          <w:numId w:val="175"/>
        </w:numPr>
        <w:rPr>
          <w:rFonts w:ascii="Arial" w:cs="Arial" w:eastAsia="Arial" w:hAnsi="Arial"/>
          <w:sz w:val="18"/>
          <w:szCs w:val="18"/>
          <w:color w:val="auto"/>
        </w:rPr>
      </w:pPr>
      <w:r>
        <w:rPr>
          <w:rFonts w:ascii="Arial" w:cs="Arial" w:eastAsia="Arial" w:hAnsi="Arial"/>
          <w:sz w:val="18"/>
          <w:szCs w:val="18"/>
          <w:i w:val="1"/>
          <w:iCs w:val="1"/>
          <w:color w:val="auto"/>
        </w:rPr>
        <w:t>Power and Authority</w:t>
      </w:r>
      <w:r>
        <w:rPr>
          <w:rFonts w:ascii="Arial" w:cs="Arial" w:eastAsia="Arial" w:hAnsi="Arial"/>
          <w:sz w:val="18"/>
          <w:szCs w:val="18"/>
          <w:color w:val="auto"/>
        </w:rPr>
        <w:t>. Assignee has the requisite power and authority to enter into and perform its obligations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Agreement and the other Operative Documents to which it will become a party (the </w:t>
      </w:r>
      <w:r>
        <w:rPr>
          <w:rFonts w:ascii="Arial" w:cs="Arial" w:eastAsia="Arial" w:hAnsi="Arial"/>
          <w:sz w:val="18"/>
          <w:szCs w:val="18"/>
          <w:i w:val="1"/>
          <w:iCs w:val="1"/>
          <w:color w:val="auto"/>
        </w:rPr>
        <w:t>“Assigned Agreements”</w:t>
      </w:r>
      <w:r>
        <w:rPr>
          <w:rFonts w:ascii="Arial" w:cs="Arial" w:eastAsia="Arial" w:hAnsi="Arial"/>
          <w:sz w:val="18"/>
          <w:szCs w:val="18"/>
          <w:color w:val="auto"/>
        </w:rPr>
        <w:t>) and to accept the assignment and transfer of the Interest and engage in the Overall Transaction.</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175"/>
        </w:numPr>
        <w:rPr>
          <w:rFonts w:ascii="Arial" w:cs="Arial" w:eastAsia="Arial" w:hAnsi="Arial"/>
          <w:sz w:val="16"/>
          <w:szCs w:val="16"/>
          <w:color w:val="auto"/>
        </w:rPr>
      </w:pPr>
      <w:r>
        <w:rPr>
          <w:rFonts w:ascii="Arial" w:cs="Arial" w:eastAsia="Arial" w:hAnsi="Arial"/>
          <w:sz w:val="16"/>
          <w:szCs w:val="16"/>
          <w:i w:val="1"/>
          <w:iCs w:val="1"/>
          <w:color w:val="auto"/>
        </w:rPr>
        <w:t>Assignee Liens</w:t>
      </w:r>
      <w:r>
        <w:rPr>
          <w:rFonts w:ascii="Arial" w:cs="Arial" w:eastAsia="Arial" w:hAnsi="Arial"/>
          <w:sz w:val="16"/>
          <w:szCs w:val="16"/>
          <w:color w:val="auto"/>
        </w:rPr>
        <w:t>. There are no Lessor Liens attributable to the Assignee on the Lease, the Leased Property or any other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60" w:right="120" w:firstLine="648"/>
        <w:spacing w:after="0" w:line="277" w:lineRule="auto"/>
        <w:rPr>
          <w:sz w:val="20"/>
          <w:szCs w:val="20"/>
          <w:color w:val="auto"/>
        </w:rPr>
      </w:pPr>
      <w:r>
        <w:rPr>
          <w:rFonts w:ascii="Arial" w:cs="Arial" w:eastAsia="Arial" w:hAnsi="Arial"/>
          <w:sz w:val="18"/>
          <w:szCs w:val="18"/>
          <w:color w:val="auto"/>
        </w:rPr>
        <w:t xml:space="preserve">(iv) </w:t>
      </w:r>
      <w:r>
        <w:rPr>
          <w:rFonts w:ascii="Arial" w:cs="Arial" w:eastAsia="Arial" w:hAnsi="Arial"/>
          <w:sz w:val="18"/>
          <w:szCs w:val="18"/>
          <w:i w:val="1"/>
          <w:iCs w:val="1"/>
          <w:color w:val="auto"/>
        </w:rPr>
        <w:t>Organization, etc</w:t>
      </w:r>
      <w:r>
        <w:rPr>
          <w:rFonts w:ascii="Arial" w:cs="Arial" w:eastAsia="Arial" w:hAnsi="Arial"/>
          <w:sz w:val="18"/>
          <w:szCs w:val="18"/>
          <w:color w:val="auto"/>
        </w:rPr>
        <w:t>. The Assignee is a validly organized and existing and in good standing under the laws of the State or jurisdiction of its creation.</w:t>
      </w:r>
    </w:p>
    <w:p>
      <w:pPr>
        <w:spacing w:after="0" w:line="170" w:lineRule="exact"/>
        <w:rPr>
          <w:sz w:val="20"/>
          <w:szCs w:val="20"/>
          <w:color w:val="auto"/>
        </w:rPr>
      </w:pPr>
    </w:p>
    <w:p>
      <w:pPr>
        <w:ind w:left="660" w:right="240" w:firstLine="645"/>
        <w:spacing w:after="0" w:line="286" w:lineRule="auto"/>
        <w:tabs>
          <w:tab w:leader="none" w:pos="1964" w:val="left"/>
        </w:tabs>
        <w:numPr>
          <w:ilvl w:val="0"/>
          <w:numId w:val="176"/>
        </w:numPr>
        <w:rPr>
          <w:rFonts w:ascii="Arial" w:cs="Arial" w:eastAsia="Arial" w:hAnsi="Arial"/>
          <w:sz w:val="17"/>
          <w:szCs w:val="17"/>
          <w:color w:val="auto"/>
        </w:rPr>
      </w:pPr>
      <w:r>
        <w:rPr>
          <w:rFonts w:ascii="Arial" w:cs="Arial" w:eastAsia="Arial" w:hAnsi="Arial"/>
          <w:sz w:val="17"/>
          <w:szCs w:val="17"/>
          <w:i w:val="1"/>
          <w:iCs w:val="1"/>
          <w:color w:val="auto"/>
        </w:rPr>
        <w:t xml:space="preserve">ERISA. </w:t>
      </w:r>
      <w:r>
        <w:rPr>
          <w:rFonts w:ascii="Arial" w:cs="Arial" w:eastAsia="Arial" w:hAnsi="Arial"/>
          <w:sz w:val="17"/>
          <w:szCs w:val="17"/>
          <w:color w:val="auto"/>
        </w:rPr>
        <w:t>The Assignee is not and will not be making any Advances under the Participation Agreement or purchasing the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hereunder, and is not performing its obligations under the Operative Documents, with the assets of an “employee benefit plan” (as defined in Section 3(3) of ERISA), which is subject to Title I of ERISA or “plan” (as defined in Section 4975(e)(1) of the Code).</w:t>
      </w:r>
    </w:p>
    <w:p>
      <w:pPr>
        <w:sectPr>
          <w:pgSz w:w="11900" w:h="16838" w:orient="portrait"/>
          <w:cols w:equalWidth="0" w:num="1">
            <w:col w:w="11420"/>
          </w:cols>
          <w:pgMar w:left="240" w:top="337" w:right="239" w:bottom="0" w:gutter="0" w:footer="0" w:header="0"/>
          <w:type w:val="continuous"/>
        </w:sectPr>
      </w:pPr>
    </w:p>
    <w:bookmarkStart w:id="77" w:name="page78"/>
    <w:bookmarkEnd w:id="77"/>
    <w:p>
      <w:pPr>
        <w:spacing w:after="0" w:line="137" w:lineRule="exact"/>
        <w:rPr>
          <w:sz w:val="20"/>
          <w:szCs w:val="20"/>
          <w:color w:val="auto"/>
        </w:rPr>
      </w:pPr>
    </w:p>
    <w:p>
      <w:pPr>
        <w:ind w:left="660" w:right="80" w:firstLine="645"/>
        <w:spacing w:after="0" w:line="257" w:lineRule="auto"/>
        <w:tabs>
          <w:tab w:leader="none" w:pos="1973" w:val="left"/>
        </w:tabs>
        <w:numPr>
          <w:ilvl w:val="1"/>
          <w:numId w:val="177"/>
        </w:numPr>
        <w:rPr>
          <w:rFonts w:ascii="Arial" w:cs="Arial" w:eastAsia="Arial" w:hAnsi="Arial"/>
          <w:sz w:val="18"/>
          <w:szCs w:val="18"/>
          <w:color w:val="auto"/>
        </w:rPr>
      </w:pPr>
      <w:r>
        <w:rPr>
          <w:rFonts w:ascii="Arial" w:cs="Arial" w:eastAsia="Arial" w:hAnsi="Arial"/>
          <w:sz w:val="18"/>
          <w:szCs w:val="18"/>
          <w:i w:val="1"/>
          <w:iCs w:val="1"/>
          <w:color w:val="auto"/>
        </w:rPr>
        <w:t>Authorization; Binding Effect</w:t>
      </w:r>
      <w:r>
        <w:rPr>
          <w:rFonts w:ascii="Arial" w:cs="Arial" w:eastAsia="Arial" w:hAnsi="Arial"/>
          <w:sz w:val="18"/>
          <w:szCs w:val="18"/>
          <w:color w:val="auto"/>
        </w:rPr>
        <w:t>. This Agreement has been or will be, on the date required to be delivered hereby, duly authorized,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and delivered by the Assignee. This Agreement and each of the other Assigned Agreements are the valid, legal and binding agreements of the Assignee, enforceable against the Assignee in accordance with their respective terms, except as enforcement may be limited by bankruptcy, insolvency, reorganization, moratorium or other similar laws affecting the enforcement of creditors’ rights generally and by general principles of equity.</w:t>
      </w:r>
    </w:p>
    <w:p>
      <w:pPr>
        <w:spacing w:after="0" w:line="188" w:lineRule="exact"/>
        <w:rPr>
          <w:rFonts w:ascii="Arial" w:cs="Arial" w:eastAsia="Arial" w:hAnsi="Arial"/>
          <w:sz w:val="18"/>
          <w:szCs w:val="18"/>
          <w:color w:val="auto"/>
        </w:rPr>
      </w:pPr>
    </w:p>
    <w:p>
      <w:pPr>
        <w:ind w:left="660" w:right="280" w:firstLine="645"/>
        <w:spacing w:after="0" w:line="277" w:lineRule="auto"/>
        <w:tabs>
          <w:tab w:leader="none" w:pos="1983" w:val="left"/>
        </w:tabs>
        <w:numPr>
          <w:ilvl w:val="1"/>
          <w:numId w:val="177"/>
        </w:numPr>
        <w:rPr>
          <w:rFonts w:ascii="Arial" w:cs="Arial" w:eastAsia="Arial" w:hAnsi="Arial"/>
          <w:sz w:val="18"/>
          <w:szCs w:val="18"/>
          <w:color w:val="auto"/>
        </w:rPr>
      </w:pPr>
      <w:r>
        <w:rPr>
          <w:rFonts w:ascii="Arial" w:cs="Arial" w:eastAsia="Arial" w:hAnsi="Arial"/>
          <w:sz w:val="18"/>
          <w:szCs w:val="18"/>
          <w:i w:val="1"/>
          <w:iCs w:val="1"/>
          <w:color w:val="auto"/>
        </w:rPr>
        <w:t>Non-Contravention</w:t>
      </w:r>
      <w:r>
        <w:rPr>
          <w:rFonts w:ascii="Arial" w:cs="Arial" w:eastAsia="Arial" w:hAnsi="Arial"/>
          <w:sz w:val="18"/>
          <w:szCs w:val="18"/>
          <w:color w:val="auto"/>
        </w:rPr>
        <w:t>. Neither the execution and delivery by the Assignee of this Agreement, nor compliance with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hereof, violates any of the terms, conditions or provisions of its charter documents or bylaws.</w:t>
      </w:r>
    </w:p>
    <w:p>
      <w:pPr>
        <w:spacing w:after="0" w:line="170" w:lineRule="exact"/>
        <w:rPr>
          <w:rFonts w:ascii="Arial" w:cs="Arial" w:eastAsia="Arial" w:hAnsi="Arial"/>
          <w:sz w:val="18"/>
          <w:szCs w:val="18"/>
          <w:color w:val="auto"/>
        </w:rPr>
      </w:pPr>
    </w:p>
    <w:p>
      <w:pPr>
        <w:ind w:left="660" w:right="240" w:firstLine="645"/>
        <w:spacing w:after="0" w:line="277" w:lineRule="auto"/>
        <w:tabs>
          <w:tab w:leader="none" w:pos="1992" w:val="left"/>
        </w:tabs>
        <w:numPr>
          <w:ilvl w:val="1"/>
          <w:numId w:val="177"/>
        </w:numPr>
        <w:rPr>
          <w:rFonts w:ascii="Arial" w:cs="Arial" w:eastAsia="Arial" w:hAnsi="Arial"/>
          <w:sz w:val="18"/>
          <w:szCs w:val="18"/>
          <w:color w:val="auto"/>
        </w:rPr>
      </w:pPr>
      <w:r>
        <w:rPr>
          <w:rFonts w:ascii="Arial" w:cs="Arial" w:eastAsia="Arial" w:hAnsi="Arial"/>
          <w:sz w:val="18"/>
          <w:szCs w:val="18"/>
          <w:i w:val="1"/>
          <w:iCs w:val="1"/>
          <w:color w:val="auto"/>
        </w:rPr>
        <w:t>Tax Documentation</w:t>
      </w:r>
      <w:r>
        <w:rPr>
          <w:rFonts w:ascii="Arial" w:cs="Arial" w:eastAsia="Arial" w:hAnsi="Arial"/>
          <w:sz w:val="18"/>
          <w:szCs w:val="18"/>
          <w:color w:val="auto"/>
        </w:rPr>
        <w:t>. Attached to this Agreement is any documentation required to be delivered by the Assignee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Section 12.3 of the Participation Agreement, duly completed and executed by the Assignee.</w:t>
      </w:r>
    </w:p>
    <w:p>
      <w:pPr>
        <w:spacing w:after="0" w:line="170" w:lineRule="exact"/>
        <w:rPr>
          <w:rFonts w:ascii="Arial" w:cs="Arial" w:eastAsia="Arial" w:hAnsi="Arial"/>
          <w:sz w:val="18"/>
          <w:szCs w:val="18"/>
          <w:color w:val="auto"/>
        </w:rPr>
      </w:pPr>
    </w:p>
    <w:p>
      <w:pPr>
        <w:ind w:firstLine="656"/>
        <w:spacing w:after="0" w:line="312" w:lineRule="auto"/>
        <w:tabs>
          <w:tab w:leader="none" w:pos="1307"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 xml:space="preserve">Representations and Warranties of Assignor. </w:t>
      </w:r>
      <w:r>
        <w:rPr>
          <w:rFonts w:ascii="Arial" w:cs="Arial" w:eastAsia="Arial" w:hAnsi="Arial"/>
          <w:sz w:val="16"/>
          <w:szCs w:val="16"/>
          <w:color w:val="auto"/>
        </w:rPr>
        <w:t>Assignor hereby represents and warrants that (i) it is the legal and beneficial owner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(immediately prior to giving effect to this Agreement), (ii) the Interest is free and clear of any lien, encumbrance or other adverse claim and (iii) it has full power and authority, and has taken all action necessary, to execute and deliver this Agreement and to consummate the transactions contemplated hereby.</w:t>
      </w:r>
    </w:p>
    <w:p>
      <w:pPr>
        <w:spacing w:after="0" w:line="146" w:lineRule="exact"/>
        <w:rPr>
          <w:rFonts w:ascii="Arial" w:cs="Arial" w:eastAsia="Arial" w:hAnsi="Arial"/>
          <w:sz w:val="16"/>
          <w:szCs w:val="16"/>
          <w:color w:val="auto"/>
        </w:rPr>
      </w:pPr>
    </w:p>
    <w:p>
      <w:pPr>
        <w:ind w:right="140" w:firstLine="643"/>
        <w:spacing w:after="0" w:line="277" w:lineRule="auto"/>
        <w:tabs>
          <w:tab w:leader="none" w:pos="1304"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 xml:space="preserve">Third Party Beneficiaries. </w:t>
      </w:r>
      <w:r>
        <w:rPr>
          <w:rFonts w:ascii="Arial" w:cs="Arial" w:eastAsia="Arial" w:hAnsi="Arial"/>
          <w:sz w:val="18"/>
          <w:szCs w:val="18"/>
          <w:color w:val="auto"/>
        </w:rPr>
        <w:t>Assignor and Assignee hereby expressly agree that Lessee, the Guarantors and Administrative Agent are third-party beneficiaries of this Agreement.</w:t>
      </w:r>
    </w:p>
    <w:p>
      <w:pPr>
        <w:spacing w:after="0" w:line="170" w:lineRule="exact"/>
        <w:rPr>
          <w:rFonts w:ascii="Arial" w:cs="Arial" w:eastAsia="Arial" w:hAnsi="Arial"/>
          <w:sz w:val="18"/>
          <w:szCs w:val="18"/>
          <w:color w:val="auto"/>
        </w:rPr>
      </w:pPr>
    </w:p>
    <w:p>
      <w:pPr>
        <w:ind w:right="220" w:firstLine="656"/>
        <w:spacing w:after="0" w:line="312" w:lineRule="auto"/>
        <w:tabs>
          <w:tab w:leader="none" w:pos="1307"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Payments</w:t>
      </w:r>
      <w:r>
        <w:rPr>
          <w:rFonts w:ascii="Arial" w:cs="Arial" w:eastAsia="Arial" w:hAnsi="Arial"/>
          <w:sz w:val="16"/>
          <w:szCs w:val="16"/>
          <w:color w:val="auto"/>
        </w:rPr>
        <w:t>. From and after the date hereof, the Administrative Agent (or the Lessee or Lessor, as applicable, in accordance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Operative Documents) shall make all payments in respect of the Interest (including payments of principal, interest, fees and other amounts) to the Assignor for amounts which have accrued to but excluding the date hereof and to the Assignee for amounts which have accrued from and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i w:val="1"/>
          <w:iCs w:val="1"/>
          <w:color w:val="auto"/>
        </w:rPr>
        <w:t>Section 3.</w:t>
      </w:r>
      <w:r>
        <w:rPr>
          <w:sz w:val="20"/>
          <w:szCs w:val="20"/>
          <w:color w:val="auto"/>
        </w:rPr>
        <w:tab/>
      </w:r>
      <w:r>
        <w:rPr>
          <w:rFonts w:ascii="Arial" w:cs="Arial" w:eastAsia="Arial" w:hAnsi="Arial"/>
          <w:sz w:val="16"/>
          <w:szCs w:val="16"/>
          <w:i w:val="1"/>
          <w:iCs w:val="1"/>
          <w:color w:val="auto"/>
        </w:rPr>
        <w:t>Miscellaneous.</w:t>
      </w:r>
    </w:p>
    <w:p>
      <w:pPr>
        <w:spacing w:after="0" w:line="225" w:lineRule="exact"/>
        <w:rPr>
          <w:sz w:val="20"/>
          <w:szCs w:val="20"/>
          <w:color w:val="auto"/>
        </w:rPr>
      </w:pPr>
    </w:p>
    <w:p>
      <w:pPr>
        <w:ind w:right="340" w:firstLine="656"/>
        <w:spacing w:after="0" w:line="277" w:lineRule="auto"/>
        <w:tabs>
          <w:tab w:leader="none" w:pos="1294"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 xml:space="preserve">Notices. </w:t>
      </w:r>
      <w:r>
        <w:rPr>
          <w:rFonts w:ascii="Arial" w:cs="Arial" w:eastAsia="Arial" w:hAnsi="Arial"/>
          <w:sz w:val="18"/>
          <w:szCs w:val="18"/>
          <w:color w:val="auto"/>
        </w:rPr>
        <w:t>The address of Assignee, for notices and payments under the Operative Documents and its Applicable Lending Office, is until</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notice in accordance with Section 15.3 of the Participation Agreement,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Notice Information of Assignee: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w:t>
      </w:r>
    </w:p>
    <w:p>
      <w:pPr>
        <w:spacing w:after="0" w:line="2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18"/>
          <w:szCs w:val="18"/>
          <w:color w:val="auto"/>
        </w:rPr>
        <w:t>Telephone: (</w:t>
        <w:tab/>
        <w:t>)</w:t>
      </w:r>
    </w:p>
    <w:p>
      <w:pPr>
        <w:spacing w:after="0" w:line="9"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18"/>
          <w:szCs w:val="18"/>
          <w:color w:val="auto"/>
        </w:rPr>
        <w:t>Facsimile: (</w:t>
        <w:tab/>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Applicable Lending Office of Assignee </w:t>
      </w:r>
      <w:r>
        <w:rPr>
          <w:rFonts w:ascii="Arial" w:cs="Arial" w:eastAsia="Arial" w:hAnsi="Arial"/>
          <w:sz w:val="17"/>
          <w:szCs w:val="17"/>
          <w:color w:val="auto"/>
        </w:rPr>
        <w:t>(Address for Wires):</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Bank:</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ABA Routing No:</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Account No:</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Account Name: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Reference:</w:t>
      </w:r>
    </w:p>
    <w:p>
      <w:pPr>
        <w:spacing w:after="0" w:line="211" w:lineRule="exact"/>
        <w:rPr>
          <w:sz w:val="20"/>
          <w:szCs w:val="20"/>
          <w:color w:val="auto"/>
        </w:rPr>
      </w:pPr>
    </w:p>
    <w:p>
      <w:pPr>
        <w:ind w:right="220" w:firstLine="656"/>
        <w:spacing w:after="0" w:line="286" w:lineRule="auto"/>
        <w:tabs>
          <w:tab w:leader="none" w:pos="1304" w:val="left"/>
        </w:tabs>
        <w:numPr>
          <w:ilvl w:val="0"/>
          <w:numId w:val="180"/>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w:t>
      </w:r>
      <w:r>
        <w:rPr>
          <w:rFonts w:ascii="Arial" w:cs="Arial" w:eastAsia="Arial" w:hAnsi="Arial"/>
          <w:sz w:val="17"/>
          <w:szCs w:val="17"/>
          <w:color w:val="auto"/>
        </w:rPr>
        <w:t>THIS AGREEMENT SHALL IN ALL RESPECTS BE GOVERNED BY THE INTERNAL LAW OF THE STATE OF</w:t>
      </w:r>
      <w:r>
        <w:rPr>
          <w:rFonts w:ascii="Arial" w:cs="Arial" w:eastAsia="Arial" w:hAnsi="Arial"/>
          <w:sz w:val="17"/>
          <w:szCs w:val="17"/>
          <w:i w:val="1"/>
          <w:iCs w:val="1"/>
          <w:color w:val="auto"/>
        </w:rPr>
        <w:t xml:space="preserve"> </w:t>
      </w:r>
      <w:r>
        <w:rPr>
          <w:rFonts w:ascii="Arial" w:cs="Arial" w:eastAsia="Arial" w:hAnsi="Arial"/>
          <w:sz w:val="17"/>
          <w:szCs w:val="17"/>
          <w:color w:val="auto"/>
        </w:rPr>
        <w:t>NEW YORK, INCLUDING AS TO ALL MATTERS OF CONSTRUCTION, VALIDITY AND PERFORMANCE, WITHOUT REFERENCE TO ANY CONFLICT OF LAW PRINCIPLES, EXCEPT TITLE 14 OF ARTICLE 5 OF THE NEW YORK GENERAL OBLIGATIONS LAW.</w:t>
      </w:r>
    </w:p>
    <w:p>
      <w:pPr>
        <w:spacing w:after="0" w:line="165" w:lineRule="exact"/>
        <w:rPr>
          <w:rFonts w:ascii="Arial" w:cs="Arial" w:eastAsia="Arial" w:hAnsi="Arial"/>
          <w:sz w:val="17"/>
          <w:szCs w:val="17"/>
          <w:color w:val="auto"/>
        </w:rPr>
      </w:pPr>
    </w:p>
    <w:p>
      <w:pPr>
        <w:ind w:right="580" w:firstLine="656"/>
        <w:spacing w:after="0" w:line="277" w:lineRule="auto"/>
        <w:tabs>
          <w:tab w:leader="none" w:pos="1307"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Agreement may be executed by the parties hereto in separate counterparts, each of which when so executed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shall be an original, but all such counterparts shall together constitute one and the same instrument.</w:t>
      </w:r>
    </w:p>
    <w:p>
      <w:pPr>
        <w:spacing w:after="0" w:line="170" w:lineRule="exact"/>
        <w:rPr>
          <w:rFonts w:ascii="Arial" w:cs="Arial" w:eastAsia="Arial" w:hAnsi="Arial"/>
          <w:sz w:val="18"/>
          <w:szCs w:val="18"/>
          <w:color w:val="auto"/>
        </w:rPr>
      </w:pPr>
    </w:p>
    <w:p>
      <w:pPr>
        <w:ind w:right="260" w:firstLine="656"/>
        <w:spacing w:after="0" w:line="277" w:lineRule="auto"/>
        <w:tabs>
          <w:tab w:leader="none" w:pos="1304"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t xml:space="preserve">Benefit and Binding Effect. </w:t>
      </w:r>
      <w:r>
        <w:rPr>
          <w:rFonts w:ascii="Arial" w:cs="Arial" w:eastAsia="Arial" w:hAnsi="Arial"/>
          <w:sz w:val="18"/>
          <w:szCs w:val="18"/>
          <w:color w:val="auto"/>
        </w:rPr>
        <w:t>The terms of this Agreement shall be binding upon, and shall inure to the benefit of, Assignor, Assignee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their respective successors and permitted assigns.</w:t>
      </w:r>
    </w:p>
    <w:p>
      <w:pPr>
        <w:spacing w:after="0" w:line="170" w:lineRule="exact"/>
        <w:rPr>
          <w:rFonts w:ascii="Arial" w:cs="Arial" w:eastAsia="Arial" w:hAnsi="Arial"/>
          <w:sz w:val="18"/>
          <w:szCs w:val="18"/>
          <w:color w:val="auto"/>
        </w:rPr>
      </w:pPr>
    </w:p>
    <w:p>
      <w:pPr>
        <w:jc w:val="both"/>
        <w:ind w:right="120" w:firstLine="656"/>
        <w:spacing w:after="0" w:line="264" w:lineRule="auto"/>
        <w:tabs>
          <w:tab w:leader="none" w:pos="1307"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t xml:space="preserve">Entire Agreement. </w:t>
      </w:r>
      <w:r>
        <w:rPr>
          <w:rFonts w:ascii="Arial" w:cs="Arial" w:eastAsia="Arial" w:hAnsi="Arial"/>
          <w:sz w:val="18"/>
          <w:szCs w:val="18"/>
          <w:color w:val="auto"/>
        </w:rPr>
        <w:t>This Agreement, together with the agreements, instruments and other documents required to be executed and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in connection herewith, represents the entire agreement between Assignor and Assignee and supersedes all prior agreements and understanding of Assignor and Assignee with respect to the subject matter covered hereby.</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80"/>
        </w:numPr>
        <w:rPr>
          <w:rFonts w:ascii="Arial" w:cs="Arial" w:eastAsia="Arial" w:hAnsi="Arial"/>
          <w:sz w:val="16"/>
          <w:szCs w:val="16"/>
          <w:color w:val="auto"/>
        </w:rPr>
      </w:pPr>
      <w:r>
        <w:rPr>
          <w:rFonts w:ascii="Arial" w:cs="Arial" w:eastAsia="Arial" w:hAnsi="Arial"/>
          <w:sz w:val="16"/>
          <w:szCs w:val="16"/>
          <w:i w:val="1"/>
          <w:iCs w:val="1"/>
          <w:color w:val="auto"/>
        </w:rPr>
        <w:t xml:space="preserve">Effective Date. </w:t>
      </w:r>
      <w:r>
        <w:rPr>
          <w:rFonts w:ascii="Arial" w:cs="Arial" w:eastAsia="Arial" w:hAnsi="Arial"/>
          <w:sz w:val="16"/>
          <w:szCs w:val="16"/>
          <w:color w:val="auto"/>
        </w:rPr>
        <w:t>This Agreement and the assignment and assumption effected hereby shall be effective from and after the date first above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written.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6" w:lineRule="exact"/>
        <w:rPr>
          <w:rFonts w:ascii="Arial" w:cs="Arial" w:eastAsia="Arial" w:hAnsi="Arial"/>
          <w:sz w:val="16"/>
          <w:szCs w:val="16"/>
          <w:color w:val="auto"/>
        </w:rPr>
      </w:pPr>
    </w:p>
    <w:p>
      <w:pPr>
        <w:ind w:right="40" w:firstLine="656"/>
        <w:spacing w:after="0" w:line="264" w:lineRule="auto"/>
        <w:tabs>
          <w:tab w:leader="none" w:pos="1317" w:val="left"/>
        </w:tabs>
        <w:numPr>
          <w:ilvl w:val="0"/>
          <w:numId w:val="180"/>
        </w:numPr>
        <w:rPr>
          <w:rFonts w:ascii="Arial" w:cs="Arial" w:eastAsia="Arial" w:hAnsi="Arial"/>
          <w:sz w:val="18"/>
          <w:szCs w:val="18"/>
          <w:color w:val="auto"/>
        </w:rPr>
      </w:pPr>
      <w:r>
        <w:rPr>
          <w:rFonts w:ascii="Arial" w:cs="Arial" w:eastAsia="Arial" w:hAnsi="Arial"/>
          <w:sz w:val="18"/>
          <w:szCs w:val="18"/>
          <w:i w:val="1"/>
          <w:iCs w:val="1"/>
          <w:color w:val="auto"/>
        </w:rPr>
        <w:t xml:space="preserve">Amendment. </w:t>
      </w:r>
      <w:r>
        <w:rPr>
          <w:rFonts w:ascii="Arial" w:cs="Arial" w:eastAsia="Arial" w:hAnsi="Arial"/>
          <w:sz w:val="18"/>
          <w:szCs w:val="18"/>
          <w:color w:val="auto"/>
        </w:rPr>
        <w:t>Neither this Agreement nor any of the terms hereof may be terminated, amended, supplemented, waived or modified orally,</w:t>
      </w:r>
      <w:r>
        <w:rPr>
          <w:rFonts w:ascii="Arial" w:cs="Arial" w:eastAsia="Arial" w:hAnsi="Arial"/>
          <w:sz w:val="18"/>
          <w:szCs w:val="18"/>
          <w:i w:val="1"/>
          <w:iCs w:val="1"/>
          <w:color w:val="auto"/>
        </w:rPr>
        <w:t xml:space="preserve"> </w:t>
      </w:r>
      <w:r>
        <w:rPr>
          <w:rFonts w:ascii="Arial" w:cs="Arial" w:eastAsia="Arial" w:hAnsi="Arial"/>
          <w:sz w:val="18"/>
          <w:szCs w:val="18"/>
          <w:color w:val="auto"/>
        </w:rPr>
        <w:t>but only by an instrument in writing signed by the party against which the enforcement of the termination, amendment, supplement, waiver or modification is sought.</w:t>
      </w:r>
    </w:p>
    <w:p>
      <w:pPr>
        <w:spacing w:after="0" w:line="181" w:lineRule="exact"/>
        <w:rPr>
          <w:rFonts w:ascii="Arial" w:cs="Arial" w:eastAsia="Arial" w:hAnsi="Arial"/>
          <w:sz w:val="18"/>
          <w:szCs w:val="18"/>
          <w:color w:val="auto"/>
        </w:rPr>
      </w:pPr>
    </w:p>
    <w:p>
      <w:pPr>
        <w:jc w:val="both"/>
        <w:ind w:right="500" w:firstLine="656"/>
        <w:spacing w:after="0" w:line="342" w:lineRule="auto"/>
        <w:tabs>
          <w:tab w:leader="none" w:pos="1304" w:val="left"/>
        </w:tabs>
        <w:numPr>
          <w:ilvl w:val="0"/>
          <w:numId w:val="180"/>
        </w:numPr>
        <w:rPr>
          <w:rFonts w:ascii="Arial" w:cs="Arial" w:eastAsia="Arial" w:hAnsi="Arial"/>
          <w:sz w:val="16"/>
          <w:szCs w:val="16"/>
          <w:color w:val="auto"/>
        </w:rPr>
      </w:pPr>
      <w:r>
        <w:rPr>
          <w:rFonts w:ascii="Arial" w:cs="Arial" w:eastAsia="Arial" w:hAnsi="Arial"/>
          <w:sz w:val="16"/>
          <w:szCs w:val="16"/>
          <w:i w:val="1"/>
          <w:iCs w:val="1"/>
          <w:color w:val="auto"/>
        </w:rPr>
        <w:t xml:space="preserve">Certain Assurances. </w:t>
      </w:r>
      <w:r>
        <w:rPr>
          <w:rFonts w:ascii="Arial" w:cs="Arial" w:eastAsia="Arial" w:hAnsi="Arial"/>
          <w:sz w:val="16"/>
          <w:szCs w:val="16"/>
          <w:color w:val="auto"/>
        </w:rPr>
        <w:t>Each of Assignor and Assignee shall do, execute, acknowledge and deliver, or shall cause to be done, executed,</w:t>
      </w:r>
      <w:r>
        <w:rPr>
          <w:rFonts w:ascii="Arial" w:cs="Arial" w:eastAsia="Arial" w:hAnsi="Arial"/>
          <w:sz w:val="16"/>
          <w:szCs w:val="16"/>
          <w:i w:val="1"/>
          <w:iCs w:val="1"/>
          <w:color w:val="auto"/>
        </w:rPr>
        <w:t xml:space="preserve"> </w:t>
      </w:r>
      <w:r>
        <w:rPr>
          <w:rFonts w:ascii="Arial" w:cs="Arial" w:eastAsia="Arial" w:hAnsi="Arial"/>
          <w:sz w:val="16"/>
          <w:szCs w:val="16"/>
          <w:color w:val="auto"/>
        </w:rPr>
        <w:t>acknowledged and delivered, all such further acts, conveyances and assurances as any party to the Participation Agreement shall reasonably require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-1259840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975" w:orient="portrait"/>
          <w:cols w:equalWidth="0" w:num="1">
            <w:col w:w="11400"/>
          </w:cols>
          <w:pgMar w:left="240" w:top="125" w:right="259" w:bottom="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accomplishing the purposes of and carrying out obligations of such party under this Agreement and the Operative Documents.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Approval by Lessee.</w:t>
      </w:r>
      <w:r>
        <w:rPr>
          <w:rFonts w:ascii="Arial" w:cs="Arial" w:eastAsia="Arial" w:hAnsi="Arial"/>
          <w:sz w:val="18"/>
          <w:szCs w:val="18"/>
          <w:color w:val="auto"/>
        </w:rPr>
        <w:t xml:space="preserve"> To the extent required pursuant to the terms of the Participation Agreement, Lessee consents to the assignment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has caused this Assignee Assumption Agreement to be duly executed by its officer thereunto duly authorized on the day and year first above written.</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[ASSIGNEE]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[ASSIGNOR]</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Approved: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 LEASING BSC, LLC, AS LESSOR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OLD SAW MILL HOLDINGS LLC, AS LESSEE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[LESSOR/LENDER LETTERHEAD]</w:t>
      </w:r>
    </w:p>
    <w:p>
      <w:pPr>
        <w:spacing w:after="0" w:line="22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Old Saw Mill Holdings LLC, as Lessee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Regeneron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Dominick Agron, Vice President &amp;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No. (914) 847-1555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(914) 847-5892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dominick.agron@regeneron.com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Joseph J. LaRosa, Senior Vice President,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No. (914) 789-5061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No. (914) 847-7498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joseph.larosa@regeneron.com]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Administrative Agent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555 California Street, Fourth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7"/>
          <w:szCs w:val="17"/>
          <w:color w:val="auto"/>
        </w:rPr>
        <w:t>Aamir Saleem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Telephone Number: </w:t>
      </w:r>
      <w:r>
        <w:rPr>
          <w:rFonts w:ascii="Arial" w:cs="Arial" w:eastAsia="Arial" w:hAnsi="Arial"/>
          <w:sz w:val="17"/>
          <w:szCs w:val="17"/>
          <w:color w:val="auto"/>
        </w:rPr>
        <w:t>(415) 436-2769</w:t>
      </w:r>
    </w:p>
    <w:p>
      <w:pPr>
        <w:spacing w:after="0" w:line="211"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Notice of [Lessor/Lender]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14605</wp:posOffset>
            </wp:positionV>
            <wp:extent cx="313880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138805" cy="8890"/>
                    </a:xfrm>
                    <a:prstGeom prst="rect">
                      <a:avLst/>
                    </a:prstGeom>
                    <a:noFill/>
                  </pic:spPr>
                </pic:pic>
              </a:graphicData>
            </a:graphic>
          </wp:anchor>
        </w:drawing>
      </w:r>
    </w:p>
    <w:p>
      <w:pPr>
        <w:sectPr>
          <w:pgSz w:w="11900" w:h="16838" w:orient="portrait"/>
          <w:cols w:equalWidth="0" w:num="1">
            <w:col w:w="10900"/>
          </w:cols>
          <w:pgMar w:left="240" w:top="125" w:right="759" w:bottom="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Reference is made to that certain Participation Agreement, dated as of March 3, 2017 (as amended, restated, supplemented and modified to date, the </w:t>
      </w:r>
      <w:r>
        <w:rPr>
          <w:rFonts w:ascii="Arial" w:cs="Arial" w:eastAsia="Arial" w:hAnsi="Arial"/>
          <w:sz w:val="18"/>
          <w:szCs w:val="18"/>
          <w:i w:val="1"/>
          <w:iCs w:val="1"/>
          <w:color w:val="auto"/>
        </w:rPr>
        <w:t>“Participation Agreement”</w:t>
      </w:r>
      <w:r>
        <w:rPr>
          <w:rFonts w:ascii="Arial" w:cs="Arial" w:eastAsia="Arial" w:hAnsi="Arial"/>
          <w:sz w:val="18"/>
          <w:szCs w:val="18"/>
          <w:color w:val="auto"/>
        </w:rPr>
        <w:t>), by and among Old Saw Mill Holdings LLC, a New York limited liability company, as Lessee (the</w:t>
      </w:r>
      <w:r>
        <w:rPr>
          <w:rFonts w:ascii="Arial" w:cs="Arial" w:eastAsia="Arial" w:hAnsi="Arial"/>
          <w:sz w:val="18"/>
          <w:szCs w:val="18"/>
          <w:i w:val="1"/>
          <w:iCs w:val="1"/>
          <w:color w:val="auto"/>
        </w:rPr>
        <w:t xml:space="preserve"> “Lessee”</w:t>
      </w:r>
      <w:r>
        <w:rPr>
          <w:rFonts w:ascii="Arial" w:cs="Arial" w:eastAsia="Arial" w:hAnsi="Arial"/>
          <w:sz w:val="18"/>
          <w:szCs w:val="18"/>
          <w:color w:val="auto"/>
        </w:rPr>
        <w:t>), BA Leasing BSC,</w:t>
      </w:r>
      <w:r>
        <w:rPr>
          <w:rFonts w:ascii="Arial" w:cs="Arial" w:eastAsia="Arial" w:hAnsi="Arial"/>
          <w:sz w:val="18"/>
          <w:szCs w:val="18"/>
          <w:i w:val="1"/>
          <w:iCs w:val="1"/>
          <w:color w:val="auto"/>
        </w:rPr>
        <w:t xml:space="preserve"> </w:t>
      </w:r>
      <w:r>
        <w:rPr>
          <w:rFonts w:ascii="Arial" w:cs="Arial" w:eastAsia="Arial" w:hAnsi="Arial"/>
          <w:sz w:val="18"/>
          <w:szCs w:val="18"/>
          <w:color w:val="auto"/>
        </w:rPr>
        <w:t>LLC, as Lessor (</w:t>
      </w:r>
      <w:r>
        <w:rPr>
          <w:rFonts w:ascii="Arial" w:cs="Arial" w:eastAsia="Arial" w:hAnsi="Arial"/>
          <w:sz w:val="18"/>
          <w:szCs w:val="18"/>
          <w:i w:val="1"/>
          <w:iCs w:val="1"/>
          <w:color w:val="auto"/>
        </w:rPr>
        <w:t>“Lessor”</w:t>
      </w:r>
      <w:r>
        <w:rPr>
          <w:rFonts w:ascii="Arial" w:cs="Arial" w:eastAsia="Arial" w:hAnsi="Arial"/>
          <w:sz w:val="18"/>
          <w:szCs w:val="18"/>
          <w:color w:val="auto"/>
        </w:rPr>
        <w:t xml:space="preserve">), Bank of America, N.A., not in its individual capacity, except as expressly stated therein, but solely as Administrative Agent (the </w:t>
      </w:r>
      <w:r>
        <w:rPr>
          <w:rFonts w:ascii="Arial" w:cs="Arial" w:eastAsia="Arial" w:hAnsi="Arial"/>
          <w:sz w:val="18"/>
          <w:szCs w:val="18"/>
          <w:i w:val="1"/>
          <w:iCs w:val="1"/>
          <w:color w:val="auto"/>
        </w:rPr>
        <w:t>“Administrative Agent”</w:t>
      </w:r>
      <w:r>
        <w:rPr>
          <w:rFonts w:ascii="Arial" w:cs="Arial" w:eastAsia="Arial" w:hAnsi="Arial"/>
          <w:sz w:val="18"/>
          <w:szCs w:val="18"/>
          <w:color w:val="auto"/>
        </w:rPr>
        <w:t>), and the Lenders from time to time party thereto. Capitalized terms used in this letter but not otherwise defined herein shall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meanings given such terms in the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accordance with Section 12.1 of the Participation Agreement, please be advised that the [Lessor/Lender] intends to assign to [Assignee], a</w:t>
      </w:r>
    </w:p>
    <w:p>
      <w:pPr>
        <w:spacing w:after="0" w:line="35" w:lineRule="exact"/>
        <w:rPr>
          <w:sz w:val="20"/>
          <w:szCs w:val="20"/>
          <w:color w:val="auto"/>
        </w:rPr>
      </w:pPr>
    </w:p>
    <w:p>
      <w:pPr>
        <w:ind w:right="580" w:firstLine="900"/>
        <w:spacing w:after="0" w:line="265" w:lineRule="auto"/>
        <w:rPr>
          <w:sz w:val="20"/>
          <w:szCs w:val="20"/>
          <w:color w:val="auto"/>
        </w:rPr>
      </w:pPr>
      <w:r>
        <w:rPr>
          <w:rFonts w:ascii="Arial" w:cs="Arial" w:eastAsia="Arial" w:hAnsi="Arial"/>
          <w:sz w:val="17"/>
          <w:szCs w:val="17"/>
          <w:color w:val="auto"/>
        </w:rPr>
        <w:t xml:space="preserve">[corporation/limited liability company/limited partnership] with an address at (the </w:t>
      </w:r>
      <w:r>
        <w:rPr>
          <w:rFonts w:ascii="Arial" w:cs="Arial" w:eastAsia="Arial" w:hAnsi="Arial"/>
          <w:sz w:val="17"/>
          <w:szCs w:val="17"/>
          <w:i w:val="1"/>
          <w:iCs w:val="1"/>
          <w:color w:val="auto"/>
        </w:rPr>
        <w:t>“Assignee”</w:t>
      </w:r>
      <w:r>
        <w:rPr>
          <w:rFonts w:ascii="Arial" w:cs="Arial" w:eastAsia="Arial" w:hAnsi="Arial"/>
          <w:sz w:val="17"/>
          <w:szCs w:val="17"/>
          <w:color w:val="auto"/>
        </w:rPr>
        <w:t>), $[ ] of its [Loan Balance][Lessor Balance] and of its related right, title and interest in, to and under the Participation Agreement, the Operative Documents, the Leased</w:t>
      </w:r>
    </w:p>
    <w:p>
      <w:pPr>
        <w:ind w:right="620"/>
        <w:spacing w:after="0" w:line="290" w:lineRule="auto"/>
        <w:rPr>
          <w:sz w:val="20"/>
          <w:szCs w:val="20"/>
          <w:color w:val="auto"/>
        </w:rPr>
      </w:pPr>
      <w:r>
        <w:rPr>
          <w:rFonts w:ascii="Arial" w:cs="Arial" w:eastAsia="Arial" w:hAnsi="Arial"/>
          <w:sz w:val="17"/>
          <w:szCs w:val="17"/>
          <w:color w:val="auto"/>
        </w:rPr>
        <w:t>Property and the other Collateral. The proposed assignment is intended to take place on or after , 20 (subject to the receipt of any consent required pursuant to Section 12.1 of the Participation Agreement). We shall inform you if the proposed transfer is no longer scheduled to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178435</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Please acknowledge your receipt of this notice of assignment by executing the signature block below. Please contact us with any questions regarding the proposed transfer.</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Receipt of this notice is hereby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acknowledged as of the date set forth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not in its individual capacity,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except as expressly stated herein,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but solely as 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331914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OFFICER’S CERTIFICATE OF LESSEE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SECRETARY OF OLD SAW MILL HOLDINGS LLC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DATED AS OF MARCH 3, 2017</w:t>
      </w:r>
    </w:p>
    <w:p>
      <w:pPr>
        <w:spacing w:after="0" w:line="225"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I, Joseph J. LaRosa, Secretary of Old Saw Mill Holdings LLC, a New York limited liability company (the “</w:t>
      </w:r>
      <w:r>
        <w:rPr>
          <w:rFonts w:ascii="Arial" w:cs="Arial" w:eastAsia="Arial" w:hAnsi="Arial"/>
          <w:sz w:val="17"/>
          <w:szCs w:val="17"/>
          <w:i w:val="1"/>
          <w:iCs w:val="1"/>
          <w:color w:val="auto"/>
        </w:rPr>
        <w:t>Company</w:t>
      </w:r>
      <w:r>
        <w:rPr>
          <w:rFonts w:ascii="Arial" w:cs="Arial" w:eastAsia="Arial" w:hAnsi="Arial"/>
          <w:sz w:val="17"/>
          <w:szCs w:val="17"/>
          <w:color w:val="auto"/>
        </w:rPr>
        <w:t>”), do hereby certify, in my capacity as Secretary of the Company and on behalf of the Company and not in any personal capacity, that as of the date hereof:</w:t>
      </w:r>
    </w:p>
    <w:p>
      <w:pPr>
        <w:spacing w:after="0" w:line="147" w:lineRule="exact"/>
        <w:rPr>
          <w:sz w:val="20"/>
          <w:szCs w:val="20"/>
          <w:color w:val="auto"/>
        </w:rPr>
      </w:pPr>
    </w:p>
    <w:p>
      <w:pPr>
        <w:jc w:val="both"/>
        <w:ind w:left="660" w:right="80" w:firstLine="836"/>
        <w:spacing w:after="0" w:line="259" w:lineRule="auto"/>
        <w:tabs>
          <w:tab w:leader="none" w:pos="199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Attached hereto as Exhibit A is a true, correct and complete copy of the Articles of Organization of the Company (the “</w:t>
      </w:r>
      <w:r>
        <w:rPr>
          <w:rFonts w:ascii="Arial" w:cs="Arial" w:eastAsia="Arial" w:hAnsi="Arial"/>
          <w:sz w:val="18"/>
          <w:szCs w:val="18"/>
          <w:i w:val="1"/>
          <w:iCs w:val="1"/>
          <w:color w:val="auto"/>
        </w:rPr>
        <w:t>Articles of</w:t>
      </w:r>
      <w:r>
        <w:rPr>
          <w:rFonts w:ascii="Arial" w:cs="Arial" w:eastAsia="Arial" w:hAnsi="Arial"/>
          <w:sz w:val="18"/>
          <w:szCs w:val="18"/>
          <w:color w:val="auto"/>
        </w:rPr>
        <w:t xml:space="preserve"> </w:t>
      </w:r>
      <w:r>
        <w:rPr>
          <w:rFonts w:ascii="Arial" w:cs="Arial" w:eastAsia="Arial" w:hAnsi="Arial"/>
          <w:sz w:val="18"/>
          <w:szCs w:val="18"/>
          <w:i w:val="1"/>
          <w:iCs w:val="1"/>
          <w:color w:val="auto"/>
        </w:rPr>
        <w:t>Organization</w:t>
      </w:r>
      <w:r>
        <w:rPr>
          <w:rFonts w:ascii="Arial" w:cs="Arial" w:eastAsia="Arial" w:hAnsi="Arial"/>
          <w:sz w:val="18"/>
          <w:szCs w:val="18"/>
          <w:color w:val="auto"/>
        </w:rPr>
        <w:t>”), as certified by the Secretary of State of the State of New York, as in effect on the date hereof. No amendment, restatement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modification to the Articles of Organization has been filed in the office of the Secretary of State of the State of New York since the date of such certification by the Secretary of State of the State of New York as set forth in Exhibit A.</w:t>
      </w:r>
    </w:p>
    <w:p>
      <w:pPr>
        <w:spacing w:after="0" w:line="186" w:lineRule="exact"/>
        <w:rPr>
          <w:rFonts w:ascii="Arial" w:cs="Arial" w:eastAsia="Arial" w:hAnsi="Arial"/>
          <w:sz w:val="18"/>
          <w:szCs w:val="18"/>
          <w:color w:val="auto"/>
        </w:rPr>
      </w:pPr>
    </w:p>
    <w:p>
      <w:pPr>
        <w:jc w:val="both"/>
        <w:ind w:left="660" w:firstLine="836"/>
        <w:spacing w:after="0" w:line="257" w:lineRule="auto"/>
        <w:tabs>
          <w:tab w:leader="none" w:pos="199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Attached hereto as Exhibit B is a true and complete copy of the Limited Liability Company Agreement of the Company (the “</w:t>
      </w:r>
      <w:r>
        <w:rPr>
          <w:rFonts w:ascii="Arial" w:cs="Arial" w:eastAsia="Arial" w:hAnsi="Arial"/>
          <w:sz w:val="18"/>
          <w:szCs w:val="18"/>
          <w:i w:val="1"/>
          <w:iCs w:val="1"/>
          <w:color w:val="auto"/>
        </w:rPr>
        <w:t>LLC</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as in full force and effect at the date on which the resolutions described in paragraph 3 below were adopted for the Company and at all</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 times to and including the date hereof. There are no other agreements (whether referred to as a limited liability company agreement, operating agreement or otherwise), written, oral or implied, of the member or members of the Company as to the affairs of the Company and the conduct of its business other than as attached hereto as Exhibit B.</w:t>
      </w:r>
    </w:p>
    <w:p>
      <w:pPr>
        <w:spacing w:after="0" w:line="188" w:lineRule="exact"/>
        <w:rPr>
          <w:rFonts w:ascii="Arial" w:cs="Arial" w:eastAsia="Arial" w:hAnsi="Arial"/>
          <w:sz w:val="18"/>
          <w:szCs w:val="18"/>
          <w:color w:val="auto"/>
        </w:rPr>
      </w:pPr>
    </w:p>
    <w:p>
      <w:pPr>
        <w:ind w:left="660" w:firstLine="836"/>
        <w:spacing w:after="0" w:line="255" w:lineRule="auto"/>
        <w:tabs>
          <w:tab w:leader="none" w:pos="199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Attached hereto as Exhibit C is a true and complete copy of resolutions duly adopted by the Board of Managers of the Company at a duly called meeting at which a quorum was acting throughout or by requisite written consent, authorizing, among other things, the participation by the Company in the financing transactions contemplated by the Participation Agreement (as defined below), and such resolutions have not in any way been amended, modified, revoked, rescinded or superseded and have been in full force and effect since their adoption to and including the date hereof and are now in full force and effect; and such resolutions are the only resolutions of the Board of Managers of the Company now in force relating to or affecting the matters referenced therein.</w:t>
      </w:r>
    </w:p>
    <w:p>
      <w:pPr>
        <w:sectPr>
          <w:pgSz w:w="11900" w:h="16838" w:orient="portrait"/>
          <w:cols w:equalWidth="0" w:num="1">
            <w:col w:w="11400"/>
          </w:cols>
          <w:pgMar w:left="240" w:top="341" w:right="259" w:bottom="121" w:gutter="0" w:footer="0" w:header="0"/>
        </w:sectPr>
      </w:pPr>
    </w:p>
    <w:bookmarkStart w:id="80" w:name="page81"/>
    <w:bookmarkEnd w:id="80"/>
    <w:p>
      <w:pPr>
        <w:ind w:left="660" w:right="120" w:firstLine="836"/>
        <w:spacing w:after="0" w:line="259" w:lineRule="auto"/>
        <w:tabs>
          <w:tab w:leader="none" w:pos="199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Attached hereto as Exhibit D is a list of the officers of the Company, all of whom have been duly elected or appointed, have duly qualified and on this day are officers of the Company holding the respective offices indicated, authorized to execute and deliver each of the Operative Documents to which the Company is a party and any additional documents contemplated thereby, and the signatures set opposite such officers’ names are their genuine signatures.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F-1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00" w:hanging="504"/>
        <w:spacing w:after="0"/>
        <w:tabs>
          <w:tab w:leader="none" w:pos="200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Company has, and since the time of its formation has had, at least one validly admitted and existing member of the Company.</w:t>
      </w:r>
    </w:p>
    <w:p>
      <w:pPr>
        <w:spacing w:after="0" w:line="248" w:lineRule="exact"/>
        <w:rPr>
          <w:rFonts w:ascii="Arial" w:cs="Arial" w:eastAsia="Arial" w:hAnsi="Arial"/>
          <w:sz w:val="16"/>
          <w:szCs w:val="16"/>
          <w:color w:val="auto"/>
        </w:rPr>
      </w:pPr>
    </w:p>
    <w:p>
      <w:pPr>
        <w:ind w:left="660" w:right="20" w:firstLine="836"/>
        <w:spacing w:after="0" w:line="257" w:lineRule="auto"/>
        <w:tabs>
          <w:tab w:leader="none" w:pos="199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 No procedures have been instituted for, and no other event has occurred, including, without limitation, any action taken by the Company, its Board of Managers or its members, that would result in the liquidation, dissolution or winding-up of the Company, (ii) no event has occurred that has adversely affected the full force and effect status of the Company under the laws of its jurisdiction of formation, and the Company has taken all actions required by the laws of its jurisdiction of formation to maintain such full force and effect status and (iii) no grounds exist for the revocation or forfeiture of the Articles of Organization.</w:t>
      </w:r>
    </w:p>
    <w:p>
      <w:pPr>
        <w:spacing w:after="0" w:line="200" w:lineRule="exact"/>
        <w:rPr>
          <w:sz w:val="20"/>
          <w:szCs w:val="20"/>
          <w:color w:val="auto"/>
        </w:rPr>
      </w:pPr>
    </w:p>
    <w:p>
      <w:pPr>
        <w:spacing w:after="0" w:line="20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This certificate is delivered in connection with the Participation Agreement dated as of the date hereof among the Company, as Lessee, BA LEASING BSC, LLC, a Delaware limited liability company, as Lessor, BANK OF AMERICA, N.A., not in its individual capacity, except as expressly stated herein, but solely as Administrative Agent, and the financial institutions listed on Schedule II thereto (the “</w:t>
      </w:r>
      <w:r>
        <w:rPr>
          <w:rFonts w:ascii="Arial" w:cs="Arial" w:eastAsia="Arial" w:hAnsi="Arial"/>
          <w:sz w:val="17"/>
          <w:szCs w:val="17"/>
          <w:i w:val="1"/>
          <w:iCs w:val="1"/>
          <w:color w:val="auto"/>
        </w:rPr>
        <w:t>Participation Agreement</w:t>
      </w:r>
      <w:r>
        <w:rPr>
          <w:rFonts w:ascii="Arial" w:cs="Arial" w:eastAsia="Arial" w:hAnsi="Arial"/>
          <w:sz w:val="17"/>
          <w:szCs w:val="17"/>
          <w:color w:val="auto"/>
        </w:rPr>
        <w:t>”). Terms used herein, but not defined, shall have the meanings ascribed to them in Appendix 1 to the Participation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I have signed my name as of the date first set forth above.</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tabs>
          <w:tab w:leader="none" w:pos="6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840" w:val="left"/>
        </w:tabs>
        <w:rPr>
          <w:sz w:val="20"/>
          <w:szCs w:val="20"/>
          <w:color w:val="auto"/>
        </w:rPr>
      </w:pPr>
      <w:r>
        <w:rPr>
          <w:rFonts w:ascii="Arial" w:cs="Arial" w:eastAsia="Arial" w:hAnsi="Arial"/>
          <w:sz w:val="18"/>
          <w:szCs w:val="18"/>
          <w:color w:val="auto"/>
        </w:rPr>
        <w:t>Title:</w:t>
        <w:tab/>
        <w:t>Secretary</w:t>
      </w:r>
    </w:p>
    <w:p>
      <w:pPr>
        <w:spacing w:after="0" w:line="211"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I, Dominick Agron, Treasurer of the Company, hereby certify as of the date first written above that Joseph J. LaRosa has been duly elected or appointed, has been duly qualified and this day is the Secretary of the Company and that the signature set forth above is his genuine signature.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I have signed my name as of the date first set forth above.</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tabs>
          <w:tab w:leader="none" w:pos="6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Dominick Agron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840" w:val="left"/>
        </w:tabs>
        <w:rPr>
          <w:sz w:val="20"/>
          <w:szCs w:val="20"/>
          <w:color w:val="auto"/>
        </w:rPr>
      </w:pPr>
      <w:r>
        <w:rPr>
          <w:rFonts w:ascii="Arial" w:cs="Arial" w:eastAsia="Arial" w:hAnsi="Arial"/>
          <w:sz w:val="18"/>
          <w:szCs w:val="18"/>
          <w:color w:val="auto"/>
        </w:rPr>
        <w:t>Title:</w:t>
        <w:tab/>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ARTICLES OF ORGANIZATION OF THE COMPANY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LLC AGREEMENT OF THE COMPANY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RESOLUTIONS OF THE BOARD OF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455"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LIST OF OFFICERS OF THE COMPANY</w:t>
      </w:r>
    </w:p>
    <w:p>
      <w:pPr>
        <w:spacing w:after="0" w:line="221" w:lineRule="exact"/>
        <w:rPr>
          <w:sz w:val="20"/>
          <w:szCs w:val="20"/>
          <w:color w:val="auto"/>
        </w:rPr>
      </w:pPr>
    </w:p>
    <w:p>
      <w:pPr>
        <w:ind w:left="1660"/>
        <w:spacing w:after="0"/>
        <w:tabs>
          <w:tab w:leader="none" w:pos="5460" w:val="left"/>
          <w:tab w:leader="none" w:pos="928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Position</w:t>
      </w:r>
      <w:r>
        <w:rPr>
          <w:sz w:val="20"/>
          <w:szCs w:val="20"/>
          <w:color w:val="auto"/>
        </w:rPr>
        <w:tab/>
      </w:r>
      <w:r>
        <w:rPr>
          <w:rFonts w:ascii="Arial" w:cs="Arial" w:eastAsia="Arial" w:hAnsi="Arial"/>
          <w:sz w:val="13"/>
          <w:szCs w:val="13"/>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572770</wp:posOffset>
            </wp:positionV>
            <wp:extent cx="231521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289560</wp:posOffset>
            </wp:positionV>
            <wp:extent cx="231521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784860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OFFICER’S CERTIFICATE OF PARENT GUARANTOR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SECRETARY OF REGENERON PHARMACEUTICALS, INC.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DATED AS OF MARCH 3,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Joseph J. LaRosa, Secretary of Regeneron Pharmaceuticals, Inc., a New York corporation (the “</w:t>
      </w:r>
      <w:r>
        <w:rPr>
          <w:rFonts w:ascii="Arial" w:cs="Arial" w:eastAsia="Arial" w:hAnsi="Arial"/>
          <w:sz w:val="16"/>
          <w:szCs w:val="16"/>
          <w:i w:val="1"/>
          <w:iCs w:val="1"/>
          <w:color w:val="auto"/>
        </w:rPr>
        <w:t>Company</w:t>
      </w:r>
      <w:r>
        <w:rPr>
          <w:rFonts w:ascii="Arial" w:cs="Arial" w:eastAsia="Arial" w:hAnsi="Arial"/>
          <w:sz w:val="16"/>
          <w:szCs w:val="16"/>
          <w:color w:val="auto"/>
        </w:rPr>
        <w:t>”), do hereby certify, in my capacity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Secretary of the Company and on behalf of the Company and not in any personal capacity, that as of the date hereof:</w:t>
      </w:r>
    </w:p>
    <w:p>
      <w:pPr>
        <w:spacing w:after="0" w:line="211" w:lineRule="exact"/>
        <w:rPr>
          <w:sz w:val="20"/>
          <w:szCs w:val="20"/>
          <w:color w:val="auto"/>
        </w:rPr>
      </w:pPr>
    </w:p>
    <w:p>
      <w:pPr>
        <w:ind w:left="2000" w:hanging="504"/>
        <w:spacing w:after="0"/>
        <w:tabs>
          <w:tab w:leader="none" w:pos="200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i w:val="1"/>
          <w:iCs w:val="1"/>
          <w:color w:val="auto"/>
        </w:rPr>
        <w:t>Exhibit A</w:t>
      </w:r>
      <w:r>
        <w:rPr>
          <w:rFonts w:ascii="Arial" w:cs="Arial" w:eastAsia="Arial" w:hAnsi="Arial"/>
          <w:sz w:val="17"/>
          <w:szCs w:val="17"/>
          <w:color w:val="auto"/>
        </w:rPr>
        <w:t xml:space="preserve"> is a true, correct and complete copy of the Certificate of Incorporation of the Company (the</w:t>
      </w:r>
    </w:p>
    <w:p>
      <w:pPr>
        <w:spacing w:after="0" w:line="35" w:lineRule="exact"/>
        <w:rPr>
          <w:sz w:val="20"/>
          <w:szCs w:val="20"/>
          <w:color w:val="auto"/>
        </w:rPr>
      </w:pPr>
    </w:p>
    <w:p>
      <w:pPr>
        <w:ind w:left="660" w:right="28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Certificate of Incorporation</w:t>
      </w:r>
      <w:r>
        <w:rPr>
          <w:rFonts w:ascii="Arial" w:cs="Arial" w:eastAsia="Arial" w:hAnsi="Arial"/>
          <w:sz w:val="17"/>
          <w:szCs w:val="17"/>
          <w:color w:val="auto"/>
        </w:rPr>
        <w:t xml:space="preserve">”), as certified by the Secretary of State of the State of New York, as in effect on the date hereof. No amendment, restatement or other modification to the Certificate of Incorporation has been filed in the office of the Secretary of State of the State of New York since the date of such certification by the Secretary of State of the State of New York as set forth in </w:t>
      </w:r>
      <w:r>
        <w:rPr>
          <w:rFonts w:ascii="Arial" w:cs="Arial" w:eastAsia="Arial" w:hAnsi="Arial"/>
          <w:sz w:val="17"/>
          <w:szCs w:val="17"/>
          <w:i w:val="1"/>
          <w:iCs w:val="1"/>
          <w:color w:val="auto"/>
        </w:rPr>
        <w:t>Exhibit A</w:t>
      </w:r>
      <w:r>
        <w:rPr>
          <w:rFonts w:ascii="Arial" w:cs="Arial" w:eastAsia="Arial" w:hAnsi="Arial"/>
          <w:sz w:val="17"/>
          <w:szCs w:val="17"/>
          <w:color w:val="auto"/>
        </w:rPr>
        <w:t>.</w:t>
      </w:r>
    </w:p>
    <w:p>
      <w:pPr>
        <w:spacing w:after="0" w:line="173" w:lineRule="exact"/>
        <w:rPr>
          <w:sz w:val="20"/>
          <w:szCs w:val="20"/>
          <w:color w:val="auto"/>
        </w:rPr>
      </w:pPr>
    </w:p>
    <w:p>
      <w:pPr>
        <w:ind w:left="660" w:right="300" w:firstLine="836"/>
        <w:spacing w:after="0" w:line="264" w:lineRule="auto"/>
        <w:tabs>
          <w:tab w:leader="none" w:pos="199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i w:val="1"/>
          <w:iCs w:val="1"/>
          <w:color w:val="auto"/>
        </w:rPr>
        <w:t>Exhibit B</w:t>
      </w:r>
      <w:r>
        <w:rPr>
          <w:rFonts w:ascii="Arial" w:cs="Arial" w:eastAsia="Arial" w:hAnsi="Arial"/>
          <w:sz w:val="18"/>
          <w:szCs w:val="18"/>
          <w:color w:val="auto"/>
        </w:rPr>
        <w:t xml:space="preserve"> is a true and complete copy of the By-Laws of the Company (the “</w:t>
      </w:r>
      <w:r>
        <w:rPr>
          <w:rFonts w:ascii="Arial" w:cs="Arial" w:eastAsia="Arial" w:hAnsi="Arial"/>
          <w:sz w:val="18"/>
          <w:szCs w:val="18"/>
          <w:i w:val="1"/>
          <w:iCs w:val="1"/>
          <w:color w:val="auto"/>
        </w:rPr>
        <w:t>By-Laws</w:t>
      </w:r>
      <w:r>
        <w:rPr>
          <w:rFonts w:ascii="Arial" w:cs="Arial" w:eastAsia="Arial" w:hAnsi="Arial"/>
          <w:sz w:val="18"/>
          <w:szCs w:val="18"/>
          <w:color w:val="auto"/>
        </w:rPr>
        <w:t>”), as in full force and effect at the date on which the resolutions described in paragraph 3 below were adopted for the Company and at all subsequent times to and including the date hereof.</w:t>
      </w:r>
    </w:p>
    <w:p>
      <w:pPr>
        <w:spacing w:after="0" w:line="181" w:lineRule="exact"/>
        <w:rPr>
          <w:rFonts w:ascii="Arial" w:cs="Arial" w:eastAsia="Arial" w:hAnsi="Arial"/>
          <w:sz w:val="18"/>
          <w:szCs w:val="18"/>
          <w:color w:val="auto"/>
        </w:rPr>
      </w:pPr>
    </w:p>
    <w:p>
      <w:pPr>
        <w:ind w:left="660" w:right="40" w:firstLine="836"/>
        <w:spacing w:after="0" w:line="255" w:lineRule="auto"/>
        <w:tabs>
          <w:tab w:leader="none" w:pos="199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i w:val="1"/>
          <w:iCs w:val="1"/>
          <w:color w:val="auto"/>
        </w:rPr>
        <w:t>Exhibit C</w:t>
      </w:r>
      <w:r>
        <w:rPr>
          <w:rFonts w:ascii="Arial" w:cs="Arial" w:eastAsia="Arial" w:hAnsi="Arial"/>
          <w:sz w:val="18"/>
          <w:szCs w:val="18"/>
          <w:color w:val="auto"/>
        </w:rPr>
        <w:t xml:space="preserve"> is a true and complete copy of resolutions duly adopted by the Board of Directors of the Company at a duly called meeting at which a quorum was acting throughout or by requisite written consent, authorizing, among other things, the participation by the Company in the financing transactions contemplated by the Participation Agreement (as defined below), and such resolutions have not in any way been amended, modified, revoked, rescinded or superseded and have been in full force and effect since their adoption to and including the date hereof and are now in full force and effect; and such resolutions are the only resolutions of the Board of Directors of the Company now in force relating to or affecting the matters referenced therein.</w:t>
      </w:r>
    </w:p>
    <w:p>
      <w:pPr>
        <w:spacing w:after="0" w:line="193" w:lineRule="exact"/>
        <w:rPr>
          <w:rFonts w:ascii="Arial" w:cs="Arial" w:eastAsia="Arial" w:hAnsi="Arial"/>
          <w:sz w:val="18"/>
          <w:szCs w:val="18"/>
          <w:color w:val="auto"/>
        </w:rPr>
      </w:pPr>
    </w:p>
    <w:p>
      <w:pPr>
        <w:ind w:left="660" w:right="140" w:firstLine="836"/>
        <w:spacing w:after="0" w:line="259" w:lineRule="auto"/>
        <w:tabs>
          <w:tab w:leader="none" w:pos="199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i w:val="1"/>
          <w:iCs w:val="1"/>
          <w:color w:val="auto"/>
        </w:rPr>
        <w:t>Exhibit D</w:t>
      </w:r>
      <w:r>
        <w:rPr>
          <w:rFonts w:ascii="Arial" w:cs="Arial" w:eastAsia="Arial" w:hAnsi="Arial"/>
          <w:sz w:val="18"/>
          <w:szCs w:val="18"/>
          <w:color w:val="auto"/>
        </w:rPr>
        <w:t xml:space="preserve"> is a list of the officers of the Company, all of whom have been duly elected or appointed, have duly qualified and on this day are officers of the Company holding the respective offices indicated, authorized to execute and deliver each of the Operative Documents to which the Company is a party and any additional documents contemplated thereby, and the signatures set opposite such officers’ names are their genuine signatures.</w:t>
      </w:r>
    </w:p>
    <w:p>
      <w:pPr>
        <w:spacing w:after="0" w:line="186" w:lineRule="exact"/>
        <w:rPr>
          <w:rFonts w:ascii="Arial" w:cs="Arial" w:eastAsia="Arial" w:hAnsi="Arial"/>
          <w:sz w:val="18"/>
          <w:szCs w:val="18"/>
          <w:color w:val="auto"/>
        </w:rPr>
      </w:pPr>
    </w:p>
    <w:p>
      <w:pPr>
        <w:jc w:val="both"/>
        <w:ind w:left="660" w:right="60" w:firstLine="836"/>
        <w:spacing w:after="0" w:line="312" w:lineRule="auto"/>
        <w:tabs>
          <w:tab w:leader="none" w:pos="199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(i) No procedures have been instituted for, and no other event has occurred, including, without limitation, any action taken by the Company, its Board of Directors or its shareholders, that would result in the liquidation, dissolution or winding-up of the Company, (ii) no event has occurred that has adversely affected the full force and effect status of the Company under the laws of its jurisdiction of incorporation, and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F-2</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the Company has taken all actions required by the laws of its jurisdiction of incorporation to maintain such full force and effect status and (iii) no grounds exist for the revocation or forfeiture of the Certificate of Incorporation.</w:t>
      </w:r>
    </w:p>
    <w:p>
      <w:pPr>
        <w:spacing w:after="0" w:line="38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This certificate is delivered in connection with the Participation Agreement dated as of the date hereof among OLD SAW MILL HOLDINGS LLC, as Lessee, BA LEASING BSC, LLC, a Delaware limited liability company, as Lessor, BANK OF AMERICA, N.A., not in its individual capacity, except as expressly stated herein, but solely as Administrative Agent, and the financial institutions listed on Schedule II thereto (the “</w:t>
      </w:r>
      <w:r>
        <w:rPr>
          <w:rFonts w:ascii="Arial" w:cs="Arial" w:eastAsia="Arial" w:hAnsi="Arial"/>
          <w:sz w:val="17"/>
          <w:szCs w:val="17"/>
          <w:i w:val="1"/>
          <w:iCs w:val="1"/>
          <w:color w:val="auto"/>
        </w:rPr>
        <w:t>Participation Agreement</w:t>
      </w:r>
      <w:r>
        <w:rPr>
          <w:rFonts w:ascii="Arial" w:cs="Arial" w:eastAsia="Arial" w:hAnsi="Arial"/>
          <w:sz w:val="17"/>
          <w:szCs w:val="17"/>
          <w:color w:val="auto"/>
        </w:rPr>
        <w:t>”). Terms used herein, but not defined, shall have the meanings ascribed to them in Appendix 1 to the Participation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I have signed my name as of the date first set forth above.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-130810</wp:posOffset>
            </wp:positionV>
            <wp:extent cx="34302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 w:lineRule="exact"/>
        <w:rPr>
          <w:sz w:val="20"/>
          <w:szCs w:val="20"/>
          <w:color w:val="auto"/>
        </w:rPr>
      </w:pPr>
    </w:p>
    <w:p>
      <w:pPr>
        <w:ind w:left="6020"/>
        <w:spacing w:after="0"/>
        <w:tabs>
          <w:tab w:leader="none" w:pos="6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-130810</wp:posOffset>
            </wp:positionV>
            <wp:extent cx="295021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ectPr>
          <w:pgSz w:w="11900" w:h="16838" w:orient="portrait"/>
          <w:cols w:equalWidth="0" w:num="1">
            <w:col w:w="11400"/>
          </w:cols>
          <w:pgMar w:left="240" w:top="337" w:right="259" w:bottom="180" w:gutter="0" w:footer="0" w:header="0"/>
        </w:sectPr>
      </w:pPr>
    </w:p>
    <w:bookmarkStart w:id="82" w:name="page83"/>
    <w:bookmarkEnd w:id="82"/>
    <w:p>
      <w:pPr>
        <w:ind w:right="300" w:firstLine="648"/>
        <w:spacing w:after="0" w:line="277" w:lineRule="auto"/>
        <w:rPr>
          <w:sz w:val="20"/>
          <w:szCs w:val="20"/>
          <w:color w:val="auto"/>
        </w:rPr>
      </w:pPr>
      <w:r>
        <w:rPr>
          <w:rFonts w:ascii="Arial" w:cs="Arial" w:eastAsia="Arial" w:hAnsi="Arial"/>
          <w:sz w:val="18"/>
          <w:szCs w:val="18"/>
          <w:color w:val="auto"/>
        </w:rPr>
        <w:t>I, , the of the Company, hereby certify that has been duly elected, has been duly qualified and this day is the Secretary of the Company and that the signature set forth above is his genuine signature.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I have signed my name as of the date first set forth above.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-130810</wp:posOffset>
            </wp:positionV>
            <wp:extent cx="34302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5715</wp:posOffset>
            </wp:positionV>
            <wp:extent cx="288163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-130810</wp:posOffset>
            </wp:positionV>
            <wp:extent cx="288163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8163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INCORPORATION OF THE COMPANY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BY-LAWS OF THE COMPANY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RESOLUTIONS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LIST OF OFFICERS OF THE COMPANY</w:t>
      </w:r>
    </w:p>
    <w:p>
      <w:pPr>
        <w:spacing w:after="0" w:line="208" w:lineRule="exact"/>
        <w:rPr>
          <w:sz w:val="20"/>
          <w:szCs w:val="20"/>
          <w:color w:val="auto"/>
        </w:rPr>
      </w:pPr>
    </w:p>
    <w:p>
      <w:pPr>
        <w:spacing w:after="0"/>
        <w:tabs>
          <w:tab w:leader="none" w:pos="5460" w:val="left"/>
          <w:tab w:leader="none" w:pos="92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4"/>
          <w:szCs w:val="14"/>
          <w:b w:val="1"/>
          <w:bCs w:val="1"/>
          <w:color w:val="auto"/>
        </w:rPr>
        <w:t>Position</w:t>
      </w:r>
      <w:r>
        <w:rPr>
          <w:sz w:val="20"/>
          <w:szCs w:val="20"/>
          <w:color w:val="auto"/>
        </w:rPr>
        <w:tab/>
      </w:r>
      <w:r>
        <w:rPr>
          <w:rFonts w:ascii="Arial" w:cs="Arial" w:eastAsia="Arial" w:hAnsi="Arial"/>
          <w:sz w:val="13"/>
          <w:szCs w:val="13"/>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748665</wp:posOffset>
            </wp:positionV>
            <wp:extent cx="231521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602615</wp:posOffset>
            </wp:positionV>
            <wp:extent cx="231521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456565</wp:posOffset>
            </wp:positionV>
            <wp:extent cx="231521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311150</wp:posOffset>
            </wp:positionV>
            <wp:extent cx="231521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960755</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OFFICER’S CERTIFICATE OF SUBSIDIARY GUARANTORS</w:t>
      </w:r>
    </w:p>
    <w:p>
      <w:pPr>
        <w:spacing w:after="0" w:line="225" w:lineRule="exact"/>
        <w:rPr>
          <w:sz w:val="20"/>
          <w:szCs w:val="20"/>
          <w:color w:val="auto"/>
        </w:rPr>
      </w:pPr>
    </w:p>
    <w:p>
      <w:pPr>
        <w:jc w:val="center"/>
        <w:spacing w:after="0"/>
        <w:tabs>
          <w:tab w:leader="none" w:pos="480" w:val="left"/>
        </w:tabs>
        <w:rPr>
          <w:sz w:val="20"/>
          <w:szCs w:val="20"/>
          <w:color w:val="auto"/>
        </w:rPr>
      </w:pPr>
      <w:r>
        <w:rPr>
          <w:rFonts w:ascii="Arial" w:cs="Arial" w:eastAsia="Arial" w:hAnsi="Arial"/>
          <w:sz w:val="18"/>
          <w:szCs w:val="18"/>
          <w:b w:val="1"/>
          <w:bCs w:val="1"/>
          <w:color w:val="auto"/>
        </w:rPr>
        <w:t>CERTIFICATE OF SECRETARY OF [</w:t>
      </w:r>
      <w:r>
        <w:rPr>
          <w:sz w:val="20"/>
          <w:szCs w:val="20"/>
          <w:color w:val="auto"/>
        </w:rPr>
        <w:tab/>
      </w:r>
      <w:r>
        <w:rPr>
          <w:rFonts w:ascii="Arial" w:cs="Arial" w:eastAsia="Arial" w:hAnsi="Arial"/>
          <w:sz w:val="18"/>
          <w:szCs w:val="18"/>
          <w:b w:val="1"/>
          <w:bCs w:val="1"/>
          <w:color w:val="auto"/>
        </w:rPr>
        <w:t>]</w:t>
      </w:r>
    </w:p>
    <w:p>
      <w:pPr>
        <w:sectPr>
          <w:pgSz w:w="11900" w:h="16838" w:orient="portrait"/>
          <w:cols w:equalWidth="0" w:num="1">
            <w:col w:w="11420"/>
          </w:cols>
          <w:pgMar w:left="240" w:top="125" w:right="239" w:bottom="0" w:gutter="0" w:footer="0" w:header="0"/>
        </w:sectPr>
      </w:pPr>
    </w:p>
    <w:p>
      <w:pPr>
        <w:spacing w:after="0" w:line="229"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DATED AS OF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20 ]</w:t>
      </w:r>
    </w:p>
    <w:p>
      <w:pPr>
        <w:spacing w:after="0" w:line="200" w:lineRule="exact"/>
        <w:rPr>
          <w:sz w:val="20"/>
          <w:szCs w:val="20"/>
          <w:color w:val="auto"/>
        </w:rPr>
      </w:pPr>
    </w:p>
    <w:p>
      <w:pPr>
        <w:sectPr>
          <w:pgSz w:w="11900" w:h="16838" w:orient="portrait"/>
          <w:cols w:equalWidth="0" w:num="2">
            <w:col w:w="5920" w:space="400"/>
            <w:col w:w="5100"/>
          </w:cols>
          <w:pgMar w:left="240" w:top="125" w:right="239" w:bottom="0" w:gutter="0" w:footer="0" w:header="0"/>
          <w:type w:val="continuous"/>
        </w:sectPr>
      </w:pPr>
    </w:p>
    <w:p>
      <w:pPr>
        <w:spacing w:after="0" w:line="25" w:lineRule="exact"/>
        <w:rPr>
          <w:sz w:val="20"/>
          <w:szCs w:val="20"/>
          <w:color w:val="auto"/>
        </w:rPr>
      </w:pPr>
    </w:p>
    <w:p>
      <w:pPr>
        <w:ind w:left="660"/>
        <w:spacing w:after="0"/>
        <w:tabs>
          <w:tab w:leader="none" w:pos="1600" w:val="left"/>
          <w:tab w:leader="none" w:pos="3120" w:val="left"/>
          <w:tab w:leader="none" w:pos="390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 Secretary of [</w:t>
      </w:r>
      <w:r>
        <w:rPr>
          <w:sz w:val="20"/>
          <w:szCs w:val="20"/>
          <w:color w:val="auto"/>
        </w:rPr>
        <w:tab/>
      </w:r>
      <w:r>
        <w:rPr>
          <w:rFonts w:ascii="Arial" w:cs="Arial" w:eastAsia="Arial" w:hAnsi="Arial"/>
          <w:sz w:val="18"/>
          <w:szCs w:val="18"/>
          <w:color w:val="auto"/>
        </w:rPr>
        <w:t>], a [</w:t>
      </w:r>
      <w:r>
        <w:rPr>
          <w:sz w:val="20"/>
          <w:szCs w:val="20"/>
          <w:color w:val="auto"/>
        </w:rPr>
        <w:tab/>
      </w:r>
      <w:r>
        <w:rPr>
          <w:rFonts w:ascii="Arial" w:cs="Arial" w:eastAsia="Arial" w:hAnsi="Arial"/>
          <w:sz w:val="16"/>
          <w:szCs w:val="16"/>
          <w:color w:val="auto"/>
        </w:rPr>
        <w:t xml:space="preserve">], (the </w:t>
      </w:r>
      <w:r>
        <w:rPr>
          <w:rFonts w:ascii="Arial" w:cs="Arial" w:eastAsia="Arial" w:hAnsi="Arial"/>
          <w:sz w:val="16"/>
          <w:szCs w:val="16"/>
          <w:i w:val="1"/>
          <w:iCs w:val="1"/>
          <w:color w:val="auto"/>
        </w:rPr>
        <w:t>“Company”</w:t>
      </w:r>
      <w:r>
        <w:rPr>
          <w:rFonts w:ascii="Arial" w:cs="Arial" w:eastAsia="Arial" w:hAnsi="Arial"/>
          <w:sz w:val="16"/>
          <w:szCs w:val="16"/>
          <w:color w:val="auto"/>
        </w:rPr>
        <w:t>), do hereby certify, in my capacity as Secretary of the Company and on behalf of the</w:t>
      </w:r>
    </w:p>
    <w:p>
      <w:pPr>
        <w:sectPr>
          <w:pgSz w:w="11900" w:h="16838" w:orient="portrait"/>
          <w:cols w:equalWidth="0" w:num="1">
            <w:col w:w="11420"/>
          </w:cols>
          <w:pgMar w:left="240" w:top="125" w:right="239" w:bottom="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and not in any personal capacity, that as of the date hereof::</w:t>
      </w:r>
    </w:p>
    <w:p>
      <w:pPr>
        <w:spacing w:after="0" w:line="211" w:lineRule="exact"/>
        <w:rPr>
          <w:sz w:val="20"/>
          <w:szCs w:val="20"/>
          <w:color w:val="auto"/>
        </w:rPr>
      </w:pPr>
    </w:p>
    <w:p>
      <w:pPr>
        <w:ind w:left="2000" w:hanging="504"/>
        <w:spacing w:after="0"/>
        <w:tabs>
          <w:tab w:leader="none" w:pos="200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i w:val="1"/>
          <w:iCs w:val="1"/>
          <w:color w:val="auto"/>
        </w:rPr>
        <w:t>Exhibit A</w:t>
      </w:r>
      <w:r>
        <w:rPr>
          <w:rFonts w:ascii="Arial" w:cs="Arial" w:eastAsia="Arial" w:hAnsi="Arial"/>
          <w:sz w:val="16"/>
          <w:szCs w:val="16"/>
          <w:color w:val="auto"/>
        </w:rPr>
        <w:t xml:space="preserve"> is a true, correct and complete copy of the [Certificate/Articles of Formation/Incorporation] of the</w:t>
      </w:r>
    </w:p>
    <w:p>
      <w:pPr>
        <w:spacing w:after="0" w:line="46" w:lineRule="exact"/>
        <w:rPr>
          <w:sz w:val="20"/>
          <w:szCs w:val="20"/>
          <w:color w:val="auto"/>
        </w:rPr>
      </w:pPr>
    </w:p>
    <w:p>
      <w:pPr>
        <w:ind w:left="660" w:right="40"/>
        <w:spacing w:after="0" w:line="281" w:lineRule="auto"/>
        <w:rPr>
          <w:sz w:val="20"/>
          <w:szCs w:val="20"/>
          <w:color w:val="auto"/>
        </w:rPr>
      </w:pPr>
      <w:r>
        <w:rPr>
          <w:rFonts w:ascii="Arial" w:cs="Arial" w:eastAsia="Arial" w:hAnsi="Arial"/>
          <w:sz w:val="16"/>
          <w:szCs w:val="16"/>
          <w:color w:val="auto"/>
        </w:rPr>
        <w:t xml:space="preserve">Company (the </w:t>
      </w:r>
      <w:r>
        <w:rPr>
          <w:rFonts w:ascii="Arial" w:cs="Arial" w:eastAsia="Arial" w:hAnsi="Arial"/>
          <w:sz w:val="16"/>
          <w:szCs w:val="16"/>
          <w:i w:val="1"/>
          <w:iCs w:val="1"/>
          <w:color w:val="auto"/>
        </w:rPr>
        <w:t>“[Certificate of Incorporation]”</w:t>
      </w:r>
      <w:r>
        <w:rPr>
          <w:rFonts w:ascii="Arial" w:cs="Arial" w:eastAsia="Arial" w:hAnsi="Arial"/>
          <w:sz w:val="16"/>
          <w:szCs w:val="16"/>
          <w:color w:val="auto"/>
        </w:rPr>
        <w:t>), as certified by the Secretary of State of the State of [ ], as in effect on the date hereof. No amendment, restatement or other modification to the [Certificate of Incorporation] has been filed in the office of the Secretary of State of the State of</w:t>
      </w:r>
    </w:p>
    <w:p>
      <w:pPr>
        <w:spacing w:after="0" w:line="1" w:lineRule="exact"/>
        <w:rPr>
          <w:sz w:val="20"/>
          <w:szCs w:val="20"/>
          <w:color w:val="auto"/>
        </w:rPr>
      </w:pPr>
    </w:p>
    <w:p>
      <w:pPr>
        <w:ind w:left="980" w:hanging="324"/>
        <w:spacing w:after="0"/>
        <w:tabs>
          <w:tab w:leader="none" w:pos="9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 since the date of such certification by the Secretary of State of the State of Delaware as set forth in </w:t>
      </w:r>
      <w:r>
        <w:rPr>
          <w:rFonts w:ascii="Arial" w:cs="Arial" w:eastAsia="Arial" w:hAnsi="Arial"/>
          <w:sz w:val="18"/>
          <w:szCs w:val="18"/>
          <w:i w:val="1"/>
          <w:iCs w:val="1"/>
          <w:color w:val="auto"/>
        </w:rPr>
        <w:t>Exhibit A</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660" w:right="200" w:firstLine="836"/>
        <w:spacing w:after="0" w:line="264" w:lineRule="auto"/>
        <w:tabs>
          <w:tab w:leader="none" w:pos="1995" w:val="left"/>
        </w:tabs>
        <w:numPr>
          <w:ilvl w:val="1"/>
          <w:numId w:val="187"/>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i w:val="1"/>
          <w:iCs w:val="1"/>
          <w:color w:val="auto"/>
        </w:rPr>
        <w:t>Exhibit B</w:t>
      </w:r>
      <w:r>
        <w:rPr>
          <w:rFonts w:ascii="Arial" w:cs="Arial" w:eastAsia="Arial" w:hAnsi="Arial"/>
          <w:sz w:val="18"/>
          <w:szCs w:val="18"/>
          <w:color w:val="auto"/>
        </w:rPr>
        <w:t xml:space="preserve"> is a true and complete copy of the [By-Laws/LLC Agreement] of the Company, as in full force and effect at the date on which the resolutions described in paragraph 3 below were adopted for the Company and at all subsequent times to and including the date hereof.</w:t>
      </w:r>
    </w:p>
    <w:p>
      <w:pPr>
        <w:spacing w:after="0" w:line="181" w:lineRule="exact"/>
        <w:rPr>
          <w:sz w:val="20"/>
          <w:szCs w:val="20"/>
          <w:color w:val="auto"/>
        </w:rPr>
      </w:pPr>
    </w:p>
    <w:p>
      <w:pPr>
        <w:ind w:left="660"/>
        <w:spacing w:after="0"/>
        <w:tabs>
          <w:tab w:leader="none" w:pos="4100" w:val="left"/>
          <w:tab w:leader="none" w:pos="4420" w:val="left"/>
        </w:tabs>
        <w:rPr>
          <w:sz w:val="20"/>
          <w:szCs w:val="20"/>
          <w:color w:val="auto"/>
        </w:rPr>
      </w:pPr>
      <w:r>
        <w:rPr>
          <w:rFonts w:ascii="Arial" w:cs="Arial" w:eastAsia="Arial" w:hAnsi="Arial"/>
          <w:sz w:val="18"/>
          <w:szCs w:val="18"/>
          <w:color w:val="auto"/>
        </w:rPr>
        <w:t>as in full force and effect at all times since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to and including the date hereof.</w:t>
      </w:r>
    </w:p>
    <w:p>
      <w:pPr>
        <w:spacing w:after="0" w:line="225" w:lineRule="exact"/>
        <w:rPr>
          <w:sz w:val="20"/>
          <w:szCs w:val="20"/>
          <w:color w:val="auto"/>
        </w:rPr>
      </w:pPr>
    </w:p>
    <w:p>
      <w:pPr>
        <w:ind w:left="660" w:right="100" w:firstLine="836"/>
        <w:spacing w:after="0" w:line="312" w:lineRule="auto"/>
        <w:tabs>
          <w:tab w:leader="none" w:pos="1995"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i w:val="1"/>
          <w:iCs w:val="1"/>
          <w:color w:val="auto"/>
        </w:rPr>
        <w:t>Exhibit C</w:t>
      </w:r>
      <w:r>
        <w:rPr>
          <w:rFonts w:ascii="Arial" w:cs="Arial" w:eastAsia="Arial" w:hAnsi="Arial"/>
          <w:sz w:val="16"/>
          <w:szCs w:val="16"/>
          <w:color w:val="auto"/>
        </w:rPr>
        <w:t xml:space="preserve"> is a true and complete copy of resolutions duly adopted by the [Board of Directors/Managers] of the Company at a duly called meeting at which a quorum was acting throughout or by requisite written consent, authorizing, among other things, the participation by the Company in the financing transactions contemplated by the Participation Agreement (as defined below), and such resolutions</w:t>
      </w:r>
    </w:p>
    <w:p>
      <w:pPr>
        <w:sectPr>
          <w:pgSz w:w="11900" w:h="16838" w:orient="portrait"/>
          <w:cols w:equalWidth="0" w:num="1">
            <w:col w:w="11420"/>
          </w:cols>
          <w:pgMar w:left="240" w:top="125" w:right="239" w:bottom="0" w:gutter="0" w:footer="0" w:header="0"/>
          <w:type w:val="continuous"/>
        </w:sectPr>
      </w:pPr>
    </w:p>
    <w:bookmarkStart w:id="83" w:name="page84"/>
    <w:bookmarkEnd w:id="83"/>
    <w:p>
      <w:pPr>
        <w:ind w:left="660" w:right="160"/>
        <w:spacing w:after="0" w:line="264" w:lineRule="auto"/>
        <w:rPr>
          <w:sz w:val="20"/>
          <w:szCs w:val="20"/>
          <w:color w:val="auto"/>
        </w:rPr>
      </w:pPr>
      <w:r>
        <w:rPr>
          <w:rFonts w:ascii="Arial" w:cs="Arial" w:eastAsia="Arial" w:hAnsi="Arial"/>
          <w:sz w:val="18"/>
          <w:szCs w:val="18"/>
          <w:color w:val="auto"/>
        </w:rPr>
        <w:t>have not in any way been amended, modified, revoked, rescinded or superseded and have been in full force and effect since their adoption to and including the date hereof and are now in full force and effect; and such resolutions are the only resolutions of the [Board of Directors/Managers] of the Company now in force relating to or affecting the matters referenced therein.</w:t>
      </w:r>
    </w:p>
    <w:p>
      <w:pPr>
        <w:spacing w:after="0" w:line="181" w:lineRule="exact"/>
        <w:rPr>
          <w:sz w:val="20"/>
          <w:szCs w:val="20"/>
          <w:color w:val="auto"/>
        </w:rPr>
      </w:pPr>
    </w:p>
    <w:p>
      <w:pPr>
        <w:ind w:left="660" w:right="140" w:firstLine="836"/>
        <w:spacing w:after="0" w:line="259" w:lineRule="auto"/>
        <w:tabs>
          <w:tab w:leader="none" w:pos="199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Attached hereto as </w:t>
      </w:r>
      <w:r>
        <w:rPr>
          <w:rFonts w:ascii="Arial" w:cs="Arial" w:eastAsia="Arial" w:hAnsi="Arial"/>
          <w:sz w:val="18"/>
          <w:szCs w:val="18"/>
          <w:i w:val="1"/>
          <w:iCs w:val="1"/>
          <w:color w:val="auto"/>
        </w:rPr>
        <w:t>Exhibit D</w:t>
      </w:r>
      <w:r>
        <w:rPr>
          <w:rFonts w:ascii="Arial" w:cs="Arial" w:eastAsia="Arial" w:hAnsi="Arial"/>
          <w:sz w:val="18"/>
          <w:szCs w:val="18"/>
          <w:color w:val="auto"/>
        </w:rPr>
        <w:t xml:space="preserve"> is a list of the officers of the Company, all of whom have been duly elected or appointed, have duly qualified and on this day are officers of the Company holding the respective offices indicated, authorized to execute and deliver each of the Operative Documents to which the Company is a party and any additional documents contemplated thereby, and the signatures set opposite such officers’ names are their genuine signatures.</w:t>
      </w:r>
    </w:p>
    <w:p>
      <w:pPr>
        <w:spacing w:after="0" w:line="186" w:lineRule="exact"/>
        <w:rPr>
          <w:rFonts w:ascii="Arial" w:cs="Arial" w:eastAsia="Arial" w:hAnsi="Arial"/>
          <w:sz w:val="18"/>
          <w:szCs w:val="18"/>
          <w:color w:val="auto"/>
        </w:rPr>
      </w:pPr>
    </w:p>
    <w:p>
      <w:pPr>
        <w:ind w:left="660" w:right="100" w:firstLine="836"/>
        <w:spacing w:after="0" w:line="277" w:lineRule="auto"/>
        <w:tabs>
          <w:tab w:leader="none" w:pos="199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 No procedures have been instituted for, and no other event has occurred, including, without limitation, any action taken by the Company, its Board of Managers or its members, that would result in the liquidation, dissolution or winding-up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F-3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Participation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of the Company, (ii) no event has occurred that has adversely affected the full force and effect status of the Company under the laws of its jurisdiction of formation, and the Company has taken all actions required by the laws of its jurisdiction of formation to maintain such full force and effect status and (iii) no grounds exist for the revocation or forfeiture of the Certificate of Formation.</w:t>
      </w:r>
    </w:p>
    <w:p>
      <w:pPr>
        <w:spacing w:after="0" w:line="181" w:lineRule="exact"/>
        <w:rPr>
          <w:sz w:val="20"/>
          <w:szCs w:val="20"/>
          <w:color w:val="auto"/>
        </w:rPr>
      </w:pPr>
    </w:p>
    <w:p>
      <w:pPr>
        <w:ind w:left="2000" w:hanging="504"/>
        <w:spacing w:after="0"/>
        <w:tabs>
          <w:tab w:leader="none" w:pos="20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[Add other applicable information as necessary.]</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This certificate is delivered in connection with the Participation Agreement dated as of March 3, 2017 among OLD SAW MILL HOLDINGS LLC, as Lessee, BA LEASING BSC, LLC, a Delaware limited liability company, as Lessor, BANK OF AMERICA, N.A., not in its individual capacity, except as expressly stated herein, but solely as Administrative Agent, and the financial institutions listed on Schedule II thereto (the “</w:t>
      </w:r>
      <w:r>
        <w:rPr>
          <w:rFonts w:ascii="Arial" w:cs="Arial" w:eastAsia="Arial" w:hAnsi="Arial"/>
          <w:sz w:val="17"/>
          <w:szCs w:val="17"/>
          <w:i w:val="1"/>
          <w:iCs w:val="1"/>
          <w:color w:val="auto"/>
        </w:rPr>
        <w:t>Participation Agreement</w:t>
      </w:r>
      <w:r>
        <w:rPr>
          <w:rFonts w:ascii="Arial" w:cs="Arial" w:eastAsia="Arial" w:hAnsi="Arial"/>
          <w:sz w:val="17"/>
          <w:szCs w:val="17"/>
          <w:color w:val="auto"/>
        </w:rPr>
        <w:t>”). Terms used herein, but not defined, shall have the meanings ascribed to them in Appendix 1 to the Participation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I have signed my name as of the date first set forth above.</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-130810</wp:posOffset>
            </wp:positionV>
            <wp:extent cx="295846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 , the of the Company, hereby certify that has been duly elected, has been duly qualified and this day is the Secretary of the Company and that the signature set forth above is his genuine signature.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I have signed my name as of the date first set forth above.</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5715</wp:posOffset>
            </wp:positionV>
            <wp:extent cx="295846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958465"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-130810</wp:posOffset>
            </wp:positionV>
            <wp:extent cx="295846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9584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[CERTIFICATE/ARTICLES OF FORMATION/INCORPORATION] OF THE COMPANY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[BY-LAWS/LLC AGREEMENT] OF THE COMPANY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RESOLUTIONS OF THE [BOARD OF DIRECTORS/MANAGERS]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OFFICERS OF THE COMPANY</w:t>
      </w:r>
    </w:p>
    <w:p>
      <w:pPr>
        <w:spacing w:after="0" w:line="221" w:lineRule="exact"/>
        <w:rPr>
          <w:sz w:val="20"/>
          <w:szCs w:val="20"/>
          <w:color w:val="auto"/>
        </w:rPr>
      </w:pPr>
    </w:p>
    <w:p>
      <w:pPr>
        <w:ind w:left="460"/>
        <w:spacing w:after="0"/>
        <w:tabs>
          <w:tab w:leader="none" w:pos="4260" w:val="left"/>
          <w:tab w:leader="none" w:pos="808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Position</w:t>
      </w:r>
      <w:r>
        <w:rPr>
          <w:sz w:val="20"/>
          <w:szCs w:val="20"/>
          <w:color w:val="auto"/>
        </w:rPr>
        <w:tab/>
      </w:r>
      <w:r>
        <w:rPr>
          <w:rFonts w:ascii="Arial" w:cs="Arial" w:eastAsia="Arial" w:hAnsi="Arial"/>
          <w:sz w:val="13"/>
          <w:szCs w:val="13"/>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727075</wp:posOffset>
            </wp:positionV>
            <wp:extent cx="231521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581025</wp:posOffset>
            </wp:positionV>
            <wp:extent cx="231521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435610</wp:posOffset>
            </wp:positionV>
            <wp:extent cx="231521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4174490</wp:posOffset>
            </wp:positionH>
            <wp:positionV relativeFrom="paragraph">
              <wp:posOffset>289560</wp:posOffset>
            </wp:positionV>
            <wp:extent cx="231521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6350</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939165</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580" w:right="1440" w:bottom="1440" w:gutter="0" w:footer="0" w:header="0"/>
        </w:sectPr>
      </w:pPr>
    </w:p>
    <w:bookmarkStart w:id="85" w:name="page86"/>
    <w:bookmarkEnd w:id="85"/>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Prepared by and Upon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Recording Return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Chapman and Cutler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111 W. Monroe, 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Phillip Edison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LEASE AND REMEDIES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March 3,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OLD SAW MILL HOLDINGS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Lessee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 LEASING BSC,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2017 Lease Financing</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Lease and Remedies Agreement is encumbered by a lien in favor of Bank of America, N.A., as Administrative Agent for the Participants. This Lease and Remedies Agreement has been executed in several counterparts. To the extent, if any, that this Lease and Remedies Agreement constitutes chattel paper (as such term is defined in the Uniform Commercial Code as in effect in any applicable jurisdiction), no lien on this Lease and Remedies Agreement may be created through the transfer or possession of any counterpart other than the original counterpart containing the receipt therefor executed by the Administrative Agent on or following the signature page hereof.</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NAMES OF LESSEE, AS THE DEBTOR, AND LESSOR, AS THE SECURED PARTY, THE MAILING ADDRESS OF THE SECURED PARTY FROM WHICH INFORMATION CONCERNING THE SECURITY INTEREST MAY BE OBTAINED, THE MAILING ADDRESS OF THE DEBTOR AND A STATEMENT INDICATING THE TYPES, OR DESCRIBING THE ITEMS OF COLLATERAL ARE AS DESCRIBED HEREIN, IN COMPLIANCE WITH THE REQUIREMENTS OF ARTICLE 9, SECTION 9-502 OF THE UNIFORM COMMERCIAL CODE OF THE STATE OF NEW YORK.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counterpart is [not] the original counterpart.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SECTION</w:t>
            </w:r>
          </w:p>
        </w:tc>
        <w:tc>
          <w:tcPr>
            <w:tcW w:w="6820" w:type="dxa"/>
            <w:vAlign w:val="bottom"/>
            <w:tcBorders>
              <w:bottom w:val="single" w:sz="8" w:color="auto"/>
            </w:tcBorders>
          </w:tcPr>
          <w:p>
            <w:pPr>
              <w:ind w:left="4080"/>
              <w:spacing w:after="0"/>
              <w:rPr>
                <w:sz w:val="20"/>
                <w:szCs w:val="20"/>
                <w:color w:val="auto"/>
              </w:rPr>
            </w:pPr>
            <w:r>
              <w:rPr>
                <w:rFonts w:ascii="Arial" w:cs="Arial" w:eastAsia="Arial" w:hAnsi="Arial"/>
                <w:sz w:val="14"/>
                <w:szCs w:val="14"/>
                <w:b w:val="1"/>
                <w:bCs w:val="1"/>
                <w:color w:val="auto"/>
              </w:rPr>
              <w:t>HEADING</w:t>
            </w:r>
          </w:p>
        </w:tc>
        <w:tc>
          <w:tcPr>
            <w:tcW w:w="2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PAGE</w:t>
            </w:r>
          </w:p>
        </w:tc>
      </w:tr>
      <w:tr>
        <w:trPr>
          <w:trHeight w:val="426"/>
        </w:trPr>
        <w:tc>
          <w:tcPr>
            <w:tcW w:w="1780" w:type="dxa"/>
            <w:vAlign w:val="bottom"/>
          </w:tcPr>
          <w:p>
            <w:pPr>
              <w:spacing w:after="0"/>
              <w:rPr>
                <w:sz w:val="20"/>
                <w:szCs w:val="20"/>
                <w:color w:val="auto"/>
              </w:rPr>
            </w:pPr>
            <w:r>
              <w:rPr>
                <w:rFonts w:ascii="Arial" w:cs="Arial" w:eastAsia="Arial" w:hAnsi="Arial"/>
                <w:sz w:val="18"/>
                <w:szCs w:val="18"/>
                <w:color w:val="auto"/>
              </w:rPr>
              <w:t>ARTICLE I</w:t>
            </w:r>
          </w:p>
        </w:tc>
        <w:tc>
          <w:tcPr>
            <w:tcW w:w="6820" w:type="dxa"/>
            <w:vAlign w:val="bottom"/>
          </w:tcPr>
          <w:p>
            <w:pPr>
              <w:ind w:left="520"/>
              <w:spacing w:after="0"/>
              <w:rPr>
                <w:sz w:val="20"/>
                <w:szCs w:val="20"/>
                <w:color w:val="auto"/>
              </w:rPr>
            </w:pPr>
            <w:r>
              <w:rPr>
                <w:rFonts w:ascii="Arial" w:cs="Arial" w:eastAsia="Arial" w:hAnsi="Arial"/>
                <w:sz w:val="18"/>
                <w:szCs w:val="18"/>
                <w:color w:val="auto"/>
              </w:rPr>
              <w:t>DEFINITIONS; EFFECTIVENESS</w:t>
            </w:r>
          </w:p>
        </w:tc>
        <w:tc>
          <w:tcPr>
            <w:tcW w:w="2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780" w:type="dxa"/>
            <w:vAlign w:val="bottom"/>
          </w:tcPr>
          <w:p>
            <w:pPr>
              <w:ind w:left="400"/>
              <w:spacing w:after="0"/>
              <w:rPr>
                <w:sz w:val="20"/>
                <w:szCs w:val="20"/>
                <w:color w:val="auto"/>
              </w:rPr>
            </w:pPr>
            <w:r>
              <w:rPr>
                <w:rFonts w:ascii="Arial" w:cs="Arial" w:eastAsia="Arial" w:hAnsi="Arial"/>
                <w:sz w:val="18"/>
                <w:szCs w:val="18"/>
                <w:color w:val="auto"/>
              </w:rPr>
              <w:t>Section 1.1.</w:t>
            </w:r>
          </w:p>
        </w:tc>
        <w:tc>
          <w:tcPr>
            <w:tcW w:w="6820" w:type="dxa"/>
            <w:vAlign w:val="bottom"/>
          </w:tcPr>
          <w:p>
            <w:pPr>
              <w:ind w:left="880"/>
              <w:spacing w:after="0"/>
              <w:rPr>
                <w:sz w:val="20"/>
                <w:szCs w:val="20"/>
                <w:color w:val="auto"/>
              </w:rPr>
            </w:pPr>
            <w:r>
              <w:rPr>
                <w:rFonts w:ascii="Arial" w:cs="Arial" w:eastAsia="Arial" w:hAnsi="Arial"/>
                <w:sz w:val="18"/>
                <w:szCs w:val="18"/>
                <w:color w:val="auto"/>
              </w:rPr>
              <w:t>Definitions; Interpretation</w:t>
            </w:r>
          </w:p>
        </w:tc>
        <w:tc>
          <w:tcPr>
            <w:tcW w:w="2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780" w:type="dxa"/>
            <w:vAlign w:val="bottom"/>
          </w:tcPr>
          <w:p>
            <w:pPr>
              <w:spacing w:after="0"/>
              <w:rPr>
                <w:sz w:val="20"/>
                <w:szCs w:val="20"/>
                <w:color w:val="auto"/>
              </w:rPr>
            </w:pPr>
            <w:r>
              <w:rPr>
                <w:rFonts w:ascii="Arial" w:cs="Arial" w:eastAsia="Arial" w:hAnsi="Arial"/>
                <w:sz w:val="18"/>
                <w:szCs w:val="18"/>
                <w:color w:val="auto"/>
              </w:rPr>
              <w:t>ARTICLE II</w:t>
            </w:r>
          </w:p>
        </w:tc>
        <w:tc>
          <w:tcPr>
            <w:tcW w:w="6820" w:type="dxa"/>
            <w:vAlign w:val="bottom"/>
          </w:tcPr>
          <w:p>
            <w:pPr>
              <w:ind w:left="520"/>
              <w:spacing w:after="0"/>
              <w:rPr>
                <w:sz w:val="20"/>
                <w:szCs w:val="20"/>
                <w:color w:val="auto"/>
              </w:rPr>
            </w:pPr>
            <w:r>
              <w:rPr>
                <w:rFonts w:ascii="Arial" w:cs="Arial" w:eastAsia="Arial" w:hAnsi="Arial"/>
                <w:sz w:val="18"/>
                <w:szCs w:val="18"/>
                <w:color w:val="auto"/>
              </w:rPr>
              <w:t>LEASE OF LEASED PROPERTY; TERM</w:t>
            </w:r>
          </w:p>
        </w:tc>
        <w:tc>
          <w:tcPr>
            <w:tcW w:w="2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1780" w:type="dxa"/>
            <w:vAlign w:val="bottom"/>
          </w:tcPr>
          <w:p>
            <w:pPr>
              <w:ind w:left="400"/>
              <w:spacing w:after="0"/>
              <w:rPr>
                <w:sz w:val="20"/>
                <w:szCs w:val="20"/>
                <w:color w:val="auto"/>
              </w:rPr>
            </w:pPr>
            <w:r>
              <w:rPr>
                <w:rFonts w:ascii="Arial" w:cs="Arial" w:eastAsia="Arial" w:hAnsi="Arial"/>
                <w:sz w:val="18"/>
                <w:szCs w:val="18"/>
                <w:color w:val="auto"/>
              </w:rPr>
              <w:t>Section 2.1.</w:t>
            </w:r>
          </w:p>
        </w:tc>
        <w:tc>
          <w:tcPr>
            <w:tcW w:w="6820" w:type="dxa"/>
            <w:vAlign w:val="bottom"/>
          </w:tcPr>
          <w:p>
            <w:pPr>
              <w:ind w:left="880"/>
              <w:spacing w:after="0"/>
              <w:rPr>
                <w:sz w:val="20"/>
                <w:szCs w:val="20"/>
                <w:color w:val="auto"/>
              </w:rPr>
            </w:pPr>
            <w:r>
              <w:rPr>
                <w:rFonts w:ascii="Arial" w:cs="Arial" w:eastAsia="Arial" w:hAnsi="Arial"/>
                <w:sz w:val="18"/>
                <w:szCs w:val="18"/>
                <w:color w:val="auto"/>
              </w:rPr>
              <w:t>Acceptance and Lease of the Leased Property</w:t>
            </w:r>
          </w:p>
        </w:tc>
        <w:tc>
          <w:tcPr>
            <w:tcW w:w="2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780" w:type="dxa"/>
            <w:vAlign w:val="bottom"/>
          </w:tcPr>
          <w:p>
            <w:pPr>
              <w:ind w:left="400"/>
              <w:spacing w:after="0"/>
              <w:rPr>
                <w:sz w:val="20"/>
                <w:szCs w:val="20"/>
                <w:color w:val="auto"/>
              </w:rPr>
            </w:pPr>
            <w:r>
              <w:rPr>
                <w:rFonts w:ascii="Arial" w:cs="Arial" w:eastAsia="Arial" w:hAnsi="Arial"/>
                <w:sz w:val="18"/>
                <w:szCs w:val="18"/>
                <w:color w:val="auto"/>
              </w:rPr>
              <w:t>Section 2.2.</w:t>
            </w:r>
          </w:p>
        </w:tc>
        <w:tc>
          <w:tcPr>
            <w:tcW w:w="6820" w:type="dxa"/>
            <w:vAlign w:val="bottom"/>
          </w:tcPr>
          <w:p>
            <w:pPr>
              <w:ind w:left="880"/>
              <w:spacing w:after="0"/>
              <w:rPr>
                <w:sz w:val="20"/>
                <w:szCs w:val="20"/>
                <w:color w:val="auto"/>
              </w:rPr>
            </w:pPr>
            <w:r>
              <w:rPr>
                <w:rFonts w:ascii="Arial" w:cs="Arial" w:eastAsia="Arial" w:hAnsi="Arial"/>
                <w:sz w:val="18"/>
                <w:szCs w:val="18"/>
                <w:color w:val="auto"/>
              </w:rPr>
              <w:t>Acceptance Procedure</w:t>
            </w:r>
          </w:p>
        </w:tc>
        <w:tc>
          <w:tcPr>
            <w:tcW w:w="2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780" w:type="dxa"/>
            <w:vAlign w:val="bottom"/>
          </w:tcPr>
          <w:p>
            <w:pPr>
              <w:ind w:left="400"/>
              <w:spacing w:after="0"/>
              <w:rPr>
                <w:sz w:val="20"/>
                <w:szCs w:val="20"/>
                <w:color w:val="auto"/>
              </w:rPr>
            </w:pPr>
            <w:r>
              <w:rPr>
                <w:rFonts w:ascii="Arial" w:cs="Arial" w:eastAsia="Arial" w:hAnsi="Arial"/>
                <w:sz w:val="18"/>
                <w:szCs w:val="18"/>
                <w:color w:val="auto"/>
              </w:rPr>
              <w:t>Section 2.3.</w:t>
            </w:r>
          </w:p>
        </w:tc>
        <w:tc>
          <w:tcPr>
            <w:tcW w:w="6820" w:type="dxa"/>
            <w:vAlign w:val="bottom"/>
          </w:tcPr>
          <w:p>
            <w:pPr>
              <w:ind w:left="880"/>
              <w:spacing w:after="0"/>
              <w:rPr>
                <w:sz w:val="20"/>
                <w:szCs w:val="20"/>
                <w:color w:val="auto"/>
              </w:rPr>
            </w:pPr>
            <w:r>
              <w:rPr>
                <w:rFonts w:ascii="Arial" w:cs="Arial" w:eastAsia="Arial" w:hAnsi="Arial"/>
                <w:sz w:val="18"/>
                <w:szCs w:val="18"/>
                <w:color w:val="auto"/>
              </w:rPr>
              <w:t>Term</w:t>
            </w:r>
          </w:p>
        </w:tc>
        <w:tc>
          <w:tcPr>
            <w:tcW w:w="2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1780" w:type="dxa"/>
            <w:vAlign w:val="bottom"/>
          </w:tcPr>
          <w:p>
            <w:pPr>
              <w:ind w:left="400"/>
              <w:spacing w:after="0"/>
              <w:rPr>
                <w:sz w:val="20"/>
                <w:szCs w:val="20"/>
                <w:color w:val="auto"/>
              </w:rPr>
            </w:pPr>
            <w:r>
              <w:rPr>
                <w:rFonts w:ascii="Arial" w:cs="Arial" w:eastAsia="Arial" w:hAnsi="Arial"/>
                <w:sz w:val="18"/>
                <w:szCs w:val="18"/>
                <w:color w:val="auto"/>
              </w:rPr>
              <w:t>Section 2.4.</w:t>
            </w:r>
          </w:p>
        </w:tc>
        <w:tc>
          <w:tcPr>
            <w:tcW w:w="6820" w:type="dxa"/>
            <w:vAlign w:val="bottom"/>
          </w:tcPr>
          <w:p>
            <w:pPr>
              <w:ind w:left="880"/>
              <w:spacing w:after="0"/>
              <w:rPr>
                <w:sz w:val="20"/>
                <w:szCs w:val="20"/>
                <w:color w:val="auto"/>
              </w:rPr>
            </w:pPr>
            <w:r>
              <w:rPr>
                <w:rFonts w:ascii="Arial" w:cs="Arial" w:eastAsia="Arial" w:hAnsi="Arial"/>
                <w:sz w:val="18"/>
                <w:szCs w:val="18"/>
                <w:color w:val="auto"/>
              </w:rPr>
              <w:t>Title</w:t>
            </w:r>
          </w:p>
        </w:tc>
        <w:tc>
          <w:tcPr>
            <w:tcW w:w="2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1780" w:type="dxa"/>
            <w:vAlign w:val="bottom"/>
          </w:tcPr>
          <w:p>
            <w:pPr>
              <w:spacing w:after="0"/>
              <w:rPr>
                <w:sz w:val="20"/>
                <w:szCs w:val="20"/>
                <w:color w:val="auto"/>
              </w:rPr>
            </w:pPr>
            <w:r>
              <w:rPr>
                <w:rFonts w:ascii="Arial" w:cs="Arial" w:eastAsia="Arial" w:hAnsi="Arial"/>
                <w:sz w:val="18"/>
                <w:szCs w:val="18"/>
                <w:color w:val="auto"/>
              </w:rPr>
              <w:t>ARTICLE III</w:t>
            </w:r>
          </w:p>
        </w:tc>
        <w:tc>
          <w:tcPr>
            <w:tcW w:w="6820" w:type="dxa"/>
            <w:vAlign w:val="bottom"/>
          </w:tcPr>
          <w:p>
            <w:pPr>
              <w:ind w:left="520"/>
              <w:spacing w:after="0"/>
              <w:rPr>
                <w:sz w:val="20"/>
                <w:szCs w:val="20"/>
                <w:color w:val="auto"/>
              </w:rPr>
            </w:pPr>
            <w:r>
              <w:rPr>
                <w:rFonts w:ascii="Arial" w:cs="Arial" w:eastAsia="Arial" w:hAnsi="Arial"/>
                <w:sz w:val="18"/>
                <w:szCs w:val="18"/>
                <w:color w:val="auto"/>
              </w:rPr>
              <w:t>PAYMENT OF RENT</w:t>
            </w:r>
          </w:p>
        </w:tc>
        <w:tc>
          <w:tcPr>
            <w:tcW w:w="2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8"/>
        </w:trPr>
        <w:tc>
          <w:tcPr>
            <w:tcW w:w="1780" w:type="dxa"/>
            <w:vAlign w:val="bottom"/>
          </w:tcPr>
          <w:p>
            <w:pPr>
              <w:ind w:left="400"/>
              <w:spacing w:after="0"/>
              <w:rPr>
                <w:sz w:val="20"/>
                <w:szCs w:val="20"/>
                <w:color w:val="auto"/>
              </w:rPr>
            </w:pPr>
            <w:r>
              <w:rPr>
                <w:rFonts w:ascii="Arial" w:cs="Arial" w:eastAsia="Arial" w:hAnsi="Arial"/>
                <w:sz w:val="18"/>
                <w:szCs w:val="18"/>
                <w:color w:val="auto"/>
              </w:rPr>
              <w:t>Section 3.1.</w:t>
            </w:r>
          </w:p>
        </w:tc>
        <w:tc>
          <w:tcPr>
            <w:tcW w:w="6820" w:type="dxa"/>
            <w:vAlign w:val="bottom"/>
          </w:tcPr>
          <w:p>
            <w:pPr>
              <w:ind w:left="880"/>
              <w:spacing w:after="0"/>
              <w:rPr>
                <w:sz w:val="20"/>
                <w:szCs w:val="20"/>
                <w:color w:val="auto"/>
              </w:rPr>
            </w:pPr>
            <w:r>
              <w:rPr>
                <w:rFonts w:ascii="Arial" w:cs="Arial" w:eastAsia="Arial" w:hAnsi="Arial"/>
                <w:sz w:val="18"/>
                <w:szCs w:val="18"/>
                <w:color w:val="auto"/>
              </w:rPr>
              <w:t>Rent</w:t>
            </w:r>
          </w:p>
        </w:tc>
        <w:tc>
          <w:tcPr>
            <w:tcW w:w="2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780" w:type="dxa"/>
            <w:vAlign w:val="bottom"/>
          </w:tcPr>
          <w:p>
            <w:pPr>
              <w:ind w:left="400"/>
              <w:spacing w:after="0"/>
              <w:rPr>
                <w:sz w:val="20"/>
                <w:szCs w:val="20"/>
                <w:color w:val="auto"/>
              </w:rPr>
            </w:pPr>
            <w:r>
              <w:rPr>
                <w:rFonts w:ascii="Arial" w:cs="Arial" w:eastAsia="Arial" w:hAnsi="Arial"/>
                <w:sz w:val="18"/>
                <w:szCs w:val="18"/>
                <w:color w:val="auto"/>
              </w:rPr>
              <w:t>Section 3.2.</w:t>
            </w:r>
          </w:p>
        </w:tc>
        <w:tc>
          <w:tcPr>
            <w:tcW w:w="6820" w:type="dxa"/>
            <w:vAlign w:val="bottom"/>
          </w:tcPr>
          <w:p>
            <w:pPr>
              <w:ind w:left="880"/>
              <w:spacing w:after="0"/>
              <w:rPr>
                <w:sz w:val="20"/>
                <w:szCs w:val="20"/>
                <w:color w:val="auto"/>
              </w:rPr>
            </w:pPr>
            <w:r>
              <w:rPr>
                <w:rFonts w:ascii="Arial" w:cs="Arial" w:eastAsia="Arial" w:hAnsi="Arial"/>
                <w:sz w:val="18"/>
                <w:szCs w:val="18"/>
                <w:color w:val="auto"/>
              </w:rPr>
              <w:t>Payment of Basic Rent</w:t>
            </w:r>
          </w:p>
        </w:tc>
        <w:tc>
          <w:tcPr>
            <w:tcW w:w="2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780" w:type="dxa"/>
            <w:vAlign w:val="bottom"/>
          </w:tcPr>
          <w:p>
            <w:pPr>
              <w:ind w:left="400"/>
              <w:spacing w:after="0"/>
              <w:rPr>
                <w:sz w:val="20"/>
                <w:szCs w:val="20"/>
                <w:color w:val="auto"/>
              </w:rPr>
            </w:pPr>
            <w:r>
              <w:rPr>
                <w:rFonts w:ascii="Arial" w:cs="Arial" w:eastAsia="Arial" w:hAnsi="Arial"/>
                <w:sz w:val="18"/>
                <w:szCs w:val="18"/>
                <w:color w:val="auto"/>
              </w:rPr>
              <w:t>Section 3.3.</w:t>
            </w:r>
          </w:p>
        </w:tc>
        <w:tc>
          <w:tcPr>
            <w:tcW w:w="6820" w:type="dxa"/>
            <w:vAlign w:val="bottom"/>
          </w:tcPr>
          <w:p>
            <w:pPr>
              <w:ind w:left="880"/>
              <w:spacing w:after="0"/>
              <w:rPr>
                <w:sz w:val="20"/>
                <w:szCs w:val="20"/>
                <w:color w:val="auto"/>
              </w:rPr>
            </w:pPr>
            <w:r>
              <w:rPr>
                <w:rFonts w:ascii="Arial" w:cs="Arial" w:eastAsia="Arial" w:hAnsi="Arial"/>
                <w:sz w:val="18"/>
                <w:szCs w:val="18"/>
                <w:color w:val="auto"/>
              </w:rPr>
              <w:t>Supplemental Rent</w:t>
            </w:r>
          </w:p>
        </w:tc>
        <w:tc>
          <w:tcPr>
            <w:tcW w:w="2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1780" w:type="dxa"/>
            <w:vAlign w:val="bottom"/>
          </w:tcPr>
          <w:p>
            <w:pPr>
              <w:ind w:left="400"/>
              <w:spacing w:after="0"/>
              <w:rPr>
                <w:sz w:val="20"/>
                <w:szCs w:val="20"/>
                <w:color w:val="auto"/>
              </w:rPr>
            </w:pPr>
            <w:r>
              <w:rPr>
                <w:rFonts w:ascii="Arial" w:cs="Arial" w:eastAsia="Arial" w:hAnsi="Arial"/>
                <w:sz w:val="18"/>
                <w:szCs w:val="18"/>
                <w:color w:val="auto"/>
              </w:rPr>
              <w:t>Section 3.4.</w:t>
            </w:r>
          </w:p>
        </w:tc>
        <w:tc>
          <w:tcPr>
            <w:tcW w:w="6820" w:type="dxa"/>
            <w:vAlign w:val="bottom"/>
          </w:tcPr>
          <w:p>
            <w:pPr>
              <w:ind w:left="880"/>
              <w:spacing w:after="0"/>
              <w:rPr>
                <w:sz w:val="20"/>
                <w:szCs w:val="20"/>
                <w:color w:val="auto"/>
              </w:rPr>
            </w:pPr>
            <w:r>
              <w:rPr>
                <w:rFonts w:ascii="Arial" w:cs="Arial" w:eastAsia="Arial" w:hAnsi="Arial"/>
                <w:sz w:val="18"/>
                <w:szCs w:val="18"/>
                <w:color w:val="auto"/>
              </w:rPr>
              <w:t>Method of Payment</w:t>
            </w:r>
          </w:p>
        </w:tc>
        <w:tc>
          <w:tcPr>
            <w:tcW w:w="2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780" w:type="dxa"/>
            <w:vAlign w:val="bottom"/>
          </w:tcPr>
          <w:p>
            <w:pPr>
              <w:spacing w:after="0"/>
              <w:rPr>
                <w:sz w:val="20"/>
                <w:szCs w:val="20"/>
                <w:color w:val="auto"/>
              </w:rPr>
            </w:pPr>
            <w:r>
              <w:rPr>
                <w:rFonts w:ascii="Arial" w:cs="Arial" w:eastAsia="Arial" w:hAnsi="Arial"/>
                <w:sz w:val="18"/>
                <w:szCs w:val="18"/>
                <w:color w:val="auto"/>
              </w:rPr>
              <w:t>ARTICLE IV</w:t>
            </w:r>
          </w:p>
        </w:tc>
        <w:tc>
          <w:tcPr>
            <w:tcW w:w="6820" w:type="dxa"/>
            <w:vAlign w:val="bottom"/>
          </w:tcPr>
          <w:p>
            <w:pPr>
              <w:ind w:left="520"/>
              <w:spacing w:after="0"/>
              <w:rPr>
                <w:sz w:val="20"/>
                <w:szCs w:val="20"/>
                <w:color w:val="auto"/>
              </w:rPr>
            </w:pPr>
            <w:r>
              <w:rPr>
                <w:rFonts w:ascii="Arial" w:cs="Arial" w:eastAsia="Arial" w:hAnsi="Arial"/>
                <w:sz w:val="18"/>
                <w:szCs w:val="18"/>
                <w:color w:val="auto"/>
              </w:rPr>
              <w:t>NON-INTERFERENCE; RIGHT TO INSPECT</w:t>
            </w:r>
          </w:p>
        </w:tc>
        <w:tc>
          <w:tcPr>
            <w:tcW w:w="2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8"/>
        </w:trPr>
        <w:tc>
          <w:tcPr>
            <w:tcW w:w="1780" w:type="dxa"/>
            <w:vAlign w:val="bottom"/>
          </w:tcPr>
          <w:p>
            <w:pPr>
              <w:ind w:left="400"/>
              <w:spacing w:after="0"/>
              <w:rPr>
                <w:sz w:val="20"/>
                <w:szCs w:val="20"/>
                <w:color w:val="auto"/>
              </w:rPr>
            </w:pPr>
            <w:r>
              <w:rPr>
                <w:rFonts w:ascii="Arial" w:cs="Arial" w:eastAsia="Arial" w:hAnsi="Arial"/>
                <w:sz w:val="18"/>
                <w:szCs w:val="18"/>
                <w:color w:val="auto"/>
              </w:rPr>
              <w:t>Section 4.1.</w:t>
            </w:r>
          </w:p>
        </w:tc>
        <w:tc>
          <w:tcPr>
            <w:tcW w:w="6820" w:type="dxa"/>
            <w:vAlign w:val="bottom"/>
          </w:tcPr>
          <w:p>
            <w:pPr>
              <w:ind w:left="880"/>
              <w:spacing w:after="0"/>
              <w:rPr>
                <w:sz w:val="20"/>
                <w:szCs w:val="20"/>
                <w:color w:val="auto"/>
              </w:rPr>
            </w:pPr>
            <w:r>
              <w:rPr>
                <w:rFonts w:ascii="Arial" w:cs="Arial" w:eastAsia="Arial" w:hAnsi="Arial"/>
                <w:sz w:val="18"/>
                <w:szCs w:val="18"/>
                <w:color w:val="auto"/>
              </w:rPr>
              <w:t>Non-Interference</w:t>
            </w:r>
          </w:p>
        </w:tc>
        <w:tc>
          <w:tcPr>
            <w:tcW w:w="2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1780" w:type="dxa"/>
            <w:vAlign w:val="bottom"/>
          </w:tcPr>
          <w:p>
            <w:pPr>
              <w:ind w:left="400"/>
              <w:spacing w:after="0"/>
              <w:rPr>
                <w:sz w:val="20"/>
                <w:szCs w:val="20"/>
                <w:color w:val="auto"/>
              </w:rPr>
            </w:pPr>
            <w:r>
              <w:rPr>
                <w:rFonts w:ascii="Arial" w:cs="Arial" w:eastAsia="Arial" w:hAnsi="Arial"/>
                <w:sz w:val="18"/>
                <w:szCs w:val="18"/>
                <w:color w:val="auto"/>
              </w:rPr>
              <w:t>Section 4.2.</w:t>
            </w:r>
          </w:p>
        </w:tc>
        <w:tc>
          <w:tcPr>
            <w:tcW w:w="6820" w:type="dxa"/>
            <w:vAlign w:val="bottom"/>
          </w:tcPr>
          <w:p>
            <w:pPr>
              <w:ind w:left="880"/>
              <w:spacing w:after="0"/>
              <w:rPr>
                <w:sz w:val="20"/>
                <w:szCs w:val="20"/>
                <w:color w:val="auto"/>
              </w:rPr>
            </w:pPr>
            <w:r>
              <w:rPr>
                <w:rFonts w:ascii="Arial" w:cs="Arial" w:eastAsia="Arial" w:hAnsi="Arial"/>
                <w:sz w:val="18"/>
                <w:szCs w:val="18"/>
                <w:color w:val="auto"/>
              </w:rPr>
              <w:t>Inspection and Reports</w:t>
            </w:r>
          </w:p>
        </w:tc>
        <w:tc>
          <w:tcPr>
            <w:tcW w:w="2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780" w:type="dxa"/>
            <w:vAlign w:val="bottom"/>
          </w:tcPr>
          <w:p>
            <w:pPr>
              <w:spacing w:after="0"/>
              <w:rPr>
                <w:sz w:val="20"/>
                <w:szCs w:val="20"/>
                <w:color w:val="auto"/>
              </w:rPr>
            </w:pPr>
            <w:r>
              <w:rPr>
                <w:rFonts w:ascii="Arial" w:cs="Arial" w:eastAsia="Arial" w:hAnsi="Arial"/>
                <w:sz w:val="18"/>
                <w:szCs w:val="18"/>
                <w:color w:val="auto"/>
              </w:rPr>
              <w:t>ARTICLE V</w:t>
            </w:r>
          </w:p>
        </w:tc>
        <w:tc>
          <w:tcPr>
            <w:tcW w:w="6820" w:type="dxa"/>
            <w:vAlign w:val="bottom"/>
          </w:tcPr>
          <w:p>
            <w:pPr>
              <w:ind w:left="520"/>
              <w:spacing w:after="0"/>
              <w:rPr>
                <w:sz w:val="20"/>
                <w:szCs w:val="20"/>
                <w:color w:val="auto"/>
              </w:rPr>
            </w:pPr>
            <w:r>
              <w:rPr>
                <w:rFonts w:ascii="Arial" w:cs="Arial" w:eastAsia="Arial" w:hAnsi="Arial"/>
                <w:sz w:val="18"/>
                <w:szCs w:val="18"/>
                <w:color w:val="auto"/>
              </w:rPr>
              <w:t>NET LEASE, ETC.</w:t>
            </w:r>
          </w:p>
        </w:tc>
        <w:tc>
          <w:tcPr>
            <w:tcW w:w="282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43" w:orient="portrait"/>
          <w:cols w:equalWidth="0" w:num="1">
            <w:col w:w="11420"/>
          </w:cols>
          <w:pgMar w:left="240" w:top="121" w:right="239" w:bottom="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ind w:left="400"/>
              <w:spacing w:after="0"/>
              <w:rPr>
                <w:sz w:val="20"/>
                <w:szCs w:val="20"/>
                <w:color w:val="auto"/>
              </w:rPr>
            </w:pPr>
            <w:r>
              <w:rPr>
                <w:rFonts w:ascii="Arial" w:cs="Arial" w:eastAsia="Arial" w:hAnsi="Arial"/>
                <w:sz w:val="18"/>
                <w:szCs w:val="18"/>
                <w:color w:val="auto"/>
              </w:rPr>
              <w:t>Section 5.1.</w:t>
            </w:r>
          </w:p>
        </w:tc>
        <w:tc>
          <w:tcPr>
            <w:tcW w:w="7600" w:type="dxa"/>
            <w:vAlign w:val="bottom"/>
          </w:tcPr>
          <w:p>
            <w:pPr>
              <w:ind w:left="840"/>
              <w:spacing w:after="0"/>
              <w:rPr>
                <w:sz w:val="20"/>
                <w:szCs w:val="20"/>
                <w:color w:val="auto"/>
              </w:rPr>
            </w:pPr>
            <w:r>
              <w:rPr>
                <w:rFonts w:ascii="Arial" w:cs="Arial" w:eastAsia="Arial" w:hAnsi="Arial"/>
                <w:sz w:val="18"/>
                <w:szCs w:val="18"/>
                <w:color w:val="auto"/>
              </w:rPr>
              <w:t>Net Lease</w:t>
            </w:r>
          </w:p>
        </w:tc>
        <w:tc>
          <w:tcPr>
            <w:tcW w:w="2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820" w:type="dxa"/>
            <w:vAlign w:val="bottom"/>
          </w:tcPr>
          <w:p>
            <w:pPr>
              <w:ind w:left="400"/>
              <w:spacing w:after="0"/>
              <w:rPr>
                <w:sz w:val="20"/>
                <w:szCs w:val="20"/>
                <w:color w:val="auto"/>
              </w:rPr>
            </w:pPr>
            <w:r>
              <w:rPr>
                <w:rFonts w:ascii="Arial" w:cs="Arial" w:eastAsia="Arial" w:hAnsi="Arial"/>
                <w:sz w:val="18"/>
                <w:szCs w:val="18"/>
                <w:color w:val="auto"/>
              </w:rPr>
              <w:t>Section 5.2.</w:t>
            </w:r>
          </w:p>
        </w:tc>
        <w:tc>
          <w:tcPr>
            <w:tcW w:w="7600" w:type="dxa"/>
            <w:vAlign w:val="bottom"/>
          </w:tcPr>
          <w:p>
            <w:pPr>
              <w:ind w:left="840"/>
              <w:spacing w:after="0"/>
              <w:rPr>
                <w:sz w:val="20"/>
                <w:szCs w:val="20"/>
                <w:color w:val="auto"/>
              </w:rPr>
            </w:pPr>
            <w:r>
              <w:rPr>
                <w:rFonts w:ascii="Arial" w:cs="Arial" w:eastAsia="Arial" w:hAnsi="Arial"/>
                <w:sz w:val="18"/>
                <w:szCs w:val="18"/>
                <w:color w:val="auto"/>
              </w:rPr>
              <w:t>No Termination or Abatement</w:t>
            </w:r>
          </w:p>
        </w:tc>
        <w:tc>
          <w:tcPr>
            <w:tcW w:w="2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rPr>
              <w:t>ARTICLE VI</w:t>
            </w:r>
          </w:p>
        </w:tc>
        <w:tc>
          <w:tcPr>
            <w:tcW w:w="7600" w:type="dxa"/>
            <w:vAlign w:val="bottom"/>
          </w:tcPr>
          <w:p>
            <w:pPr>
              <w:ind w:left="480"/>
              <w:spacing w:after="0"/>
              <w:rPr>
                <w:sz w:val="20"/>
                <w:szCs w:val="20"/>
                <w:color w:val="auto"/>
              </w:rPr>
            </w:pPr>
            <w:r>
              <w:rPr>
                <w:rFonts w:ascii="Arial" w:cs="Arial" w:eastAsia="Arial" w:hAnsi="Arial"/>
                <w:sz w:val="18"/>
                <w:szCs w:val="18"/>
                <w:color w:val="auto"/>
              </w:rPr>
              <w:t>ASSIGNMENTS; SUBLEASES AND DELEGATIONS</w:t>
            </w:r>
          </w:p>
        </w:tc>
        <w:tc>
          <w:tcPr>
            <w:tcW w:w="2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rPr>
              <w:t>ARTICLE VII</w:t>
            </w:r>
          </w:p>
        </w:tc>
        <w:tc>
          <w:tcPr>
            <w:tcW w:w="7600" w:type="dxa"/>
            <w:vAlign w:val="bottom"/>
          </w:tcPr>
          <w:p>
            <w:pPr>
              <w:ind w:left="480"/>
              <w:spacing w:after="0"/>
              <w:rPr>
                <w:sz w:val="20"/>
                <w:szCs w:val="20"/>
                <w:color w:val="auto"/>
              </w:rPr>
            </w:pPr>
            <w:r>
              <w:rPr>
                <w:rFonts w:ascii="Arial" w:cs="Arial" w:eastAsia="Arial" w:hAnsi="Arial"/>
                <w:sz w:val="18"/>
                <w:szCs w:val="18"/>
                <w:color w:val="auto"/>
              </w:rPr>
              <w:t>LESSEE ACKNOWLEDGMENTS</w:t>
            </w:r>
          </w:p>
        </w:tc>
        <w:tc>
          <w:tcPr>
            <w:tcW w:w="2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8"/>
        </w:trPr>
        <w:tc>
          <w:tcPr>
            <w:tcW w:w="1820" w:type="dxa"/>
            <w:vAlign w:val="bottom"/>
          </w:tcPr>
          <w:p>
            <w:pPr>
              <w:ind w:left="400"/>
              <w:spacing w:after="0"/>
              <w:rPr>
                <w:sz w:val="20"/>
                <w:szCs w:val="20"/>
                <w:color w:val="auto"/>
              </w:rPr>
            </w:pPr>
            <w:r>
              <w:rPr>
                <w:rFonts w:ascii="Arial" w:cs="Arial" w:eastAsia="Arial" w:hAnsi="Arial"/>
                <w:sz w:val="18"/>
                <w:szCs w:val="18"/>
                <w:color w:val="auto"/>
              </w:rPr>
              <w:t>Section 7.1.</w:t>
            </w:r>
          </w:p>
        </w:tc>
        <w:tc>
          <w:tcPr>
            <w:tcW w:w="7600" w:type="dxa"/>
            <w:vAlign w:val="bottom"/>
          </w:tcPr>
          <w:p>
            <w:pPr>
              <w:ind w:left="840"/>
              <w:spacing w:after="0"/>
              <w:rPr>
                <w:sz w:val="20"/>
                <w:szCs w:val="20"/>
                <w:color w:val="auto"/>
              </w:rPr>
            </w:pPr>
            <w:r>
              <w:rPr>
                <w:rFonts w:ascii="Arial" w:cs="Arial" w:eastAsia="Arial" w:hAnsi="Arial"/>
                <w:sz w:val="18"/>
                <w:szCs w:val="18"/>
                <w:color w:val="auto"/>
              </w:rPr>
              <w:t>Condition of the Leased Property</w:t>
            </w:r>
          </w:p>
        </w:tc>
        <w:tc>
          <w:tcPr>
            <w:tcW w:w="20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820" w:type="dxa"/>
            <w:vAlign w:val="bottom"/>
          </w:tcPr>
          <w:p>
            <w:pPr>
              <w:ind w:left="400"/>
              <w:spacing w:after="0"/>
              <w:rPr>
                <w:sz w:val="20"/>
                <w:szCs w:val="20"/>
                <w:color w:val="auto"/>
              </w:rPr>
            </w:pPr>
            <w:r>
              <w:rPr>
                <w:rFonts w:ascii="Arial" w:cs="Arial" w:eastAsia="Arial" w:hAnsi="Arial"/>
                <w:sz w:val="18"/>
                <w:szCs w:val="18"/>
                <w:color w:val="auto"/>
              </w:rPr>
              <w:t>Section 7.2.</w:t>
            </w:r>
          </w:p>
        </w:tc>
        <w:tc>
          <w:tcPr>
            <w:tcW w:w="7600" w:type="dxa"/>
            <w:vAlign w:val="bottom"/>
          </w:tcPr>
          <w:p>
            <w:pPr>
              <w:ind w:left="840"/>
              <w:spacing w:after="0"/>
              <w:rPr>
                <w:sz w:val="20"/>
                <w:szCs w:val="20"/>
                <w:color w:val="auto"/>
              </w:rPr>
            </w:pPr>
            <w:r>
              <w:rPr>
                <w:rFonts w:ascii="Arial" w:cs="Arial" w:eastAsia="Arial" w:hAnsi="Arial"/>
                <w:sz w:val="18"/>
                <w:szCs w:val="18"/>
                <w:color w:val="auto"/>
              </w:rPr>
              <w:t>Risk of Loss</w:t>
            </w:r>
          </w:p>
        </w:tc>
        <w:tc>
          <w:tcPr>
            <w:tcW w:w="2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820" w:type="dxa"/>
            <w:vAlign w:val="bottom"/>
          </w:tcPr>
          <w:p>
            <w:pPr>
              <w:ind w:left="400"/>
              <w:spacing w:after="0"/>
              <w:rPr>
                <w:sz w:val="20"/>
                <w:szCs w:val="20"/>
                <w:color w:val="auto"/>
              </w:rPr>
            </w:pPr>
            <w:r>
              <w:rPr>
                <w:rFonts w:ascii="Arial" w:cs="Arial" w:eastAsia="Arial" w:hAnsi="Arial"/>
                <w:sz w:val="18"/>
                <w:szCs w:val="18"/>
                <w:color w:val="auto"/>
              </w:rPr>
              <w:t>Section 7.3.</w:t>
            </w:r>
          </w:p>
        </w:tc>
        <w:tc>
          <w:tcPr>
            <w:tcW w:w="7600" w:type="dxa"/>
            <w:vAlign w:val="bottom"/>
          </w:tcPr>
          <w:p>
            <w:pPr>
              <w:ind w:left="840"/>
              <w:spacing w:after="0"/>
              <w:rPr>
                <w:sz w:val="20"/>
                <w:szCs w:val="20"/>
                <w:color w:val="auto"/>
              </w:rPr>
            </w:pPr>
            <w:r>
              <w:rPr>
                <w:rFonts w:ascii="Arial" w:cs="Arial" w:eastAsia="Arial" w:hAnsi="Arial"/>
                <w:sz w:val="18"/>
                <w:szCs w:val="18"/>
                <w:color w:val="auto"/>
              </w:rPr>
              <w:t>Certain Duties and Responsibilities of Lessor</w:t>
            </w:r>
          </w:p>
        </w:tc>
        <w:tc>
          <w:tcPr>
            <w:tcW w:w="2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rPr>
              <w:t>ARTICLE VIII</w:t>
            </w:r>
          </w:p>
        </w:tc>
        <w:tc>
          <w:tcPr>
            <w:tcW w:w="7600" w:type="dxa"/>
            <w:vAlign w:val="bottom"/>
          </w:tcPr>
          <w:p>
            <w:pPr>
              <w:ind w:left="480"/>
              <w:spacing w:after="0"/>
              <w:rPr>
                <w:sz w:val="20"/>
                <w:szCs w:val="20"/>
                <w:color w:val="auto"/>
              </w:rPr>
            </w:pPr>
            <w:r>
              <w:rPr>
                <w:rFonts w:ascii="Arial" w:cs="Arial" w:eastAsia="Arial" w:hAnsi="Arial"/>
                <w:sz w:val="18"/>
                <w:szCs w:val="18"/>
                <w:color w:val="auto"/>
              </w:rPr>
              <w:t>POSSESSION AND USE OF THE PROPERTY, ETC.</w:t>
            </w:r>
          </w:p>
        </w:tc>
        <w:tc>
          <w:tcPr>
            <w:tcW w:w="2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8"/>
        </w:trPr>
        <w:tc>
          <w:tcPr>
            <w:tcW w:w="1820" w:type="dxa"/>
            <w:vAlign w:val="bottom"/>
          </w:tcPr>
          <w:p>
            <w:pPr>
              <w:ind w:left="400"/>
              <w:spacing w:after="0"/>
              <w:rPr>
                <w:sz w:val="20"/>
                <w:szCs w:val="20"/>
                <w:color w:val="auto"/>
              </w:rPr>
            </w:pPr>
            <w:r>
              <w:rPr>
                <w:rFonts w:ascii="Arial" w:cs="Arial" w:eastAsia="Arial" w:hAnsi="Arial"/>
                <w:sz w:val="18"/>
                <w:szCs w:val="18"/>
                <w:color w:val="auto"/>
              </w:rPr>
              <w:t>Section 8.1.</w:t>
            </w:r>
          </w:p>
        </w:tc>
        <w:tc>
          <w:tcPr>
            <w:tcW w:w="7600" w:type="dxa"/>
            <w:vAlign w:val="bottom"/>
          </w:tcPr>
          <w:p>
            <w:pPr>
              <w:ind w:left="840"/>
              <w:spacing w:after="0"/>
              <w:rPr>
                <w:sz w:val="20"/>
                <w:szCs w:val="20"/>
                <w:color w:val="auto"/>
              </w:rPr>
            </w:pPr>
            <w:r>
              <w:rPr>
                <w:rFonts w:ascii="Arial" w:cs="Arial" w:eastAsia="Arial" w:hAnsi="Arial"/>
                <w:sz w:val="18"/>
                <w:szCs w:val="18"/>
                <w:color w:val="auto"/>
              </w:rPr>
              <w:t>Possession and Use of the Leased Property</w:t>
            </w:r>
          </w:p>
        </w:tc>
        <w:tc>
          <w:tcPr>
            <w:tcW w:w="20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820" w:type="dxa"/>
            <w:vAlign w:val="bottom"/>
          </w:tcPr>
          <w:p>
            <w:pPr>
              <w:ind w:left="400"/>
              <w:spacing w:after="0"/>
              <w:rPr>
                <w:sz w:val="20"/>
                <w:szCs w:val="20"/>
                <w:color w:val="auto"/>
              </w:rPr>
            </w:pPr>
            <w:r>
              <w:rPr>
                <w:rFonts w:ascii="Arial" w:cs="Arial" w:eastAsia="Arial" w:hAnsi="Arial"/>
                <w:sz w:val="18"/>
                <w:szCs w:val="18"/>
                <w:color w:val="auto"/>
              </w:rPr>
              <w:t>Section 8.2.</w:t>
            </w:r>
          </w:p>
        </w:tc>
        <w:tc>
          <w:tcPr>
            <w:tcW w:w="7600" w:type="dxa"/>
            <w:vAlign w:val="bottom"/>
          </w:tcPr>
          <w:p>
            <w:pPr>
              <w:ind w:left="840"/>
              <w:spacing w:after="0"/>
              <w:rPr>
                <w:sz w:val="20"/>
                <w:szCs w:val="20"/>
                <w:color w:val="auto"/>
              </w:rPr>
            </w:pPr>
            <w:r>
              <w:rPr>
                <w:rFonts w:ascii="Arial" w:cs="Arial" w:eastAsia="Arial" w:hAnsi="Arial"/>
                <w:sz w:val="18"/>
                <w:szCs w:val="18"/>
                <w:color w:val="auto"/>
              </w:rPr>
              <w:t>Compliance with Requirements of Law and Insurance Requirements</w:t>
            </w:r>
          </w:p>
        </w:tc>
        <w:tc>
          <w:tcPr>
            <w:tcW w:w="2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820" w:type="dxa"/>
            <w:vAlign w:val="bottom"/>
          </w:tcPr>
          <w:p>
            <w:pPr>
              <w:ind w:left="400"/>
              <w:spacing w:after="0"/>
              <w:rPr>
                <w:sz w:val="20"/>
                <w:szCs w:val="20"/>
                <w:color w:val="auto"/>
              </w:rPr>
            </w:pPr>
            <w:r>
              <w:rPr>
                <w:rFonts w:ascii="Arial" w:cs="Arial" w:eastAsia="Arial" w:hAnsi="Arial"/>
                <w:sz w:val="18"/>
                <w:szCs w:val="18"/>
                <w:color w:val="auto"/>
              </w:rPr>
              <w:t>Section 8.3.</w:t>
            </w:r>
          </w:p>
        </w:tc>
        <w:tc>
          <w:tcPr>
            <w:tcW w:w="7600" w:type="dxa"/>
            <w:vAlign w:val="bottom"/>
          </w:tcPr>
          <w:p>
            <w:pPr>
              <w:ind w:left="840"/>
              <w:spacing w:after="0"/>
              <w:rPr>
                <w:sz w:val="20"/>
                <w:szCs w:val="20"/>
                <w:color w:val="auto"/>
              </w:rPr>
            </w:pPr>
            <w:r>
              <w:rPr>
                <w:rFonts w:ascii="Arial" w:cs="Arial" w:eastAsia="Arial" w:hAnsi="Arial"/>
                <w:sz w:val="18"/>
                <w:szCs w:val="18"/>
                <w:color w:val="auto"/>
              </w:rPr>
              <w:t>Tax Abatement Documents</w:t>
            </w:r>
          </w:p>
        </w:tc>
        <w:tc>
          <w:tcPr>
            <w:tcW w:w="2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1820" w:type="dxa"/>
            <w:vAlign w:val="bottom"/>
          </w:tcPr>
          <w:p>
            <w:pPr>
              <w:ind w:left="400"/>
              <w:spacing w:after="0"/>
              <w:rPr>
                <w:sz w:val="20"/>
                <w:szCs w:val="20"/>
                <w:color w:val="auto"/>
              </w:rPr>
            </w:pPr>
            <w:r>
              <w:rPr>
                <w:rFonts w:ascii="Arial" w:cs="Arial" w:eastAsia="Arial" w:hAnsi="Arial"/>
                <w:sz w:val="18"/>
                <w:szCs w:val="18"/>
                <w:color w:val="auto"/>
              </w:rPr>
              <w:t>Section 8.3.</w:t>
            </w:r>
          </w:p>
        </w:tc>
        <w:tc>
          <w:tcPr>
            <w:tcW w:w="7600" w:type="dxa"/>
            <w:vAlign w:val="bottom"/>
          </w:tcPr>
          <w:p>
            <w:pPr>
              <w:ind w:left="840"/>
              <w:spacing w:after="0"/>
              <w:rPr>
                <w:sz w:val="20"/>
                <w:szCs w:val="20"/>
                <w:color w:val="auto"/>
              </w:rPr>
            </w:pPr>
            <w:r>
              <w:rPr>
                <w:rFonts w:ascii="Arial" w:cs="Arial" w:eastAsia="Arial" w:hAnsi="Arial"/>
                <w:sz w:val="18"/>
                <w:szCs w:val="18"/>
                <w:color w:val="auto"/>
              </w:rPr>
              <w:t>Power of Attorney</w:t>
            </w:r>
          </w:p>
        </w:tc>
        <w:tc>
          <w:tcPr>
            <w:tcW w:w="2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rPr>
              <w:t>ARTICLE IX</w:t>
            </w:r>
          </w:p>
        </w:tc>
        <w:tc>
          <w:tcPr>
            <w:tcW w:w="7600" w:type="dxa"/>
            <w:vAlign w:val="bottom"/>
          </w:tcPr>
          <w:p>
            <w:pPr>
              <w:ind w:left="480"/>
              <w:spacing w:after="0"/>
              <w:rPr>
                <w:sz w:val="20"/>
                <w:szCs w:val="20"/>
                <w:color w:val="auto"/>
              </w:rPr>
            </w:pPr>
            <w:r>
              <w:rPr>
                <w:rFonts w:ascii="Arial" w:cs="Arial" w:eastAsia="Arial" w:hAnsi="Arial"/>
                <w:sz w:val="18"/>
                <w:szCs w:val="18"/>
                <w:color w:val="auto"/>
              </w:rPr>
              <w:t>MAINTENANCE AND REPAIR; REPORTS</w:t>
            </w:r>
          </w:p>
        </w:tc>
        <w:tc>
          <w:tcPr>
            <w:tcW w:w="2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1820" w:type="dxa"/>
            <w:vAlign w:val="bottom"/>
          </w:tcPr>
          <w:p>
            <w:pPr>
              <w:spacing w:after="0"/>
              <w:rPr>
                <w:sz w:val="24"/>
                <w:szCs w:val="24"/>
                <w:color w:val="auto"/>
              </w:rPr>
            </w:pPr>
          </w:p>
        </w:tc>
        <w:tc>
          <w:tcPr>
            <w:tcW w:w="7600" w:type="dxa"/>
            <w:vAlign w:val="bottom"/>
          </w:tcPr>
          <w:p>
            <w:pPr>
              <w:ind w:left="3860"/>
              <w:spacing w:after="0"/>
              <w:rPr>
                <w:sz w:val="20"/>
                <w:szCs w:val="20"/>
                <w:color w:val="auto"/>
              </w:rPr>
            </w:pPr>
            <w:r>
              <w:rPr>
                <w:rFonts w:ascii="Arial" w:cs="Arial" w:eastAsia="Arial" w:hAnsi="Arial"/>
                <w:sz w:val="18"/>
                <w:szCs w:val="18"/>
                <w:color w:val="auto"/>
              </w:rPr>
              <w:t>i</w:t>
            </w:r>
          </w:p>
        </w:tc>
        <w:tc>
          <w:tcPr>
            <w:tcW w:w="2040" w:type="dxa"/>
            <w:vAlign w:val="bottom"/>
          </w:tcPr>
          <w:p>
            <w:pPr>
              <w:spacing w:after="0"/>
              <w:rPr>
                <w:sz w:val="24"/>
                <w:szCs w:val="24"/>
                <w:color w:val="auto"/>
              </w:rPr>
            </w:pPr>
          </w:p>
        </w:tc>
      </w:tr>
      <w:tr>
        <w:trPr>
          <w:trHeight w:val="132"/>
        </w:trPr>
        <w:tc>
          <w:tcPr>
            <w:tcW w:w="1820" w:type="dxa"/>
            <w:vAlign w:val="bottom"/>
            <w:tcBorders>
              <w:bottom w:val="single" w:sz="8" w:color="808080"/>
            </w:tcBorders>
          </w:tcPr>
          <w:p>
            <w:pPr>
              <w:spacing w:after="0"/>
              <w:rPr>
                <w:sz w:val="11"/>
                <w:szCs w:val="11"/>
                <w:color w:val="auto"/>
              </w:rPr>
            </w:pPr>
          </w:p>
        </w:tc>
        <w:tc>
          <w:tcPr>
            <w:tcW w:w="7600" w:type="dxa"/>
            <w:vAlign w:val="bottom"/>
            <w:tcBorders>
              <w:bottom w:val="single" w:sz="8" w:color="808080"/>
            </w:tcBorders>
          </w:tcPr>
          <w:p>
            <w:pPr>
              <w:spacing w:after="0"/>
              <w:rPr>
                <w:sz w:val="11"/>
                <w:szCs w:val="11"/>
                <w:color w:val="auto"/>
              </w:rPr>
            </w:pPr>
          </w:p>
        </w:tc>
        <w:tc>
          <w:tcPr>
            <w:tcW w:w="2040" w:type="dxa"/>
            <w:vAlign w:val="bottom"/>
            <w:tcBorders>
              <w:bottom w:val="single" w:sz="8" w:color="808080"/>
            </w:tcBorders>
          </w:tcPr>
          <w:p>
            <w:pPr>
              <w:spacing w:after="0"/>
              <w:rPr>
                <w:sz w:val="11"/>
                <w:szCs w:val="11"/>
                <w:color w:val="auto"/>
              </w:rPr>
            </w:pPr>
          </w:p>
        </w:tc>
      </w:tr>
      <w:tr>
        <w:trPr>
          <w:trHeight w:val="766"/>
        </w:trPr>
        <w:tc>
          <w:tcPr>
            <w:tcW w:w="1820" w:type="dxa"/>
            <w:vAlign w:val="bottom"/>
          </w:tcPr>
          <w:p>
            <w:pPr>
              <w:ind w:left="400"/>
              <w:spacing w:after="0"/>
              <w:rPr>
                <w:sz w:val="20"/>
                <w:szCs w:val="20"/>
                <w:color w:val="auto"/>
              </w:rPr>
            </w:pPr>
            <w:r>
              <w:rPr>
                <w:rFonts w:ascii="Arial" w:cs="Arial" w:eastAsia="Arial" w:hAnsi="Arial"/>
                <w:sz w:val="18"/>
                <w:szCs w:val="18"/>
                <w:color w:val="auto"/>
              </w:rPr>
              <w:t>Section 9.1.</w:t>
            </w:r>
          </w:p>
        </w:tc>
        <w:tc>
          <w:tcPr>
            <w:tcW w:w="7600" w:type="dxa"/>
            <w:vAlign w:val="bottom"/>
          </w:tcPr>
          <w:p>
            <w:pPr>
              <w:ind w:left="840"/>
              <w:spacing w:after="0"/>
              <w:rPr>
                <w:sz w:val="20"/>
                <w:szCs w:val="20"/>
                <w:color w:val="auto"/>
              </w:rPr>
            </w:pPr>
            <w:r>
              <w:rPr>
                <w:rFonts w:ascii="Arial" w:cs="Arial" w:eastAsia="Arial" w:hAnsi="Arial"/>
                <w:sz w:val="18"/>
                <w:szCs w:val="18"/>
                <w:color w:val="auto"/>
              </w:rPr>
              <w:t>Maintenance and Repair</w:t>
            </w:r>
          </w:p>
        </w:tc>
        <w:tc>
          <w:tcPr>
            <w:tcW w:w="2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820" w:type="dxa"/>
            <w:vAlign w:val="bottom"/>
          </w:tcPr>
          <w:p>
            <w:pPr>
              <w:ind w:left="400"/>
              <w:spacing w:after="0"/>
              <w:rPr>
                <w:sz w:val="20"/>
                <w:szCs w:val="20"/>
                <w:color w:val="auto"/>
              </w:rPr>
            </w:pPr>
            <w:r>
              <w:rPr>
                <w:rFonts w:ascii="Arial" w:cs="Arial" w:eastAsia="Arial" w:hAnsi="Arial"/>
                <w:sz w:val="18"/>
                <w:szCs w:val="18"/>
                <w:color w:val="auto"/>
              </w:rPr>
              <w:t>Section 9.2.</w:t>
            </w:r>
          </w:p>
        </w:tc>
        <w:tc>
          <w:tcPr>
            <w:tcW w:w="7600" w:type="dxa"/>
            <w:vAlign w:val="bottom"/>
          </w:tcPr>
          <w:p>
            <w:pPr>
              <w:ind w:left="840"/>
              <w:spacing w:after="0"/>
              <w:rPr>
                <w:sz w:val="20"/>
                <w:szCs w:val="20"/>
                <w:color w:val="auto"/>
              </w:rPr>
            </w:pPr>
            <w:r>
              <w:rPr>
                <w:rFonts w:ascii="Arial" w:cs="Arial" w:eastAsia="Arial" w:hAnsi="Arial"/>
                <w:sz w:val="18"/>
                <w:szCs w:val="18"/>
                <w:color w:val="auto"/>
              </w:rPr>
              <w:t>Maintenance and Repair Records</w:t>
            </w:r>
          </w:p>
        </w:tc>
        <w:tc>
          <w:tcPr>
            <w:tcW w:w="2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rPr>
              <w:t>ARTICLE X</w:t>
            </w:r>
          </w:p>
        </w:tc>
        <w:tc>
          <w:tcPr>
            <w:tcW w:w="7600" w:type="dxa"/>
            <w:vAlign w:val="bottom"/>
          </w:tcPr>
          <w:p>
            <w:pPr>
              <w:ind w:left="480"/>
              <w:spacing w:after="0"/>
              <w:rPr>
                <w:sz w:val="20"/>
                <w:szCs w:val="20"/>
                <w:color w:val="auto"/>
              </w:rPr>
            </w:pPr>
            <w:r>
              <w:rPr>
                <w:rFonts w:ascii="Arial" w:cs="Arial" w:eastAsia="Arial" w:hAnsi="Arial"/>
                <w:sz w:val="18"/>
                <w:szCs w:val="18"/>
                <w:color w:val="auto"/>
              </w:rPr>
              <w:t>MODIFICATIONS, ETC.</w:t>
            </w:r>
          </w:p>
        </w:tc>
        <w:tc>
          <w:tcPr>
            <w:tcW w:w="2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8"/>
        </w:trPr>
        <w:tc>
          <w:tcPr>
            <w:tcW w:w="1820" w:type="dxa"/>
            <w:vAlign w:val="bottom"/>
          </w:tcPr>
          <w:p>
            <w:pPr>
              <w:ind w:left="400"/>
              <w:spacing w:after="0"/>
              <w:rPr>
                <w:sz w:val="20"/>
                <w:szCs w:val="20"/>
                <w:color w:val="auto"/>
              </w:rPr>
            </w:pPr>
            <w:r>
              <w:rPr>
                <w:rFonts w:ascii="Arial" w:cs="Arial" w:eastAsia="Arial" w:hAnsi="Arial"/>
                <w:sz w:val="18"/>
                <w:szCs w:val="18"/>
                <w:color w:val="auto"/>
              </w:rPr>
              <w:t>Section 10.1.</w:t>
            </w:r>
          </w:p>
        </w:tc>
        <w:tc>
          <w:tcPr>
            <w:tcW w:w="7600" w:type="dxa"/>
            <w:vAlign w:val="bottom"/>
          </w:tcPr>
          <w:p>
            <w:pPr>
              <w:ind w:left="840"/>
              <w:spacing w:after="0"/>
              <w:rPr>
                <w:sz w:val="20"/>
                <w:szCs w:val="20"/>
                <w:color w:val="auto"/>
              </w:rPr>
            </w:pPr>
            <w:r>
              <w:rPr>
                <w:rFonts w:ascii="Arial" w:cs="Arial" w:eastAsia="Arial" w:hAnsi="Arial"/>
                <w:sz w:val="18"/>
                <w:szCs w:val="18"/>
                <w:color w:val="auto"/>
              </w:rPr>
              <w:t>Improvements and Modifications</w:t>
            </w:r>
          </w:p>
        </w:tc>
        <w:tc>
          <w:tcPr>
            <w:tcW w:w="2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820" w:type="dxa"/>
            <w:vAlign w:val="bottom"/>
          </w:tcPr>
          <w:p>
            <w:pPr>
              <w:ind w:left="400"/>
              <w:spacing w:after="0"/>
              <w:rPr>
                <w:sz w:val="20"/>
                <w:szCs w:val="20"/>
                <w:color w:val="auto"/>
              </w:rPr>
            </w:pPr>
            <w:r>
              <w:rPr>
                <w:rFonts w:ascii="Arial" w:cs="Arial" w:eastAsia="Arial" w:hAnsi="Arial"/>
                <w:sz w:val="18"/>
                <w:szCs w:val="18"/>
                <w:color w:val="auto"/>
              </w:rPr>
              <w:t>Section 10.2.</w:t>
            </w:r>
          </w:p>
        </w:tc>
        <w:tc>
          <w:tcPr>
            <w:tcW w:w="7600" w:type="dxa"/>
            <w:vAlign w:val="bottom"/>
          </w:tcPr>
          <w:p>
            <w:pPr>
              <w:ind w:left="840"/>
              <w:spacing w:after="0"/>
              <w:rPr>
                <w:sz w:val="20"/>
                <w:szCs w:val="20"/>
                <w:color w:val="auto"/>
              </w:rPr>
            </w:pPr>
            <w:r>
              <w:rPr>
                <w:rFonts w:ascii="Arial" w:cs="Arial" w:eastAsia="Arial" w:hAnsi="Arial"/>
                <w:sz w:val="18"/>
                <w:szCs w:val="18"/>
                <w:color w:val="auto"/>
              </w:rPr>
              <w:t>Title to Modifications</w:t>
            </w:r>
          </w:p>
        </w:tc>
        <w:tc>
          <w:tcPr>
            <w:tcW w:w="2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820" w:type="dxa"/>
            <w:vAlign w:val="bottom"/>
          </w:tcPr>
          <w:p>
            <w:pPr>
              <w:ind w:left="400"/>
              <w:spacing w:after="0"/>
              <w:rPr>
                <w:sz w:val="20"/>
                <w:szCs w:val="20"/>
                <w:color w:val="auto"/>
              </w:rPr>
            </w:pPr>
            <w:r>
              <w:rPr>
                <w:rFonts w:ascii="Arial" w:cs="Arial" w:eastAsia="Arial" w:hAnsi="Arial"/>
                <w:sz w:val="18"/>
                <w:szCs w:val="18"/>
                <w:color w:val="auto"/>
              </w:rPr>
              <w:t>Section 10.3.</w:t>
            </w:r>
          </w:p>
        </w:tc>
        <w:tc>
          <w:tcPr>
            <w:tcW w:w="7600" w:type="dxa"/>
            <w:vAlign w:val="bottom"/>
          </w:tcPr>
          <w:p>
            <w:pPr>
              <w:ind w:left="840"/>
              <w:spacing w:after="0"/>
              <w:rPr>
                <w:sz w:val="20"/>
                <w:szCs w:val="20"/>
                <w:color w:val="auto"/>
              </w:rPr>
            </w:pPr>
            <w:r>
              <w:rPr>
                <w:rFonts w:ascii="Arial" w:cs="Arial" w:eastAsia="Arial" w:hAnsi="Arial"/>
                <w:sz w:val="18"/>
                <w:szCs w:val="18"/>
                <w:color w:val="auto"/>
              </w:rPr>
              <w:t>Permitted Developments</w:t>
            </w:r>
          </w:p>
        </w:tc>
        <w:tc>
          <w:tcPr>
            <w:tcW w:w="2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rPr>
              <w:t>ARTICLE XI</w:t>
            </w:r>
          </w:p>
        </w:tc>
        <w:tc>
          <w:tcPr>
            <w:tcW w:w="7600" w:type="dxa"/>
            <w:vAlign w:val="bottom"/>
          </w:tcPr>
          <w:p>
            <w:pPr>
              <w:ind w:left="480"/>
              <w:spacing w:after="0"/>
              <w:rPr>
                <w:sz w:val="20"/>
                <w:szCs w:val="20"/>
                <w:color w:val="auto"/>
              </w:rPr>
            </w:pPr>
            <w:r>
              <w:rPr>
                <w:rFonts w:ascii="Arial" w:cs="Arial" w:eastAsia="Arial" w:hAnsi="Arial"/>
                <w:sz w:val="18"/>
                <w:szCs w:val="18"/>
                <w:color w:val="auto"/>
              </w:rPr>
              <w:t>COVENANTS WITH RESPECT TO LIENS AND EASEMENTS</w:t>
            </w:r>
          </w:p>
        </w:tc>
        <w:tc>
          <w:tcPr>
            <w:tcW w:w="2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18"/>
        </w:trPr>
        <w:tc>
          <w:tcPr>
            <w:tcW w:w="1820" w:type="dxa"/>
            <w:vAlign w:val="bottom"/>
          </w:tcPr>
          <w:p>
            <w:pPr>
              <w:ind w:left="400"/>
              <w:spacing w:after="0"/>
              <w:rPr>
                <w:sz w:val="20"/>
                <w:szCs w:val="20"/>
                <w:color w:val="auto"/>
              </w:rPr>
            </w:pPr>
            <w:r>
              <w:rPr>
                <w:rFonts w:ascii="Arial" w:cs="Arial" w:eastAsia="Arial" w:hAnsi="Arial"/>
                <w:sz w:val="18"/>
                <w:szCs w:val="18"/>
                <w:color w:val="auto"/>
              </w:rPr>
              <w:t>Section 11.1.</w:t>
            </w:r>
          </w:p>
        </w:tc>
        <w:tc>
          <w:tcPr>
            <w:tcW w:w="7600" w:type="dxa"/>
            <w:vAlign w:val="bottom"/>
          </w:tcPr>
          <w:p>
            <w:pPr>
              <w:ind w:left="840"/>
              <w:spacing w:after="0"/>
              <w:rPr>
                <w:sz w:val="20"/>
                <w:szCs w:val="20"/>
                <w:color w:val="auto"/>
              </w:rPr>
            </w:pPr>
            <w:r>
              <w:rPr>
                <w:rFonts w:ascii="Arial" w:cs="Arial" w:eastAsia="Arial" w:hAnsi="Arial"/>
                <w:sz w:val="18"/>
                <w:szCs w:val="18"/>
                <w:color w:val="auto"/>
              </w:rPr>
              <w:t>Covenants with Respect to Liens</w:t>
            </w:r>
          </w:p>
        </w:tc>
        <w:tc>
          <w:tcPr>
            <w:tcW w:w="2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820" w:type="dxa"/>
            <w:vAlign w:val="bottom"/>
          </w:tcPr>
          <w:p>
            <w:pPr>
              <w:ind w:left="400"/>
              <w:spacing w:after="0"/>
              <w:rPr>
                <w:sz w:val="20"/>
                <w:szCs w:val="20"/>
                <w:color w:val="auto"/>
              </w:rPr>
            </w:pPr>
            <w:r>
              <w:rPr>
                <w:rFonts w:ascii="Arial" w:cs="Arial" w:eastAsia="Arial" w:hAnsi="Arial"/>
                <w:sz w:val="18"/>
                <w:szCs w:val="18"/>
                <w:color w:val="auto"/>
              </w:rPr>
              <w:t>Section 11.2.</w:t>
            </w:r>
          </w:p>
        </w:tc>
        <w:tc>
          <w:tcPr>
            <w:tcW w:w="7600" w:type="dxa"/>
            <w:vAlign w:val="bottom"/>
          </w:tcPr>
          <w:p>
            <w:pPr>
              <w:ind w:left="840"/>
              <w:spacing w:after="0"/>
              <w:rPr>
                <w:sz w:val="20"/>
                <w:szCs w:val="20"/>
                <w:color w:val="auto"/>
              </w:rPr>
            </w:pPr>
            <w:r>
              <w:rPr>
                <w:rFonts w:ascii="Arial" w:cs="Arial" w:eastAsia="Arial" w:hAnsi="Arial"/>
                <w:sz w:val="18"/>
                <w:szCs w:val="18"/>
                <w:color w:val="auto"/>
              </w:rPr>
              <w:t>Lessee’s Grants and Releases of Easements; Lessor’s Waivers</w:t>
            </w:r>
          </w:p>
        </w:tc>
        <w:tc>
          <w:tcPr>
            <w:tcW w:w="20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rPr>
              <w:t>ARTICLE XII</w:t>
            </w:r>
          </w:p>
        </w:tc>
        <w:tc>
          <w:tcPr>
            <w:tcW w:w="7600" w:type="dxa"/>
            <w:vAlign w:val="bottom"/>
          </w:tcPr>
          <w:p>
            <w:pPr>
              <w:ind w:left="480"/>
              <w:spacing w:after="0"/>
              <w:rPr>
                <w:sz w:val="20"/>
                <w:szCs w:val="20"/>
                <w:color w:val="auto"/>
              </w:rPr>
            </w:pPr>
            <w:r>
              <w:rPr>
                <w:rFonts w:ascii="Arial" w:cs="Arial" w:eastAsia="Arial" w:hAnsi="Arial"/>
                <w:sz w:val="18"/>
                <w:szCs w:val="18"/>
                <w:color w:val="auto"/>
              </w:rPr>
              <w:t>PERMITTED CONTESTS</w:t>
            </w:r>
          </w:p>
        </w:tc>
        <w:tc>
          <w:tcPr>
            <w:tcW w:w="2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820" w:type="dxa"/>
            <w:vAlign w:val="bottom"/>
          </w:tcPr>
          <w:p>
            <w:pPr>
              <w:ind w:left="400"/>
              <w:spacing w:after="0"/>
              <w:rPr>
                <w:sz w:val="20"/>
                <w:szCs w:val="20"/>
                <w:color w:val="auto"/>
              </w:rPr>
            </w:pPr>
            <w:r>
              <w:rPr>
                <w:rFonts w:ascii="Arial" w:cs="Arial" w:eastAsia="Arial" w:hAnsi="Arial"/>
                <w:sz w:val="18"/>
                <w:szCs w:val="18"/>
                <w:color w:val="auto"/>
              </w:rPr>
              <w:t>Section 12.1.</w:t>
            </w:r>
          </w:p>
        </w:tc>
        <w:tc>
          <w:tcPr>
            <w:tcW w:w="7600" w:type="dxa"/>
            <w:vAlign w:val="bottom"/>
          </w:tcPr>
          <w:p>
            <w:pPr>
              <w:ind w:left="840"/>
              <w:spacing w:after="0"/>
              <w:rPr>
                <w:sz w:val="20"/>
                <w:szCs w:val="20"/>
                <w:color w:val="auto"/>
              </w:rPr>
            </w:pPr>
            <w:r>
              <w:rPr>
                <w:rFonts w:ascii="Arial" w:cs="Arial" w:eastAsia="Arial" w:hAnsi="Arial"/>
                <w:sz w:val="18"/>
                <w:szCs w:val="18"/>
                <w:color w:val="auto"/>
              </w:rPr>
              <w:t>Permitted Contests in Respect of Applicable Laws</w:t>
            </w:r>
          </w:p>
        </w:tc>
        <w:tc>
          <w:tcPr>
            <w:tcW w:w="20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rPr>
              <w:t>ARTICLE XIII</w:t>
            </w:r>
          </w:p>
        </w:tc>
        <w:tc>
          <w:tcPr>
            <w:tcW w:w="7600" w:type="dxa"/>
            <w:vAlign w:val="bottom"/>
          </w:tcPr>
          <w:p>
            <w:pPr>
              <w:ind w:left="480"/>
              <w:spacing w:after="0"/>
              <w:rPr>
                <w:sz w:val="20"/>
                <w:szCs w:val="20"/>
                <w:color w:val="auto"/>
              </w:rPr>
            </w:pPr>
            <w:r>
              <w:rPr>
                <w:rFonts w:ascii="Arial" w:cs="Arial" w:eastAsia="Arial" w:hAnsi="Arial"/>
                <w:sz w:val="18"/>
                <w:szCs w:val="18"/>
                <w:color w:val="auto"/>
              </w:rPr>
              <w:t>INSURANCE</w:t>
            </w:r>
          </w:p>
        </w:tc>
        <w:tc>
          <w:tcPr>
            <w:tcW w:w="2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8"/>
        </w:trPr>
        <w:tc>
          <w:tcPr>
            <w:tcW w:w="1820" w:type="dxa"/>
            <w:vAlign w:val="bottom"/>
          </w:tcPr>
          <w:p>
            <w:pPr>
              <w:ind w:left="400"/>
              <w:spacing w:after="0"/>
              <w:rPr>
                <w:sz w:val="20"/>
                <w:szCs w:val="20"/>
                <w:color w:val="auto"/>
              </w:rPr>
            </w:pPr>
            <w:r>
              <w:rPr>
                <w:rFonts w:ascii="Arial" w:cs="Arial" w:eastAsia="Arial" w:hAnsi="Arial"/>
                <w:sz w:val="18"/>
                <w:szCs w:val="18"/>
                <w:color w:val="auto"/>
              </w:rPr>
              <w:t>Section 13.1.</w:t>
            </w:r>
          </w:p>
        </w:tc>
        <w:tc>
          <w:tcPr>
            <w:tcW w:w="7600" w:type="dxa"/>
            <w:vAlign w:val="bottom"/>
          </w:tcPr>
          <w:p>
            <w:pPr>
              <w:ind w:left="840"/>
              <w:spacing w:after="0"/>
              <w:rPr>
                <w:sz w:val="20"/>
                <w:szCs w:val="20"/>
                <w:color w:val="auto"/>
              </w:rPr>
            </w:pPr>
            <w:r>
              <w:rPr>
                <w:rFonts w:ascii="Arial" w:cs="Arial" w:eastAsia="Arial" w:hAnsi="Arial"/>
                <w:sz w:val="18"/>
                <w:szCs w:val="18"/>
                <w:color w:val="auto"/>
              </w:rPr>
              <w:t>Required Coverages</w:t>
            </w:r>
          </w:p>
        </w:tc>
        <w:tc>
          <w:tcPr>
            <w:tcW w:w="2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820" w:type="dxa"/>
            <w:vAlign w:val="bottom"/>
          </w:tcPr>
          <w:p>
            <w:pPr>
              <w:ind w:left="400"/>
              <w:spacing w:after="0"/>
              <w:rPr>
                <w:sz w:val="20"/>
                <w:szCs w:val="20"/>
                <w:color w:val="auto"/>
              </w:rPr>
            </w:pPr>
            <w:r>
              <w:rPr>
                <w:rFonts w:ascii="Arial" w:cs="Arial" w:eastAsia="Arial" w:hAnsi="Arial"/>
                <w:sz w:val="18"/>
                <w:szCs w:val="18"/>
                <w:color w:val="auto"/>
              </w:rPr>
              <w:t>Section 13.2.</w:t>
            </w:r>
          </w:p>
        </w:tc>
        <w:tc>
          <w:tcPr>
            <w:tcW w:w="7600" w:type="dxa"/>
            <w:vAlign w:val="bottom"/>
          </w:tcPr>
          <w:p>
            <w:pPr>
              <w:ind w:left="840"/>
              <w:spacing w:after="0"/>
              <w:rPr>
                <w:sz w:val="20"/>
                <w:szCs w:val="20"/>
                <w:color w:val="auto"/>
              </w:rPr>
            </w:pPr>
            <w:r>
              <w:rPr>
                <w:rFonts w:ascii="Arial" w:cs="Arial" w:eastAsia="Arial" w:hAnsi="Arial"/>
                <w:sz w:val="18"/>
                <w:szCs w:val="18"/>
                <w:color w:val="auto"/>
              </w:rPr>
              <w:t>Insurance Coverage</w:t>
            </w:r>
          </w:p>
        </w:tc>
        <w:tc>
          <w:tcPr>
            <w:tcW w:w="2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820" w:type="dxa"/>
            <w:vAlign w:val="bottom"/>
          </w:tcPr>
          <w:p>
            <w:pPr>
              <w:ind w:left="400"/>
              <w:spacing w:after="0"/>
              <w:rPr>
                <w:sz w:val="20"/>
                <w:szCs w:val="20"/>
                <w:color w:val="auto"/>
              </w:rPr>
            </w:pPr>
            <w:r>
              <w:rPr>
                <w:rFonts w:ascii="Arial" w:cs="Arial" w:eastAsia="Arial" w:hAnsi="Arial"/>
                <w:sz w:val="18"/>
                <w:szCs w:val="18"/>
                <w:color w:val="auto"/>
              </w:rPr>
              <w:t>Section 13.3.</w:t>
            </w:r>
          </w:p>
        </w:tc>
        <w:tc>
          <w:tcPr>
            <w:tcW w:w="7600" w:type="dxa"/>
            <w:vAlign w:val="bottom"/>
          </w:tcPr>
          <w:p>
            <w:pPr>
              <w:ind w:left="840"/>
              <w:spacing w:after="0"/>
              <w:rPr>
                <w:sz w:val="20"/>
                <w:szCs w:val="20"/>
                <w:color w:val="auto"/>
              </w:rPr>
            </w:pPr>
            <w:r>
              <w:rPr>
                <w:rFonts w:ascii="Arial" w:cs="Arial" w:eastAsia="Arial" w:hAnsi="Arial"/>
                <w:sz w:val="18"/>
                <w:szCs w:val="18"/>
                <w:color w:val="auto"/>
              </w:rPr>
              <w:t>Delivery of Insurance Certificates</w:t>
            </w:r>
          </w:p>
        </w:tc>
        <w:tc>
          <w:tcPr>
            <w:tcW w:w="20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820" w:type="dxa"/>
            <w:vAlign w:val="bottom"/>
          </w:tcPr>
          <w:p>
            <w:pPr>
              <w:ind w:left="400"/>
              <w:spacing w:after="0"/>
              <w:rPr>
                <w:sz w:val="20"/>
                <w:szCs w:val="20"/>
                <w:color w:val="auto"/>
              </w:rPr>
            </w:pPr>
            <w:r>
              <w:rPr>
                <w:rFonts w:ascii="Arial" w:cs="Arial" w:eastAsia="Arial" w:hAnsi="Arial"/>
                <w:sz w:val="18"/>
                <w:szCs w:val="18"/>
                <w:color w:val="auto"/>
              </w:rPr>
              <w:t>Section 13.4.</w:t>
            </w:r>
          </w:p>
        </w:tc>
        <w:tc>
          <w:tcPr>
            <w:tcW w:w="7600" w:type="dxa"/>
            <w:vAlign w:val="bottom"/>
          </w:tcPr>
          <w:p>
            <w:pPr>
              <w:ind w:left="840"/>
              <w:spacing w:after="0"/>
              <w:rPr>
                <w:sz w:val="20"/>
                <w:szCs w:val="20"/>
                <w:color w:val="auto"/>
              </w:rPr>
            </w:pPr>
            <w:r>
              <w:rPr>
                <w:rFonts w:ascii="Arial" w:cs="Arial" w:eastAsia="Arial" w:hAnsi="Arial"/>
                <w:sz w:val="18"/>
                <w:szCs w:val="18"/>
                <w:color w:val="auto"/>
              </w:rPr>
              <w:t>Insurance by Lessor, Administrative Agent or any Participant</w:t>
            </w:r>
          </w:p>
        </w:tc>
        <w:tc>
          <w:tcPr>
            <w:tcW w:w="20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rPr>
              <w:t>ARTICLE XIV</w:t>
            </w:r>
          </w:p>
        </w:tc>
        <w:tc>
          <w:tcPr>
            <w:tcW w:w="7600" w:type="dxa"/>
            <w:vAlign w:val="bottom"/>
          </w:tcPr>
          <w:p>
            <w:pPr>
              <w:ind w:left="480"/>
              <w:spacing w:after="0"/>
              <w:rPr>
                <w:sz w:val="20"/>
                <w:szCs w:val="20"/>
                <w:color w:val="auto"/>
              </w:rPr>
            </w:pPr>
            <w:r>
              <w:rPr>
                <w:rFonts w:ascii="Arial" w:cs="Arial" w:eastAsia="Arial" w:hAnsi="Arial"/>
                <w:sz w:val="18"/>
                <w:szCs w:val="18"/>
                <w:color w:val="auto"/>
              </w:rPr>
              <w:t>CASUALTY AND CONDEMNATION</w:t>
            </w:r>
          </w:p>
        </w:tc>
        <w:tc>
          <w:tcPr>
            <w:tcW w:w="20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18"/>
        </w:trPr>
        <w:tc>
          <w:tcPr>
            <w:tcW w:w="1820" w:type="dxa"/>
            <w:vAlign w:val="bottom"/>
          </w:tcPr>
          <w:p>
            <w:pPr>
              <w:ind w:left="400"/>
              <w:spacing w:after="0"/>
              <w:rPr>
                <w:sz w:val="20"/>
                <w:szCs w:val="20"/>
                <w:color w:val="auto"/>
              </w:rPr>
            </w:pPr>
            <w:r>
              <w:rPr>
                <w:rFonts w:ascii="Arial" w:cs="Arial" w:eastAsia="Arial" w:hAnsi="Arial"/>
                <w:sz w:val="18"/>
                <w:szCs w:val="18"/>
                <w:color w:val="auto"/>
              </w:rPr>
              <w:t>Section 14.1.</w:t>
            </w:r>
          </w:p>
        </w:tc>
        <w:tc>
          <w:tcPr>
            <w:tcW w:w="7600" w:type="dxa"/>
            <w:vAlign w:val="bottom"/>
          </w:tcPr>
          <w:p>
            <w:pPr>
              <w:ind w:left="840"/>
              <w:spacing w:after="0"/>
              <w:rPr>
                <w:sz w:val="20"/>
                <w:szCs w:val="20"/>
                <w:color w:val="auto"/>
              </w:rPr>
            </w:pPr>
            <w:r>
              <w:rPr>
                <w:rFonts w:ascii="Arial" w:cs="Arial" w:eastAsia="Arial" w:hAnsi="Arial"/>
                <w:sz w:val="18"/>
                <w:szCs w:val="18"/>
                <w:color w:val="auto"/>
              </w:rPr>
              <w:t>Casualty and Condemnation</w:t>
            </w:r>
          </w:p>
        </w:tc>
        <w:tc>
          <w:tcPr>
            <w:tcW w:w="20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820" w:type="dxa"/>
            <w:vAlign w:val="bottom"/>
          </w:tcPr>
          <w:p>
            <w:pPr>
              <w:ind w:left="400"/>
              <w:spacing w:after="0"/>
              <w:rPr>
                <w:sz w:val="20"/>
                <w:szCs w:val="20"/>
                <w:color w:val="auto"/>
              </w:rPr>
            </w:pPr>
            <w:r>
              <w:rPr>
                <w:rFonts w:ascii="Arial" w:cs="Arial" w:eastAsia="Arial" w:hAnsi="Arial"/>
                <w:sz w:val="18"/>
                <w:szCs w:val="18"/>
                <w:color w:val="auto"/>
              </w:rPr>
              <w:t>Section 14.2.</w:t>
            </w:r>
          </w:p>
        </w:tc>
        <w:tc>
          <w:tcPr>
            <w:tcW w:w="7600" w:type="dxa"/>
            <w:vAlign w:val="bottom"/>
          </w:tcPr>
          <w:p>
            <w:pPr>
              <w:ind w:left="840"/>
              <w:spacing w:after="0"/>
              <w:rPr>
                <w:sz w:val="20"/>
                <w:szCs w:val="20"/>
                <w:color w:val="auto"/>
              </w:rPr>
            </w:pPr>
            <w:r>
              <w:rPr>
                <w:rFonts w:ascii="Arial" w:cs="Arial" w:eastAsia="Arial" w:hAnsi="Arial"/>
                <w:sz w:val="18"/>
                <w:szCs w:val="18"/>
                <w:color w:val="auto"/>
              </w:rPr>
              <w:t>Environmental Matters</w:t>
            </w:r>
          </w:p>
        </w:tc>
        <w:tc>
          <w:tcPr>
            <w:tcW w:w="2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820" w:type="dxa"/>
            <w:vAlign w:val="bottom"/>
          </w:tcPr>
          <w:p>
            <w:pPr>
              <w:ind w:left="400"/>
              <w:spacing w:after="0"/>
              <w:rPr>
                <w:sz w:val="20"/>
                <w:szCs w:val="20"/>
                <w:color w:val="auto"/>
              </w:rPr>
            </w:pPr>
            <w:r>
              <w:rPr>
                <w:rFonts w:ascii="Arial" w:cs="Arial" w:eastAsia="Arial" w:hAnsi="Arial"/>
                <w:sz w:val="18"/>
                <w:szCs w:val="18"/>
                <w:color w:val="auto"/>
              </w:rPr>
              <w:t>Section 14.3.</w:t>
            </w:r>
          </w:p>
        </w:tc>
        <w:tc>
          <w:tcPr>
            <w:tcW w:w="7600" w:type="dxa"/>
            <w:vAlign w:val="bottom"/>
          </w:tcPr>
          <w:p>
            <w:pPr>
              <w:ind w:left="840"/>
              <w:spacing w:after="0"/>
              <w:rPr>
                <w:sz w:val="20"/>
                <w:szCs w:val="20"/>
                <w:color w:val="auto"/>
              </w:rPr>
            </w:pPr>
            <w:r>
              <w:rPr>
                <w:rFonts w:ascii="Arial" w:cs="Arial" w:eastAsia="Arial" w:hAnsi="Arial"/>
                <w:sz w:val="18"/>
                <w:szCs w:val="18"/>
                <w:color w:val="auto"/>
              </w:rPr>
              <w:t>Notice of Environmental Matters</w:t>
            </w:r>
          </w:p>
        </w:tc>
        <w:tc>
          <w:tcPr>
            <w:tcW w:w="2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rPr>
              <w:t>ARTICLE XV</w:t>
            </w:r>
          </w:p>
        </w:tc>
        <w:tc>
          <w:tcPr>
            <w:tcW w:w="7600" w:type="dxa"/>
            <w:vAlign w:val="bottom"/>
          </w:tcPr>
          <w:p>
            <w:pPr>
              <w:ind w:left="480"/>
              <w:spacing w:after="0"/>
              <w:rPr>
                <w:sz w:val="20"/>
                <w:szCs w:val="20"/>
                <w:color w:val="auto"/>
              </w:rPr>
            </w:pPr>
            <w:r>
              <w:rPr>
                <w:rFonts w:ascii="Arial" w:cs="Arial" w:eastAsia="Arial" w:hAnsi="Arial"/>
                <w:sz w:val="18"/>
                <w:szCs w:val="18"/>
                <w:color w:val="auto"/>
              </w:rPr>
              <w:t>TERMINATION OF LEASE</w:t>
            </w:r>
          </w:p>
        </w:tc>
        <w:tc>
          <w:tcPr>
            <w:tcW w:w="2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1820" w:type="dxa"/>
            <w:vAlign w:val="bottom"/>
          </w:tcPr>
          <w:p>
            <w:pPr>
              <w:ind w:left="400"/>
              <w:spacing w:after="0"/>
              <w:rPr>
                <w:sz w:val="20"/>
                <w:szCs w:val="20"/>
                <w:color w:val="auto"/>
              </w:rPr>
            </w:pPr>
            <w:r>
              <w:rPr>
                <w:rFonts w:ascii="Arial" w:cs="Arial" w:eastAsia="Arial" w:hAnsi="Arial"/>
                <w:sz w:val="18"/>
                <w:szCs w:val="18"/>
                <w:color w:val="auto"/>
              </w:rPr>
              <w:t>Section 15.1.</w:t>
            </w:r>
          </w:p>
        </w:tc>
        <w:tc>
          <w:tcPr>
            <w:tcW w:w="7600" w:type="dxa"/>
            <w:vAlign w:val="bottom"/>
          </w:tcPr>
          <w:p>
            <w:pPr>
              <w:ind w:left="840"/>
              <w:spacing w:after="0"/>
              <w:rPr>
                <w:sz w:val="20"/>
                <w:szCs w:val="20"/>
                <w:color w:val="auto"/>
              </w:rPr>
            </w:pPr>
            <w:r>
              <w:rPr>
                <w:rFonts w:ascii="Arial" w:cs="Arial" w:eastAsia="Arial" w:hAnsi="Arial"/>
                <w:sz w:val="18"/>
                <w:szCs w:val="18"/>
                <w:color w:val="auto"/>
              </w:rPr>
              <w:t>Termination upon Certain Events</w:t>
            </w:r>
          </w:p>
        </w:tc>
        <w:tc>
          <w:tcPr>
            <w:tcW w:w="2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1820" w:type="dxa"/>
            <w:vAlign w:val="bottom"/>
          </w:tcPr>
          <w:p>
            <w:pPr>
              <w:ind w:left="400"/>
              <w:spacing w:after="0"/>
              <w:rPr>
                <w:sz w:val="20"/>
                <w:szCs w:val="20"/>
                <w:color w:val="auto"/>
              </w:rPr>
            </w:pPr>
            <w:r>
              <w:rPr>
                <w:rFonts w:ascii="Arial" w:cs="Arial" w:eastAsia="Arial" w:hAnsi="Arial"/>
                <w:sz w:val="18"/>
                <w:szCs w:val="18"/>
                <w:color w:val="auto"/>
              </w:rPr>
              <w:t>Section 15.2.</w:t>
            </w:r>
          </w:p>
        </w:tc>
        <w:tc>
          <w:tcPr>
            <w:tcW w:w="7600" w:type="dxa"/>
            <w:vAlign w:val="bottom"/>
          </w:tcPr>
          <w:p>
            <w:pPr>
              <w:ind w:left="840"/>
              <w:spacing w:after="0"/>
              <w:rPr>
                <w:sz w:val="20"/>
                <w:szCs w:val="20"/>
                <w:color w:val="auto"/>
              </w:rPr>
            </w:pPr>
            <w:r>
              <w:rPr>
                <w:rFonts w:ascii="Arial" w:cs="Arial" w:eastAsia="Arial" w:hAnsi="Arial"/>
                <w:sz w:val="18"/>
                <w:szCs w:val="18"/>
                <w:color w:val="auto"/>
              </w:rPr>
              <w:t>Termination Procedures</w:t>
            </w:r>
          </w:p>
        </w:tc>
        <w:tc>
          <w:tcPr>
            <w:tcW w:w="2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rPr>
              <w:t>ARTICLE XVI</w:t>
            </w:r>
          </w:p>
        </w:tc>
        <w:tc>
          <w:tcPr>
            <w:tcW w:w="7600" w:type="dxa"/>
            <w:vAlign w:val="bottom"/>
          </w:tcPr>
          <w:p>
            <w:pPr>
              <w:ind w:left="480"/>
              <w:spacing w:after="0"/>
              <w:rPr>
                <w:sz w:val="20"/>
                <w:szCs w:val="20"/>
                <w:color w:val="auto"/>
              </w:rPr>
            </w:pPr>
            <w:r>
              <w:rPr>
                <w:rFonts w:ascii="Arial" w:cs="Arial" w:eastAsia="Arial" w:hAnsi="Arial"/>
                <w:sz w:val="18"/>
                <w:szCs w:val="18"/>
                <w:color w:val="auto"/>
              </w:rPr>
              <w:t>EVENTS OF DEFAULT</w:t>
            </w:r>
          </w:p>
        </w:tc>
        <w:tc>
          <w:tcPr>
            <w:tcW w:w="20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18"/>
        </w:trPr>
        <w:tc>
          <w:tcPr>
            <w:tcW w:w="1820" w:type="dxa"/>
            <w:vAlign w:val="bottom"/>
          </w:tcPr>
          <w:p>
            <w:pPr>
              <w:ind w:left="400"/>
              <w:spacing w:after="0"/>
              <w:rPr>
                <w:sz w:val="20"/>
                <w:szCs w:val="20"/>
                <w:color w:val="auto"/>
              </w:rPr>
            </w:pPr>
            <w:r>
              <w:rPr>
                <w:rFonts w:ascii="Arial" w:cs="Arial" w:eastAsia="Arial" w:hAnsi="Arial"/>
                <w:sz w:val="18"/>
                <w:szCs w:val="18"/>
                <w:color w:val="auto"/>
              </w:rPr>
              <w:t>Section 16.1.</w:t>
            </w:r>
          </w:p>
        </w:tc>
        <w:tc>
          <w:tcPr>
            <w:tcW w:w="7600" w:type="dxa"/>
            <w:vAlign w:val="bottom"/>
          </w:tcPr>
          <w:p>
            <w:pPr>
              <w:ind w:left="840"/>
              <w:spacing w:after="0"/>
              <w:rPr>
                <w:sz w:val="20"/>
                <w:szCs w:val="20"/>
                <w:color w:val="auto"/>
              </w:rPr>
            </w:pPr>
            <w:r>
              <w:rPr>
                <w:rFonts w:ascii="Arial" w:cs="Arial" w:eastAsia="Arial" w:hAnsi="Arial"/>
                <w:sz w:val="18"/>
                <w:szCs w:val="18"/>
                <w:color w:val="auto"/>
              </w:rPr>
              <w:t>Events of Default</w:t>
            </w:r>
          </w:p>
        </w:tc>
        <w:tc>
          <w:tcPr>
            <w:tcW w:w="20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820" w:type="dxa"/>
            <w:vAlign w:val="bottom"/>
          </w:tcPr>
          <w:p>
            <w:pPr>
              <w:ind w:left="400"/>
              <w:spacing w:after="0"/>
              <w:rPr>
                <w:sz w:val="20"/>
                <w:szCs w:val="20"/>
                <w:color w:val="auto"/>
              </w:rPr>
            </w:pPr>
            <w:r>
              <w:rPr>
                <w:rFonts w:ascii="Arial" w:cs="Arial" w:eastAsia="Arial" w:hAnsi="Arial"/>
                <w:sz w:val="18"/>
                <w:szCs w:val="18"/>
                <w:color w:val="auto"/>
              </w:rPr>
              <w:t>Section 16.2.</w:t>
            </w:r>
          </w:p>
        </w:tc>
        <w:tc>
          <w:tcPr>
            <w:tcW w:w="7600" w:type="dxa"/>
            <w:vAlign w:val="bottom"/>
          </w:tcPr>
          <w:p>
            <w:pPr>
              <w:ind w:left="840"/>
              <w:spacing w:after="0"/>
              <w:rPr>
                <w:sz w:val="20"/>
                <w:szCs w:val="20"/>
                <w:color w:val="auto"/>
              </w:rPr>
            </w:pPr>
            <w:r>
              <w:rPr>
                <w:rFonts w:ascii="Arial" w:cs="Arial" w:eastAsia="Arial" w:hAnsi="Arial"/>
                <w:sz w:val="18"/>
                <w:szCs w:val="18"/>
                <w:color w:val="auto"/>
              </w:rPr>
              <w:t>Remedies</w:t>
            </w:r>
          </w:p>
        </w:tc>
        <w:tc>
          <w:tcPr>
            <w:tcW w:w="20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1820" w:type="dxa"/>
            <w:vAlign w:val="bottom"/>
          </w:tcPr>
          <w:p>
            <w:pPr>
              <w:ind w:left="400"/>
              <w:spacing w:after="0"/>
              <w:rPr>
                <w:sz w:val="20"/>
                <w:szCs w:val="20"/>
                <w:color w:val="auto"/>
              </w:rPr>
            </w:pPr>
            <w:r>
              <w:rPr>
                <w:rFonts w:ascii="Arial" w:cs="Arial" w:eastAsia="Arial" w:hAnsi="Arial"/>
                <w:sz w:val="18"/>
                <w:szCs w:val="18"/>
                <w:color w:val="auto"/>
              </w:rPr>
              <w:t>Section 16.3.</w:t>
            </w:r>
          </w:p>
        </w:tc>
        <w:tc>
          <w:tcPr>
            <w:tcW w:w="7600" w:type="dxa"/>
            <w:vAlign w:val="bottom"/>
          </w:tcPr>
          <w:p>
            <w:pPr>
              <w:ind w:left="840"/>
              <w:spacing w:after="0"/>
              <w:rPr>
                <w:sz w:val="20"/>
                <w:szCs w:val="20"/>
                <w:color w:val="auto"/>
              </w:rPr>
            </w:pPr>
            <w:r>
              <w:rPr>
                <w:rFonts w:ascii="Arial" w:cs="Arial" w:eastAsia="Arial" w:hAnsi="Arial"/>
                <w:sz w:val="18"/>
                <w:szCs w:val="18"/>
                <w:color w:val="auto"/>
              </w:rPr>
              <w:t>Waiver of Certain Rights</w:t>
            </w:r>
          </w:p>
        </w:tc>
        <w:tc>
          <w:tcPr>
            <w:tcW w:w="20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rPr>
              <w:t>ARTICLE XVII</w:t>
            </w:r>
          </w:p>
        </w:tc>
        <w:tc>
          <w:tcPr>
            <w:tcW w:w="7600" w:type="dxa"/>
            <w:vAlign w:val="bottom"/>
          </w:tcPr>
          <w:p>
            <w:pPr>
              <w:ind w:left="480"/>
              <w:spacing w:after="0"/>
              <w:rPr>
                <w:sz w:val="20"/>
                <w:szCs w:val="20"/>
                <w:color w:val="auto"/>
              </w:rPr>
            </w:pPr>
            <w:r>
              <w:rPr>
                <w:rFonts w:ascii="Arial" w:cs="Arial" w:eastAsia="Arial" w:hAnsi="Arial"/>
                <w:sz w:val="18"/>
                <w:szCs w:val="18"/>
                <w:color w:val="auto"/>
              </w:rPr>
              <w:t>LESSOR’S RIGHT TO CURE</w:t>
            </w:r>
          </w:p>
        </w:tc>
        <w:tc>
          <w:tcPr>
            <w:tcW w:w="20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820" w:type="dxa"/>
            <w:vAlign w:val="bottom"/>
          </w:tcPr>
          <w:p>
            <w:pPr>
              <w:ind w:left="400"/>
              <w:spacing w:after="0"/>
              <w:rPr>
                <w:sz w:val="20"/>
                <w:szCs w:val="20"/>
                <w:color w:val="auto"/>
              </w:rPr>
            </w:pPr>
            <w:r>
              <w:rPr>
                <w:rFonts w:ascii="Arial" w:cs="Arial" w:eastAsia="Arial" w:hAnsi="Arial"/>
                <w:sz w:val="18"/>
                <w:szCs w:val="18"/>
                <w:color w:val="auto"/>
              </w:rPr>
              <w:t>Section 17.1.</w:t>
            </w:r>
          </w:p>
        </w:tc>
        <w:tc>
          <w:tcPr>
            <w:tcW w:w="7600" w:type="dxa"/>
            <w:vAlign w:val="bottom"/>
          </w:tcPr>
          <w:p>
            <w:pPr>
              <w:ind w:left="840"/>
              <w:spacing w:after="0"/>
              <w:rPr>
                <w:sz w:val="20"/>
                <w:szCs w:val="20"/>
                <w:color w:val="auto"/>
              </w:rPr>
            </w:pPr>
            <w:r>
              <w:rPr>
                <w:rFonts w:ascii="Arial" w:cs="Arial" w:eastAsia="Arial" w:hAnsi="Arial"/>
                <w:sz w:val="18"/>
                <w:szCs w:val="18"/>
                <w:color w:val="auto"/>
              </w:rPr>
              <w:t>The Lessor’s Right to Cure the Lessee’s Defaults</w:t>
            </w:r>
          </w:p>
        </w:tc>
        <w:tc>
          <w:tcPr>
            <w:tcW w:w="20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820" w:type="dxa"/>
            <w:vAlign w:val="bottom"/>
          </w:tcPr>
          <w:p>
            <w:pPr>
              <w:spacing w:after="0"/>
              <w:rPr>
                <w:sz w:val="20"/>
                <w:szCs w:val="20"/>
                <w:color w:val="auto"/>
              </w:rPr>
            </w:pPr>
            <w:r>
              <w:rPr>
                <w:rFonts w:ascii="Arial" w:cs="Arial" w:eastAsia="Arial" w:hAnsi="Arial"/>
                <w:sz w:val="18"/>
                <w:szCs w:val="18"/>
                <w:color w:val="auto"/>
              </w:rPr>
              <w:t>ARTICLE XVIII</w:t>
            </w:r>
          </w:p>
        </w:tc>
        <w:tc>
          <w:tcPr>
            <w:tcW w:w="7600" w:type="dxa"/>
            <w:vAlign w:val="bottom"/>
          </w:tcPr>
          <w:p>
            <w:pPr>
              <w:ind w:left="480"/>
              <w:spacing w:after="0"/>
              <w:rPr>
                <w:sz w:val="20"/>
                <w:szCs w:val="20"/>
                <w:color w:val="auto"/>
              </w:rPr>
            </w:pPr>
            <w:r>
              <w:rPr>
                <w:rFonts w:ascii="Arial" w:cs="Arial" w:eastAsia="Arial" w:hAnsi="Arial"/>
                <w:sz w:val="18"/>
                <w:szCs w:val="18"/>
                <w:color w:val="auto"/>
              </w:rPr>
              <w:t>PURCHASE PROVISIONS</w:t>
            </w:r>
          </w:p>
        </w:tc>
        <w:tc>
          <w:tcPr>
            <w:tcW w:w="20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820" w:type="dxa"/>
            <w:vAlign w:val="bottom"/>
          </w:tcPr>
          <w:p>
            <w:pPr>
              <w:ind w:left="400"/>
              <w:spacing w:after="0"/>
              <w:rPr>
                <w:sz w:val="20"/>
                <w:szCs w:val="20"/>
                <w:color w:val="auto"/>
              </w:rPr>
            </w:pPr>
            <w:r>
              <w:rPr>
                <w:rFonts w:ascii="Arial" w:cs="Arial" w:eastAsia="Arial" w:hAnsi="Arial"/>
                <w:sz w:val="18"/>
                <w:szCs w:val="18"/>
                <w:color w:val="auto"/>
              </w:rPr>
              <w:t>Section 18.1.</w:t>
            </w:r>
          </w:p>
        </w:tc>
        <w:tc>
          <w:tcPr>
            <w:tcW w:w="7600" w:type="dxa"/>
            <w:vAlign w:val="bottom"/>
          </w:tcPr>
          <w:p>
            <w:pPr>
              <w:ind w:left="840"/>
              <w:spacing w:after="0"/>
              <w:rPr>
                <w:sz w:val="20"/>
                <w:szCs w:val="20"/>
                <w:color w:val="auto"/>
              </w:rPr>
            </w:pPr>
            <w:r>
              <w:rPr>
                <w:rFonts w:ascii="Arial" w:cs="Arial" w:eastAsia="Arial" w:hAnsi="Arial"/>
                <w:sz w:val="18"/>
                <w:szCs w:val="18"/>
                <w:color w:val="auto"/>
              </w:rPr>
              <w:t>Early and End of Term Purchase Options</w:t>
            </w:r>
          </w:p>
        </w:tc>
        <w:tc>
          <w:tcPr>
            <w:tcW w:w="20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820" w:type="dxa"/>
            <w:vAlign w:val="bottom"/>
          </w:tcPr>
          <w:p>
            <w:pPr>
              <w:spacing w:after="0"/>
              <w:rPr>
                <w:sz w:val="24"/>
                <w:szCs w:val="24"/>
                <w:color w:val="auto"/>
              </w:rPr>
            </w:pPr>
          </w:p>
        </w:tc>
        <w:tc>
          <w:tcPr>
            <w:tcW w:w="7600" w:type="dxa"/>
            <w:vAlign w:val="bottom"/>
          </w:tcPr>
          <w:p>
            <w:pPr>
              <w:ind w:left="3840"/>
              <w:spacing w:after="0"/>
              <w:rPr>
                <w:sz w:val="20"/>
                <w:szCs w:val="20"/>
                <w:color w:val="auto"/>
              </w:rPr>
            </w:pPr>
            <w:r>
              <w:rPr>
                <w:rFonts w:ascii="Arial" w:cs="Arial" w:eastAsia="Arial" w:hAnsi="Arial"/>
                <w:sz w:val="18"/>
                <w:szCs w:val="18"/>
                <w:color w:val="auto"/>
              </w:rPr>
              <w:t>ii</w:t>
            </w:r>
          </w:p>
        </w:tc>
        <w:tc>
          <w:tcPr>
            <w:tcW w:w="2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-7385050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-7385050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ARTICLE XIX</w:t>
            </w:r>
          </w:p>
        </w:tc>
        <w:tc>
          <w:tcPr>
            <w:tcW w:w="8800" w:type="dxa"/>
            <w:vAlign w:val="bottom"/>
          </w:tcPr>
          <w:p>
            <w:pPr>
              <w:ind w:left="340"/>
              <w:spacing w:after="0"/>
              <w:rPr>
                <w:sz w:val="20"/>
                <w:szCs w:val="20"/>
                <w:color w:val="auto"/>
              </w:rPr>
            </w:pPr>
            <w:r>
              <w:rPr>
                <w:rFonts w:ascii="Arial" w:cs="Arial" w:eastAsia="Arial" w:hAnsi="Arial"/>
                <w:sz w:val="18"/>
                <w:szCs w:val="18"/>
                <w:color w:val="auto"/>
              </w:rPr>
              <w:t>END OF TERM OPTIONS</w:t>
            </w: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8"/>
        </w:trPr>
        <w:tc>
          <w:tcPr>
            <w:tcW w:w="1960" w:type="dxa"/>
            <w:vAlign w:val="bottom"/>
          </w:tcPr>
          <w:p>
            <w:pPr>
              <w:ind w:left="400"/>
              <w:spacing w:after="0"/>
              <w:rPr>
                <w:sz w:val="20"/>
                <w:szCs w:val="20"/>
                <w:color w:val="auto"/>
              </w:rPr>
            </w:pPr>
            <w:r>
              <w:rPr>
                <w:rFonts w:ascii="Arial" w:cs="Arial" w:eastAsia="Arial" w:hAnsi="Arial"/>
                <w:sz w:val="18"/>
                <w:szCs w:val="18"/>
                <w:color w:val="auto"/>
              </w:rPr>
              <w:t>Section 19.1.</w:t>
            </w:r>
          </w:p>
        </w:tc>
        <w:tc>
          <w:tcPr>
            <w:tcW w:w="8800" w:type="dxa"/>
            <w:vAlign w:val="bottom"/>
          </w:tcPr>
          <w:p>
            <w:pPr>
              <w:ind w:left="700"/>
              <w:spacing w:after="0"/>
              <w:rPr>
                <w:sz w:val="20"/>
                <w:szCs w:val="20"/>
                <w:color w:val="auto"/>
              </w:rPr>
            </w:pPr>
            <w:r>
              <w:rPr>
                <w:rFonts w:ascii="Arial" w:cs="Arial" w:eastAsia="Arial" w:hAnsi="Arial"/>
                <w:sz w:val="18"/>
                <w:szCs w:val="18"/>
                <w:color w:val="auto"/>
              </w:rPr>
              <w:t>End of Term Options</w:t>
            </w: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19.2.</w:t>
            </w:r>
          </w:p>
        </w:tc>
        <w:tc>
          <w:tcPr>
            <w:tcW w:w="8800" w:type="dxa"/>
            <w:vAlign w:val="bottom"/>
          </w:tcPr>
          <w:p>
            <w:pPr>
              <w:ind w:left="700"/>
              <w:spacing w:after="0"/>
              <w:rPr>
                <w:sz w:val="20"/>
                <w:szCs w:val="20"/>
                <w:color w:val="auto"/>
              </w:rPr>
            </w:pPr>
            <w:r>
              <w:rPr>
                <w:rFonts w:ascii="Arial" w:cs="Arial" w:eastAsia="Arial" w:hAnsi="Arial"/>
                <w:sz w:val="18"/>
                <w:szCs w:val="18"/>
                <w:color w:val="auto"/>
              </w:rPr>
              <w:t>Election of Options</w:t>
            </w: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960" w:type="dxa"/>
            <w:vAlign w:val="bottom"/>
          </w:tcPr>
          <w:p>
            <w:pPr>
              <w:ind w:left="400"/>
              <w:spacing w:after="0"/>
              <w:rPr>
                <w:sz w:val="20"/>
                <w:szCs w:val="20"/>
                <w:color w:val="auto"/>
              </w:rPr>
            </w:pPr>
            <w:r>
              <w:rPr>
                <w:rFonts w:ascii="Arial" w:cs="Arial" w:eastAsia="Arial" w:hAnsi="Arial"/>
                <w:sz w:val="18"/>
                <w:szCs w:val="18"/>
                <w:color w:val="auto"/>
              </w:rPr>
              <w:t>Section 19.3.</w:t>
            </w:r>
          </w:p>
        </w:tc>
        <w:tc>
          <w:tcPr>
            <w:tcW w:w="8800" w:type="dxa"/>
            <w:vAlign w:val="bottom"/>
          </w:tcPr>
          <w:p>
            <w:pPr>
              <w:ind w:left="700"/>
              <w:spacing w:after="0"/>
              <w:rPr>
                <w:sz w:val="20"/>
                <w:szCs w:val="20"/>
                <w:color w:val="auto"/>
              </w:rPr>
            </w:pPr>
            <w:r>
              <w:rPr>
                <w:rFonts w:ascii="Arial" w:cs="Arial" w:eastAsia="Arial" w:hAnsi="Arial"/>
                <w:sz w:val="18"/>
                <w:szCs w:val="18"/>
                <w:color w:val="auto"/>
              </w:rPr>
              <w:t>Renewal Options</w:t>
            </w: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ARTICLE XX</w:t>
            </w:r>
          </w:p>
        </w:tc>
        <w:tc>
          <w:tcPr>
            <w:tcW w:w="8800" w:type="dxa"/>
            <w:vAlign w:val="bottom"/>
          </w:tcPr>
          <w:p>
            <w:pPr>
              <w:ind w:left="340"/>
              <w:spacing w:after="0"/>
              <w:rPr>
                <w:sz w:val="20"/>
                <w:szCs w:val="20"/>
                <w:color w:val="auto"/>
              </w:rPr>
            </w:pPr>
            <w:r>
              <w:rPr>
                <w:rFonts w:ascii="Arial" w:cs="Arial" w:eastAsia="Arial" w:hAnsi="Arial"/>
                <w:sz w:val="18"/>
                <w:szCs w:val="18"/>
                <w:color w:val="auto"/>
              </w:rPr>
              <w:t>SALE OPTION</w:t>
            </w: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8"/>
        </w:trPr>
        <w:tc>
          <w:tcPr>
            <w:tcW w:w="1960" w:type="dxa"/>
            <w:vAlign w:val="bottom"/>
          </w:tcPr>
          <w:p>
            <w:pPr>
              <w:ind w:left="400"/>
              <w:spacing w:after="0"/>
              <w:rPr>
                <w:sz w:val="20"/>
                <w:szCs w:val="20"/>
                <w:color w:val="auto"/>
              </w:rPr>
            </w:pPr>
            <w:r>
              <w:rPr>
                <w:rFonts w:ascii="Arial" w:cs="Arial" w:eastAsia="Arial" w:hAnsi="Arial"/>
                <w:sz w:val="18"/>
                <w:szCs w:val="18"/>
                <w:color w:val="auto"/>
              </w:rPr>
              <w:t>Section 20.1.</w:t>
            </w:r>
          </w:p>
        </w:tc>
        <w:tc>
          <w:tcPr>
            <w:tcW w:w="8800" w:type="dxa"/>
            <w:vAlign w:val="bottom"/>
          </w:tcPr>
          <w:p>
            <w:pPr>
              <w:ind w:left="700"/>
              <w:spacing w:after="0"/>
              <w:rPr>
                <w:sz w:val="20"/>
                <w:szCs w:val="20"/>
                <w:color w:val="auto"/>
              </w:rPr>
            </w:pPr>
            <w:r>
              <w:rPr>
                <w:rFonts w:ascii="Arial" w:cs="Arial" w:eastAsia="Arial" w:hAnsi="Arial"/>
                <w:sz w:val="18"/>
                <w:szCs w:val="18"/>
                <w:color w:val="auto"/>
              </w:rPr>
              <w:t>Sale Option Procedures</w:t>
            </w: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960" w:type="dxa"/>
            <w:vAlign w:val="bottom"/>
          </w:tcPr>
          <w:p>
            <w:pPr>
              <w:ind w:left="400"/>
              <w:spacing w:after="0"/>
              <w:rPr>
                <w:sz w:val="20"/>
                <w:szCs w:val="20"/>
                <w:color w:val="auto"/>
              </w:rPr>
            </w:pPr>
            <w:r>
              <w:rPr>
                <w:rFonts w:ascii="Arial" w:cs="Arial" w:eastAsia="Arial" w:hAnsi="Arial"/>
                <w:sz w:val="18"/>
                <w:szCs w:val="18"/>
                <w:color w:val="auto"/>
              </w:rPr>
              <w:t>Section 20.2.</w:t>
            </w:r>
          </w:p>
        </w:tc>
        <w:tc>
          <w:tcPr>
            <w:tcW w:w="8800" w:type="dxa"/>
            <w:vAlign w:val="bottom"/>
          </w:tcPr>
          <w:p>
            <w:pPr>
              <w:ind w:left="700"/>
              <w:spacing w:after="0"/>
              <w:rPr>
                <w:sz w:val="20"/>
                <w:szCs w:val="20"/>
                <w:color w:val="auto"/>
              </w:rPr>
            </w:pPr>
            <w:r>
              <w:rPr>
                <w:rFonts w:ascii="Arial" w:cs="Arial" w:eastAsia="Arial" w:hAnsi="Arial"/>
                <w:sz w:val="18"/>
                <w:szCs w:val="18"/>
                <w:color w:val="auto"/>
              </w:rPr>
              <w:t>Certain Obligations Continue</w:t>
            </w: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ARTICLE XXI</w:t>
            </w:r>
          </w:p>
        </w:tc>
        <w:tc>
          <w:tcPr>
            <w:tcW w:w="8800" w:type="dxa"/>
            <w:vAlign w:val="bottom"/>
          </w:tcPr>
          <w:p>
            <w:pPr>
              <w:ind w:left="340"/>
              <w:spacing w:after="0"/>
              <w:rPr>
                <w:sz w:val="20"/>
                <w:szCs w:val="20"/>
                <w:color w:val="auto"/>
              </w:rPr>
            </w:pPr>
            <w:r>
              <w:rPr>
                <w:rFonts w:ascii="Arial" w:cs="Arial" w:eastAsia="Arial" w:hAnsi="Arial"/>
                <w:sz w:val="18"/>
                <w:szCs w:val="18"/>
                <w:color w:val="auto"/>
              </w:rPr>
              <w:t>PROCEDURES RELATING TO PURCHASE OR SALE OPTION</w:t>
            </w: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8"/>
        </w:trPr>
        <w:tc>
          <w:tcPr>
            <w:tcW w:w="1960" w:type="dxa"/>
            <w:vAlign w:val="bottom"/>
          </w:tcPr>
          <w:p>
            <w:pPr>
              <w:ind w:left="400"/>
              <w:spacing w:after="0"/>
              <w:rPr>
                <w:sz w:val="20"/>
                <w:szCs w:val="20"/>
                <w:color w:val="auto"/>
              </w:rPr>
            </w:pPr>
            <w:r>
              <w:rPr>
                <w:rFonts w:ascii="Arial" w:cs="Arial" w:eastAsia="Arial" w:hAnsi="Arial"/>
                <w:sz w:val="18"/>
                <w:szCs w:val="18"/>
                <w:color w:val="auto"/>
              </w:rPr>
              <w:t>Section 21.1.</w:t>
            </w:r>
          </w:p>
        </w:tc>
        <w:tc>
          <w:tcPr>
            <w:tcW w:w="8800" w:type="dxa"/>
            <w:vAlign w:val="bottom"/>
          </w:tcPr>
          <w:p>
            <w:pPr>
              <w:ind w:left="700"/>
              <w:spacing w:after="0"/>
              <w:rPr>
                <w:sz w:val="20"/>
                <w:szCs w:val="20"/>
                <w:color w:val="auto"/>
              </w:rPr>
            </w:pPr>
            <w:r>
              <w:rPr>
                <w:rFonts w:ascii="Arial" w:cs="Arial" w:eastAsia="Arial" w:hAnsi="Arial"/>
                <w:sz w:val="18"/>
                <w:szCs w:val="18"/>
                <w:color w:val="auto"/>
                <w:w w:val="94"/>
              </w:rPr>
              <w:t>Provisions Relating to Conveyance of the Leased Property Upon Purchase by the Lessee, Sales or Certain</w:t>
            </w:r>
          </w:p>
        </w:tc>
        <w:tc>
          <w:tcPr>
            <w:tcW w:w="660" w:type="dxa"/>
            <w:vAlign w:val="bottom"/>
          </w:tcPr>
          <w:p>
            <w:pPr>
              <w:spacing w:after="0"/>
              <w:rPr>
                <w:sz w:val="24"/>
                <w:szCs w:val="24"/>
                <w:color w:val="auto"/>
              </w:rPr>
            </w:pPr>
          </w:p>
        </w:tc>
      </w:tr>
      <w:tr>
        <w:trPr>
          <w:trHeight w:val="230"/>
        </w:trPr>
        <w:tc>
          <w:tcPr>
            <w:tcW w:w="1960" w:type="dxa"/>
            <w:vAlign w:val="bottom"/>
          </w:tcPr>
          <w:p>
            <w:pPr>
              <w:spacing w:after="0"/>
              <w:rPr>
                <w:sz w:val="20"/>
                <w:szCs w:val="20"/>
                <w:color w:val="auto"/>
              </w:rPr>
            </w:pPr>
          </w:p>
        </w:tc>
        <w:tc>
          <w:tcPr>
            <w:tcW w:w="8800" w:type="dxa"/>
            <w:vAlign w:val="bottom"/>
          </w:tcPr>
          <w:p>
            <w:pPr>
              <w:ind w:left="700"/>
              <w:spacing w:after="0"/>
              <w:rPr>
                <w:sz w:val="20"/>
                <w:szCs w:val="20"/>
                <w:color w:val="auto"/>
              </w:rPr>
            </w:pPr>
            <w:r>
              <w:rPr>
                <w:rFonts w:ascii="Arial" w:cs="Arial" w:eastAsia="Arial" w:hAnsi="Arial"/>
                <w:sz w:val="18"/>
                <w:szCs w:val="18"/>
                <w:color w:val="auto"/>
              </w:rPr>
              <w:t>Other Events</w:t>
            </w: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ARTICLE XXII</w:t>
            </w:r>
          </w:p>
        </w:tc>
        <w:tc>
          <w:tcPr>
            <w:tcW w:w="8800" w:type="dxa"/>
            <w:vAlign w:val="bottom"/>
          </w:tcPr>
          <w:p>
            <w:pPr>
              <w:ind w:left="340"/>
              <w:spacing w:after="0"/>
              <w:rPr>
                <w:sz w:val="20"/>
                <w:szCs w:val="20"/>
                <w:color w:val="auto"/>
              </w:rPr>
            </w:pPr>
            <w:r>
              <w:rPr>
                <w:rFonts w:ascii="Arial" w:cs="Arial" w:eastAsia="Arial" w:hAnsi="Arial"/>
                <w:sz w:val="18"/>
                <w:szCs w:val="18"/>
                <w:color w:val="auto"/>
              </w:rPr>
              <w:t>ACCEPTANCE OF SURRENDER</w:t>
            </w: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1960" w:type="dxa"/>
            <w:vAlign w:val="bottom"/>
          </w:tcPr>
          <w:p>
            <w:pPr>
              <w:ind w:left="400"/>
              <w:spacing w:after="0"/>
              <w:rPr>
                <w:sz w:val="20"/>
                <w:szCs w:val="20"/>
                <w:color w:val="auto"/>
              </w:rPr>
            </w:pPr>
            <w:r>
              <w:rPr>
                <w:rFonts w:ascii="Arial" w:cs="Arial" w:eastAsia="Arial" w:hAnsi="Arial"/>
                <w:sz w:val="18"/>
                <w:szCs w:val="18"/>
                <w:color w:val="auto"/>
              </w:rPr>
              <w:t>Section 22.1.</w:t>
            </w:r>
          </w:p>
        </w:tc>
        <w:tc>
          <w:tcPr>
            <w:tcW w:w="8800" w:type="dxa"/>
            <w:vAlign w:val="bottom"/>
          </w:tcPr>
          <w:p>
            <w:pPr>
              <w:ind w:left="700"/>
              <w:spacing w:after="0"/>
              <w:rPr>
                <w:sz w:val="20"/>
                <w:szCs w:val="20"/>
                <w:color w:val="auto"/>
              </w:rPr>
            </w:pPr>
            <w:r>
              <w:rPr>
                <w:rFonts w:ascii="Arial" w:cs="Arial" w:eastAsia="Arial" w:hAnsi="Arial"/>
                <w:sz w:val="18"/>
                <w:szCs w:val="18"/>
                <w:color w:val="auto"/>
              </w:rPr>
              <w:t>Acceptance of Surrender</w:t>
            </w: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ARTICLE XXIII</w:t>
            </w:r>
          </w:p>
        </w:tc>
        <w:tc>
          <w:tcPr>
            <w:tcW w:w="8800" w:type="dxa"/>
            <w:vAlign w:val="bottom"/>
          </w:tcPr>
          <w:p>
            <w:pPr>
              <w:ind w:left="340"/>
              <w:spacing w:after="0"/>
              <w:rPr>
                <w:sz w:val="20"/>
                <w:szCs w:val="20"/>
                <w:color w:val="auto"/>
              </w:rPr>
            </w:pPr>
            <w:r>
              <w:rPr>
                <w:rFonts w:ascii="Arial" w:cs="Arial" w:eastAsia="Arial" w:hAnsi="Arial"/>
                <w:sz w:val="18"/>
                <w:szCs w:val="18"/>
                <w:color w:val="auto"/>
              </w:rPr>
              <w:t>NO MERGER OF TITLE</w:t>
            </w: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1960" w:type="dxa"/>
            <w:vAlign w:val="bottom"/>
          </w:tcPr>
          <w:p>
            <w:pPr>
              <w:ind w:left="400"/>
              <w:spacing w:after="0"/>
              <w:rPr>
                <w:sz w:val="20"/>
                <w:szCs w:val="20"/>
                <w:color w:val="auto"/>
              </w:rPr>
            </w:pPr>
            <w:r>
              <w:rPr>
                <w:rFonts w:ascii="Arial" w:cs="Arial" w:eastAsia="Arial" w:hAnsi="Arial"/>
                <w:sz w:val="18"/>
                <w:szCs w:val="18"/>
                <w:color w:val="auto"/>
              </w:rPr>
              <w:t>Section 23.1.</w:t>
            </w:r>
          </w:p>
        </w:tc>
        <w:tc>
          <w:tcPr>
            <w:tcW w:w="8800" w:type="dxa"/>
            <w:vAlign w:val="bottom"/>
          </w:tcPr>
          <w:p>
            <w:pPr>
              <w:ind w:left="700"/>
              <w:spacing w:after="0"/>
              <w:rPr>
                <w:sz w:val="20"/>
                <w:szCs w:val="20"/>
                <w:color w:val="auto"/>
              </w:rPr>
            </w:pPr>
            <w:r>
              <w:rPr>
                <w:rFonts w:ascii="Arial" w:cs="Arial" w:eastAsia="Arial" w:hAnsi="Arial"/>
                <w:sz w:val="18"/>
                <w:szCs w:val="18"/>
                <w:color w:val="auto"/>
              </w:rPr>
              <w:t>No Merger of Title</w:t>
            </w: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ARTICLE XXIV</w:t>
            </w:r>
          </w:p>
        </w:tc>
        <w:tc>
          <w:tcPr>
            <w:tcW w:w="8800" w:type="dxa"/>
            <w:vAlign w:val="bottom"/>
          </w:tcPr>
          <w:p>
            <w:pPr>
              <w:ind w:left="340"/>
              <w:spacing w:after="0"/>
              <w:rPr>
                <w:sz w:val="20"/>
                <w:szCs w:val="20"/>
                <w:color w:val="auto"/>
              </w:rPr>
            </w:pPr>
            <w:r>
              <w:rPr>
                <w:rFonts w:ascii="Arial" w:cs="Arial" w:eastAsia="Arial" w:hAnsi="Arial"/>
                <w:sz w:val="18"/>
                <w:szCs w:val="18"/>
                <w:color w:val="auto"/>
              </w:rPr>
              <w:t>INTENT OF THE PARTIES</w:t>
            </w: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8"/>
        </w:trPr>
        <w:tc>
          <w:tcPr>
            <w:tcW w:w="1960" w:type="dxa"/>
            <w:vAlign w:val="bottom"/>
          </w:tcPr>
          <w:p>
            <w:pPr>
              <w:ind w:left="400"/>
              <w:spacing w:after="0"/>
              <w:rPr>
                <w:sz w:val="20"/>
                <w:szCs w:val="20"/>
                <w:color w:val="auto"/>
              </w:rPr>
            </w:pPr>
            <w:r>
              <w:rPr>
                <w:rFonts w:ascii="Arial" w:cs="Arial" w:eastAsia="Arial" w:hAnsi="Arial"/>
                <w:sz w:val="18"/>
                <w:szCs w:val="18"/>
                <w:color w:val="auto"/>
              </w:rPr>
              <w:t>Section 24.1.</w:t>
            </w:r>
          </w:p>
        </w:tc>
        <w:tc>
          <w:tcPr>
            <w:tcW w:w="8800" w:type="dxa"/>
            <w:vAlign w:val="bottom"/>
          </w:tcPr>
          <w:p>
            <w:pPr>
              <w:ind w:left="700"/>
              <w:spacing w:after="0"/>
              <w:rPr>
                <w:sz w:val="20"/>
                <w:szCs w:val="20"/>
                <w:color w:val="auto"/>
              </w:rPr>
            </w:pPr>
            <w:r>
              <w:rPr>
                <w:rFonts w:ascii="Arial" w:cs="Arial" w:eastAsia="Arial" w:hAnsi="Arial"/>
                <w:sz w:val="18"/>
                <w:szCs w:val="18"/>
                <w:color w:val="auto"/>
              </w:rPr>
              <w:t>Nature of Transaction</w:t>
            </w:r>
          </w:p>
        </w:tc>
        <w:tc>
          <w:tcPr>
            <w:tcW w:w="6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24.4.</w:t>
            </w:r>
          </w:p>
        </w:tc>
        <w:tc>
          <w:tcPr>
            <w:tcW w:w="8800" w:type="dxa"/>
            <w:vAlign w:val="bottom"/>
          </w:tcPr>
          <w:p>
            <w:pPr>
              <w:ind w:left="700"/>
              <w:spacing w:after="0"/>
              <w:rPr>
                <w:sz w:val="20"/>
                <w:szCs w:val="20"/>
                <w:color w:val="auto"/>
              </w:rPr>
            </w:pPr>
            <w:r>
              <w:rPr>
                <w:rFonts w:ascii="Arial" w:cs="Arial" w:eastAsia="Arial" w:hAnsi="Arial"/>
                <w:sz w:val="18"/>
                <w:szCs w:val="18"/>
                <w:color w:val="auto"/>
              </w:rPr>
              <w:t>Security Agreement</w:t>
            </w: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960" w:type="dxa"/>
            <w:vAlign w:val="bottom"/>
          </w:tcPr>
          <w:p>
            <w:pPr>
              <w:ind w:left="400"/>
              <w:spacing w:after="0"/>
              <w:rPr>
                <w:sz w:val="20"/>
                <w:szCs w:val="20"/>
                <w:color w:val="auto"/>
              </w:rPr>
            </w:pPr>
            <w:r>
              <w:rPr>
                <w:rFonts w:ascii="Arial" w:cs="Arial" w:eastAsia="Arial" w:hAnsi="Arial"/>
                <w:sz w:val="18"/>
                <w:szCs w:val="18"/>
                <w:color w:val="auto"/>
              </w:rPr>
              <w:t>Section 24.5.</w:t>
            </w:r>
          </w:p>
        </w:tc>
        <w:tc>
          <w:tcPr>
            <w:tcW w:w="8800" w:type="dxa"/>
            <w:vAlign w:val="bottom"/>
          </w:tcPr>
          <w:p>
            <w:pPr>
              <w:ind w:left="700"/>
              <w:spacing w:after="0"/>
              <w:rPr>
                <w:sz w:val="20"/>
                <w:szCs w:val="20"/>
                <w:color w:val="auto"/>
              </w:rPr>
            </w:pPr>
            <w:r>
              <w:rPr>
                <w:rFonts w:ascii="Arial" w:cs="Arial" w:eastAsia="Arial" w:hAnsi="Arial"/>
                <w:sz w:val="18"/>
                <w:szCs w:val="18"/>
                <w:color w:val="auto"/>
              </w:rPr>
              <w:t>Mortgage Remedies</w:t>
            </w: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ARTICLE XXV</w:t>
            </w:r>
          </w:p>
        </w:tc>
        <w:tc>
          <w:tcPr>
            <w:tcW w:w="8800" w:type="dxa"/>
            <w:vAlign w:val="bottom"/>
          </w:tcPr>
          <w:p>
            <w:pPr>
              <w:ind w:left="340"/>
              <w:spacing w:after="0"/>
              <w:rPr>
                <w:sz w:val="20"/>
                <w:szCs w:val="20"/>
                <w:color w:val="auto"/>
              </w:rPr>
            </w:pPr>
            <w:r>
              <w:rPr>
                <w:rFonts w:ascii="Arial" w:cs="Arial" w:eastAsia="Arial" w:hAnsi="Arial"/>
                <w:sz w:val="18"/>
                <w:szCs w:val="18"/>
                <w:color w:val="auto"/>
              </w:rPr>
              <w:t>MISCELLANEOUS</w:t>
            </w: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8"/>
        </w:trPr>
        <w:tc>
          <w:tcPr>
            <w:tcW w:w="1960" w:type="dxa"/>
            <w:vAlign w:val="bottom"/>
          </w:tcPr>
          <w:p>
            <w:pPr>
              <w:ind w:left="400"/>
              <w:spacing w:after="0"/>
              <w:rPr>
                <w:sz w:val="20"/>
                <w:szCs w:val="20"/>
                <w:color w:val="auto"/>
              </w:rPr>
            </w:pPr>
            <w:r>
              <w:rPr>
                <w:rFonts w:ascii="Arial" w:cs="Arial" w:eastAsia="Arial" w:hAnsi="Arial"/>
                <w:sz w:val="18"/>
                <w:szCs w:val="18"/>
                <w:color w:val="auto"/>
              </w:rPr>
              <w:t>Section 25.1.</w:t>
            </w:r>
          </w:p>
        </w:tc>
        <w:tc>
          <w:tcPr>
            <w:tcW w:w="8800" w:type="dxa"/>
            <w:vAlign w:val="bottom"/>
          </w:tcPr>
          <w:p>
            <w:pPr>
              <w:ind w:left="700"/>
              <w:spacing w:after="0"/>
              <w:rPr>
                <w:sz w:val="20"/>
                <w:szCs w:val="20"/>
                <w:color w:val="auto"/>
              </w:rPr>
            </w:pPr>
            <w:r>
              <w:rPr>
                <w:rFonts w:ascii="Arial" w:cs="Arial" w:eastAsia="Arial" w:hAnsi="Arial"/>
                <w:sz w:val="18"/>
                <w:szCs w:val="18"/>
                <w:color w:val="auto"/>
              </w:rPr>
              <w:t>Survival; Severability; Etc.</w:t>
            </w: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25.2.</w:t>
            </w:r>
          </w:p>
        </w:tc>
        <w:tc>
          <w:tcPr>
            <w:tcW w:w="8800" w:type="dxa"/>
            <w:vAlign w:val="bottom"/>
          </w:tcPr>
          <w:p>
            <w:pPr>
              <w:ind w:left="700"/>
              <w:spacing w:after="0"/>
              <w:rPr>
                <w:sz w:val="20"/>
                <w:szCs w:val="20"/>
                <w:color w:val="auto"/>
              </w:rPr>
            </w:pPr>
            <w:r>
              <w:rPr>
                <w:rFonts w:ascii="Arial" w:cs="Arial" w:eastAsia="Arial" w:hAnsi="Arial"/>
                <w:sz w:val="18"/>
                <w:szCs w:val="18"/>
                <w:color w:val="auto"/>
              </w:rPr>
              <w:t>Amendments and Modifications</w:t>
            </w: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25.3.</w:t>
            </w:r>
          </w:p>
        </w:tc>
        <w:tc>
          <w:tcPr>
            <w:tcW w:w="8800" w:type="dxa"/>
            <w:vAlign w:val="bottom"/>
          </w:tcPr>
          <w:p>
            <w:pPr>
              <w:ind w:left="700"/>
              <w:spacing w:after="0"/>
              <w:rPr>
                <w:sz w:val="20"/>
                <w:szCs w:val="20"/>
                <w:color w:val="auto"/>
              </w:rPr>
            </w:pPr>
            <w:r>
              <w:rPr>
                <w:rFonts w:ascii="Arial" w:cs="Arial" w:eastAsia="Arial" w:hAnsi="Arial"/>
                <w:sz w:val="18"/>
                <w:szCs w:val="18"/>
                <w:color w:val="auto"/>
              </w:rPr>
              <w:t>No Waiver</w:t>
            </w: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25.4.</w:t>
            </w:r>
          </w:p>
        </w:tc>
        <w:tc>
          <w:tcPr>
            <w:tcW w:w="8800" w:type="dxa"/>
            <w:vAlign w:val="bottom"/>
          </w:tcPr>
          <w:p>
            <w:pPr>
              <w:ind w:left="700"/>
              <w:spacing w:after="0"/>
              <w:rPr>
                <w:sz w:val="20"/>
                <w:szCs w:val="20"/>
                <w:color w:val="auto"/>
              </w:rPr>
            </w:pPr>
            <w:r>
              <w:rPr>
                <w:rFonts w:ascii="Arial" w:cs="Arial" w:eastAsia="Arial" w:hAnsi="Arial"/>
                <w:sz w:val="18"/>
                <w:szCs w:val="18"/>
                <w:color w:val="auto"/>
              </w:rPr>
              <w:t>Notices</w:t>
            </w: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25.5.</w:t>
            </w:r>
          </w:p>
        </w:tc>
        <w:tc>
          <w:tcPr>
            <w:tcW w:w="8800" w:type="dxa"/>
            <w:vAlign w:val="bottom"/>
          </w:tcPr>
          <w:p>
            <w:pPr>
              <w:ind w:left="700"/>
              <w:spacing w:after="0"/>
              <w:rPr>
                <w:sz w:val="20"/>
                <w:szCs w:val="20"/>
                <w:color w:val="auto"/>
              </w:rPr>
            </w:pPr>
            <w:r>
              <w:rPr>
                <w:rFonts w:ascii="Arial" w:cs="Arial" w:eastAsia="Arial" w:hAnsi="Arial"/>
                <w:sz w:val="18"/>
                <w:szCs w:val="18"/>
                <w:color w:val="auto"/>
              </w:rPr>
              <w:t>Successors and Assigns</w:t>
            </w: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25.6.</w:t>
            </w:r>
          </w:p>
        </w:tc>
        <w:tc>
          <w:tcPr>
            <w:tcW w:w="8800" w:type="dxa"/>
            <w:vAlign w:val="bottom"/>
          </w:tcPr>
          <w:p>
            <w:pPr>
              <w:ind w:left="700"/>
              <w:spacing w:after="0"/>
              <w:rPr>
                <w:sz w:val="20"/>
                <w:szCs w:val="20"/>
                <w:color w:val="auto"/>
              </w:rPr>
            </w:pPr>
            <w:r>
              <w:rPr>
                <w:rFonts w:ascii="Arial" w:cs="Arial" w:eastAsia="Arial" w:hAnsi="Arial"/>
                <w:sz w:val="18"/>
                <w:szCs w:val="18"/>
                <w:color w:val="auto"/>
              </w:rPr>
              <w:t>Headings and Table of Contents</w:t>
            </w: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2"/>
        </w:trPr>
        <w:tc>
          <w:tcPr>
            <w:tcW w:w="1960" w:type="dxa"/>
            <w:vAlign w:val="bottom"/>
          </w:tcPr>
          <w:p>
            <w:pPr>
              <w:ind w:left="400"/>
              <w:spacing w:after="0"/>
              <w:rPr>
                <w:sz w:val="20"/>
                <w:szCs w:val="20"/>
                <w:color w:val="auto"/>
              </w:rPr>
            </w:pPr>
            <w:r>
              <w:rPr>
                <w:rFonts w:ascii="Arial" w:cs="Arial" w:eastAsia="Arial" w:hAnsi="Arial"/>
                <w:sz w:val="18"/>
                <w:szCs w:val="18"/>
                <w:color w:val="auto"/>
              </w:rPr>
              <w:t>Section 25.7.</w:t>
            </w:r>
          </w:p>
        </w:tc>
        <w:tc>
          <w:tcPr>
            <w:tcW w:w="8800" w:type="dxa"/>
            <w:vAlign w:val="bottom"/>
          </w:tcPr>
          <w:p>
            <w:pPr>
              <w:ind w:left="700"/>
              <w:spacing w:after="0"/>
              <w:rPr>
                <w:sz w:val="20"/>
                <w:szCs w:val="20"/>
                <w:color w:val="auto"/>
              </w:rPr>
            </w:pPr>
            <w:r>
              <w:rPr>
                <w:rFonts w:ascii="Arial" w:cs="Arial" w:eastAsia="Arial" w:hAnsi="Arial"/>
                <w:sz w:val="18"/>
                <w:szCs w:val="18"/>
                <w:color w:val="auto"/>
              </w:rPr>
              <w:t>Counterparts</w:t>
            </w: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0"/>
        </w:trPr>
        <w:tc>
          <w:tcPr>
            <w:tcW w:w="1960" w:type="dxa"/>
            <w:vAlign w:val="bottom"/>
          </w:tcPr>
          <w:p>
            <w:pPr>
              <w:ind w:left="400"/>
              <w:spacing w:after="0"/>
              <w:rPr>
                <w:sz w:val="20"/>
                <w:szCs w:val="20"/>
                <w:color w:val="auto"/>
              </w:rPr>
            </w:pPr>
            <w:r>
              <w:rPr>
                <w:rFonts w:ascii="Arial" w:cs="Arial" w:eastAsia="Arial" w:hAnsi="Arial"/>
                <w:sz w:val="18"/>
                <w:szCs w:val="18"/>
                <w:b w:val="1"/>
                <w:bCs w:val="1"/>
                <w:color w:val="auto"/>
              </w:rPr>
              <w:t>SECTION 25.8.</w:t>
            </w:r>
          </w:p>
        </w:tc>
        <w:tc>
          <w:tcPr>
            <w:tcW w:w="8800" w:type="dxa"/>
            <w:vAlign w:val="bottom"/>
          </w:tcPr>
          <w:p>
            <w:pPr>
              <w:ind w:left="700"/>
              <w:spacing w:after="0"/>
              <w:rPr>
                <w:sz w:val="20"/>
                <w:szCs w:val="20"/>
                <w:color w:val="auto"/>
              </w:rPr>
            </w:pPr>
            <w:r>
              <w:rPr>
                <w:rFonts w:ascii="Arial" w:cs="Arial" w:eastAsia="Arial" w:hAnsi="Arial"/>
                <w:sz w:val="18"/>
                <w:szCs w:val="18"/>
                <w:b w:val="1"/>
                <w:bCs w:val="1"/>
                <w:color w:val="auto"/>
              </w:rPr>
              <w:t>GOVERNING LAW</w:t>
            </w: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25.9.</w:t>
            </w:r>
          </w:p>
        </w:tc>
        <w:tc>
          <w:tcPr>
            <w:tcW w:w="8800" w:type="dxa"/>
            <w:vAlign w:val="bottom"/>
          </w:tcPr>
          <w:p>
            <w:pPr>
              <w:ind w:left="700"/>
              <w:spacing w:after="0"/>
              <w:rPr>
                <w:sz w:val="20"/>
                <w:szCs w:val="20"/>
                <w:color w:val="auto"/>
              </w:rPr>
            </w:pPr>
            <w:r>
              <w:rPr>
                <w:rFonts w:ascii="Arial" w:cs="Arial" w:eastAsia="Arial" w:hAnsi="Arial"/>
                <w:sz w:val="18"/>
                <w:szCs w:val="18"/>
                <w:color w:val="auto"/>
              </w:rPr>
              <w:t>Original Lease</w:t>
            </w: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25.10.</w:t>
            </w:r>
          </w:p>
        </w:tc>
        <w:tc>
          <w:tcPr>
            <w:tcW w:w="8800" w:type="dxa"/>
            <w:vAlign w:val="bottom"/>
          </w:tcPr>
          <w:p>
            <w:pPr>
              <w:ind w:left="700"/>
              <w:spacing w:after="0"/>
              <w:rPr>
                <w:sz w:val="20"/>
                <w:szCs w:val="20"/>
                <w:color w:val="auto"/>
              </w:rPr>
            </w:pPr>
            <w:r>
              <w:rPr>
                <w:rFonts w:ascii="Arial" w:cs="Arial" w:eastAsia="Arial" w:hAnsi="Arial"/>
                <w:sz w:val="18"/>
                <w:szCs w:val="18"/>
                <w:color w:val="auto"/>
              </w:rPr>
              <w:t>Limitations on Recourse</w:t>
            </w: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25.11.</w:t>
            </w:r>
          </w:p>
        </w:tc>
        <w:tc>
          <w:tcPr>
            <w:tcW w:w="8800" w:type="dxa"/>
            <w:vAlign w:val="bottom"/>
          </w:tcPr>
          <w:p>
            <w:pPr>
              <w:ind w:left="700"/>
              <w:spacing w:after="0"/>
              <w:rPr>
                <w:sz w:val="20"/>
                <w:szCs w:val="20"/>
                <w:color w:val="auto"/>
              </w:rPr>
            </w:pPr>
            <w:r>
              <w:rPr>
                <w:rFonts w:ascii="Arial" w:cs="Arial" w:eastAsia="Arial" w:hAnsi="Arial"/>
                <w:sz w:val="18"/>
                <w:szCs w:val="18"/>
                <w:color w:val="auto"/>
              </w:rPr>
              <w:t>Transfer of Leased Property</w:t>
            </w: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960" w:type="dxa"/>
            <w:vAlign w:val="bottom"/>
          </w:tcPr>
          <w:p>
            <w:pPr>
              <w:ind w:left="400"/>
              <w:spacing w:after="0"/>
              <w:rPr>
                <w:sz w:val="20"/>
                <w:szCs w:val="20"/>
                <w:color w:val="auto"/>
              </w:rPr>
            </w:pPr>
            <w:r>
              <w:rPr>
                <w:rFonts w:ascii="Arial" w:cs="Arial" w:eastAsia="Arial" w:hAnsi="Arial"/>
                <w:sz w:val="18"/>
                <w:szCs w:val="18"/>
                <w:color w:val="auto"/>
              </w:rPr>
              <w:t>Section 25.13.</w:t>
            </w:r>
          </w:p>
        </w:tc>
        <w:tc>
          <w:tcPr>
            <w:tcW w:w="8800" w:type="dxa"/>
            <w:vAlign w:val="bottom"/>
          </w:tcPr>
          <w:p>
            <w:pPr>
              <w:ind w:left="700"/>
              <w:spacing w:after="0"/>
              <w:rPr>
                <w:sz w:val="20"/>
                <w:szCs w:val="20"/>
                <w:color w:val="auto"/>
              </w:rPr>
            </w:pPr>
            <w:r>
              <w:rPr>
                <w:rFonts w:ascii="Arial" w:cs="Arial" w:eastAsia="Arial" w:hAnsi="Arial"/>
                <w:sz w:val="18"/>
                <w:szCs w:val="18"/>
                <w:color w:val="auto"/>
              </w:rPr>
              <w:t>Memorandum of Lease</w:t>
            </w: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960" w:type="dxa"/>
            <w:vAlign w:val="bottom"/>
          </w:tcPr>
          <w:p>
            <w:pPr>
              <w:ind w:left="400"/>
              <w:spacing w:after="0"/>
              <w:rPr>
                <w:sz w:val="20"/>
                <w:szCs w:val="20"/>
                <w:color w:val="auto"/>
              </w:rPr>
            </w:pPr>
            <w:r>
              <w:rPr>
                <w:rFonts w:ascii="Arial" w:cs="Arial" w:eastAsia="Arial" w:hAnsi="Arial"/>
                <w:sz w:val="18"/>
                <w:szCs w:val="18"/>
                <w:color w:val="auto"/>
              </w:rPr>
              <w:t>Section 25.14.</w:t>
            </w:r>
          </w:p>
        </w:tc>
        <w:tc>
          <w:tcPr>
            <w:tcW w:w="8800" w:type="dxa"/>
            <w:vAlign w:val="bottom"/>
          </w:tcPr>
          <w:p>
            <w:pPr>
              <w:ind w:left="700"/>
              <w:spacing w:after="0"/>
              <w:rPr>
                <w:sz w:val="20"/>
                <w:szCs w:val="20"/>
                <w:color w:val="auto"/>
              </w:rPr>
            </w:pPr>
            <w:r>
              <w:rPr>
                <w:rFonts w:ascii="Arial" w:cs="Arial" w:eastAsia="Arial" w:hAnsi="Arial"/>
                <w:sz w:val="18"/>
                <w:szCs w:val="18"/>
                <w:color w:val="auto"/>
              </w:rPr>
              <w:t>Further Assurances</w:t>
            </w: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EXHIBIT A</w:t>
            </w:r>
          </w:p>
        </w:tc>
        <w:tc>
          <w:tcPr>
            <w:tcW w:w="960" w:type="dxa"/>
            <w:vAlign w:val="bottom"/>
          </w:tcPr>
          <w:p>
            <w:pPr>
              <w:ind w:left="480"/>
              <w:spacing w:after="0"/>
              <w:rPr>
                <w:sz w:val="20"/>
                <w:szCs w:val="20"/>
                <w:color w:val="auto"/>
              </w:rPr>
            </w:pPr>
            <w:r>
              <w:rPr>
                <w:rFonts w:ascii="Arial" w:cs="Arial" w:eastAsia="Arial" w:hAnsi="Arial"/>
                <w:sz w:val="18"/>
                <w:szCs w:val="18"/>
                <w:color w:val="auto"/>
              </w:rPr>
              <w:t>—</w:t>
            </w:r>
          </w:p>
        </w:tc>
        <w:tc>
          <w:tcPr>
            <w:tcW w:w="2620" w:type="dxa"/>
            <w:vAlign w:val="bottom"/>
          </w:tcPr>
          <w:p>
            <w:pPr>
              <w:ind w:left="320"/>
              <w:spacing w:after="0"/>
              <w:rPr>
                <w:sz w:val="20"/>
                <w:szCs w:val="20"/>
                <w:color w:val="auto"/>
              </w:rPr>
            </w:pPr>
            <w:r>
              <w:rPr>
                <w:rFonts w:ascii="Arial" w:cs="Arial" w:eastAsia="Arial" w:hAnsi="Arial"/>
                <w:sz w:val="18"/>
                <w:szCs w:val="18"/>
                <w:color w:val="auto"/>
                <w:w w:val="92"/>
              </w:rPr>
              <w:t>Description of Leased Property</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B</w:t>
            </w:r>
          </w:p>
        </w:tc>
        <w:tc>
          <w:tcPr>
            <w:tcW w:w="960" w:type="dxa"/>
            <w:vAlign w:val="bottom"/>
          </w:tcPr>
          <w:p>
            <w:pPr>
              <w:ind w:left="480"/>
              <w:spacing w:after="0"/>
              <w:rPr>
                <w:sz w:val="20"/>
                <w:szCs w:val="20"/>
                <w:color w:val="auto"/>
              </w:rPr>
            </w:pPr>
            <w:r>
              <w:rPr>
                <w:rFonts w:ascii="Arial" w:cs="Arial" w:eastAsia="Arial" w:hAnsi="Arial"/>
                <w:sz w:val="18"/>
                <w:szCs w:val="18"/>
                <w:color w:val="auto"/>
              </w:rPr>
              <w:t>—</w:t>
            </w:r>
          </w:p>
        </w:tc>
        <w:tc>
          <w:tcPr>
            <w:tcW w:w="2620" w:type="dxa"/>
            <w:vAlign w:val="bottom"/>
          </w:tcPr>
          <w:p>
            <w:pPr>
              <w:ind w:left="320"/>
              <w:spacing w:after="0"/>
              <w:rPr>
                <w:sz w:val="20"/>
                <w:szCs w:val="20"/>
                <w:color w:val="auto"/>
              </w:rPr>
            </w:pPr>
            <w:r>
              <w:rPr>
                <w:rFonts w:ascii="Arial" w:cs="Arial" w:eastAsia="Arial" w:hAnsi="Arial"/>
                <w:sz w:val="18"/>
                <w:szCs w:val="18"/>
                <w:color w:val="auto"/>
                <w:w w:val="90"/>
              </w:rPr>
              <w:t>Form of Memorandum of Lease</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EXHIBIT C</w:t>
            </w:r>
          </w:p>
        </w:tc>
        <w:tc>
          <w:tcPr>
            <w:tcW w:w="960" w:type="dxa"/>
            <w:vAlign w:val="bottom"/>
          </w:tcPr>
          <w:p>
            <w:pPr>
              <w:ind w:left="480"/>
              <w:spacing w:after="0"/>
              <w:rPr>
                <w:sz w:val="20"/>
                <w:szCs w:val="20"/>
                <w:color w:val="auto"/>
              </w:rPr>
            </w:pPr>
            <w:r>
              <w:rPr>
                <w:rFonts w:ascii="Arial" w:cs="Arial" w:eastAsia="Arial" w:hAnsi="Arial"/>
                <w:sz w:val="18"/>
                <w:szCs w:val="18"/>
                <w:color w:val="auto"/>
              </w:rPr>
              <w:t>—</w:t>
            </w:r>
          </w:p>
        </w:tc>
        <w:tc>
          <w:tcPr>
            <w:tcW w:w="2620" w:type="dxa"/>
            <w:vAlign w:val="bottom"/>
          </w:tcPr>
          <w:p>
            <w:pPr>
              <w:ind w:left="320"/>
              <w:spacing w:after="0"/>
              <w:rPr>
                <w:sz w:val="20"/>
                <w:szCs w:val="20"/>
                <w:color w:val="auto"/>
              </w:rPr>
            </w:pPr>
            <w:r>
              <w:rPr>
                <w:rFonts w:ascii="Arial" w:cs="Arial" w:eastAsia="Arial" w:hAnsi="Arial"/>
                <w:sz w:val="18"/>
                <w:szCs w:val="18"/>
                <w:color w:val="auto"/>
              </w:rPr>
              <w:t>Form of SNDA</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SCHEDULE A</w:t>
            </w:r>
          </w:p>
        </w:tc>
        <w:tc>
          <w:tcPr>
            <w:tcW w:w="960" w:type="dxa"/>
            <w:vAlign w:val="bottom"/>
          </w:tcPr>
          <w:p>
            <w:pPr>
              <w:ind w:left="480"/>
              <w:spacing w:after="0"/>
              <w:rPr>
                <w:sz w:val="20"/>
                <w:szCs w:val="20"/>
                <w:color w:val="auto"/>
              </w:rPr>
            </w:pPr>
            <w:r>
              <w:rPr>
                <w:rFonts w:ascii="Arial" w:cs="Arial" w:eastAsia="Arial" w:hAnsi="Arial"/>
                <w:sz w:val="18"/>
                <w:szCs w:val="18"/>
                <w:color w:val="auto"/>
              </w:rPr>
              <w:t>—</w:t>
            </w:r>
          </w:p>
        </w:tc>
        <w:tc>
          <w:tcPr>
            <w:tcW w:w="2620" w:type="dxa"/>
            <w:vAlign w:val="bottom"/>
          </w:tcPr>
          <w:p>
            <w:pPr>
              <w:ind w:left="320"/>
              <w:spacing w:after="0"/>
              <w:rPr>
                <w:sz w:val="20"/>
                <w:szCs w:val="20"/>
                <w:color w:val="auto"/>
              </w:rPr>
            </w:pPr>
            <w:r>
              <w:rPr>
                <w:rFonts w:ascii="Arial" w:cs="Arial" w:eastAsia="Arial" w:hAnsi="Arial"/>
                <w:sz w:val="18"/>
                <w:szCs w:val="18"/>
                <w:color w:val="auto"/>
                <w:w w:val="95"/>
              </w:rPr>
              <w:t>Permitted Development Plans</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SCHEDULE B</w:t>
            </w:r>
          </w:p>
        </w:tc>
        <w:tc>
          <w:tcPr>
            <w:tcW w:w="960" w:type="dxa"/>
            <w:vAlign w:val="bottom"/>
          </w:tcPr>
          <w:p>
            <w:pPr>
              <w:ind w:left="480"/>
              <w:spacing w:after="0"/>
              <w:rPr>
                <w:sz w:val="20"/>
                <w:szCs w:val="20"/>
                <w:color w:val="auto"/>
              </w:rPr>
            </w:pPr>
            <w:r>
              <w:rPr>
                <w:rFonts w:ascii="Arial" w:cs="Arial" w:eastAsia="Arial" w:hAnsi="Arial"/>
                <w:sz w:val="18"/>
                <w:szCs w:val="18"/>
                <w:color w:val="auto"/>
              </w:rPr>
              <w:t>—</w:t>
            </w:r>
          </w:p>
        </w:tc>
        <w:tc>
          <w:tcPr>
            <w:tcW w:w="2620" w:type="dxa"/>
            <w:vAlign w:val="bottom"/>
          </w:tcPr>
          <w:p>
            <w:pPr>
              <w:ind w:left="320"/>
              <w:spacing w:after="0"/>
              <w:rPr>
                <w:sz w:val="20"/>
                <w:szCs w:val="20"/>
                <w:color w:val="auto"/>
              </w:rPr>
            </w:pPr>
            <w:r>
              <w:rPr>
                <w:rFonts w:ascii="Arial" w:cs="Arial" w:eastAsia="Arial" w:hAnsi="Arial"/>
                <w:sz w:val="18"/>
                <w:szCs w:val="18"/>
                <w:color w:val="auto"/>
                <w:w w:val="94"/>
              </w:rPr>
              <w:t>Permitted Development Areas</w:t>
            </w:r>
          </w:p>
        </w:tc>
      </w:tr>
      <w:tr>
        <w:trPr>
          <w:trHeight w:val="432"/>
        </w:trPr>
        <w:tc>
          <w:tcPr>
            <w:tcW w:w="1600" w:type="dxa"/>
            <w:vAlign w:val="bottom"/>
          </w:tcPr>
          <w:p>
            <w:pPr>
              <w:spacing w:after="0"/>
              <w:rPr>
                <w:sz w:val="20"/>
                <w:szCs w:val="20"/>
                <w:color w:val="auto"/>
              </w:rPr>
            </w:pPr>
            <w:r>
              <w:rPr>
                <w:rFonts w:ascii="Arial" w:cs="Arial" w:eastAsia="Arial" w:hAnsi="Arial"/>
                <w:sz w:val="18"/>
                <w:szCs w:val="18"/>
                <w:color w:val="auto"/>
              </w:rPr>
              <w:t>SCHEDULE C</w:t>
            </w:r>
          </w:p>
        </w:tc>
        <w:tc>
          <w:tcPr>
            <w:tcW w:w="960" w:type="dxa"/>
            <w:vAlign w:val="bottom"/>
          </w:tcPr>
          <w:p>
            <w:pPr>
              <w:ind w:left="480"/>
              <w:spacing w:after="0"/>
              <w:rPr>
                <w:sz w:val="20"/>
                <w:szCs w:val="20"/>
                <w:color w:val="auto"/>
              </w:rPr>
            </w:pPr>
            <w:r>
              <w:rPr>
                <w:rFonts w:ascii="Arial" w:cs="Arial" w:eastAsia="Arial" w:hAnsi="Arial"/>
                <w:sz w:val="18"/>
                <w:szCs w:val="18"/>
                <w:color w:val="auto"/>
              </w:rPr>
              <w:t>—</w:t>
            </w:r>
          </w:p>
        </w:tc>
        <w:tc>
          <w:tcPr>
            <w:tcW w:w="2620" w:type="dxa"/>
            <w:vAlign w:val="bottom"/>
          </w:tcPr>
          <w:p>
            <w:pPr>
              <w:ind w:left="320"/>
              <w:spacing w:after="0"/>
              <w:rPr>
                <w:sz w:val="20"/>
                <w:szCs w:val="20"/>
                <w:color w:val="auto"/>
              </w:rPr>
            </w:pPr>
            <w:r>
              <w:rPr>
                <w:rFonts w:ascii="Arial" w:cs="Arial" w:eastAsia="Arial" w:hAnsi="Arial"/>
                <w:sz w:val="18"/>
                <w:szCs w:val="18"/>
                <w:color w:val="auto"/>
                <w:w w:val="98"/>
              </w:rPr>
              <w:t>Permitted 767 Improvements</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 AND REMEDIES AGREEMENT</w:t>
      </w:r>
    </w:p>
    <w:p>
      <w:pPr>
        <w:spacing w:after="0" w:line="229" w:lineRule="exact"/>
        <w:rPr>
          <w:sz w:val="20"/>
          <w:szCs w:val="20"/>
          <w:color w:val="auto"/>
        </w:rPr>
      </w:pPr>
    </w:p>
    <w:p>
      <w:pPr>
        <w:jc w:val="both"/>
        <w:ind w:right="140" w:firstLine="648"/>
        <w:spacing w:after="0" w:line="342" w:lineRule="auto"/>
        <w:rPr>
          <w:sz w:val="20"/>
          <w:szCs w:val="20"/>
          <w:color w:val="auto"/>
        </w:rPr>
      </w:pPr>
      <w:r>
        <w:rPr>
          <w:rFonts w:ascii="Arial" w:cs="Arial" w:eastAsia="Arial" w:hAnsi="Arial"/>
          <w:sz w:val="16"/>
          <w:szCs w:val="16"/>
          <w:color w:val="auto"/>
        </w:rPr>
        <w:t>This Lease and Remedies Agreement dated as of March 3, 2017 (as amended, supplemented, or otherwise modified from time to time, this “</w:t>
      </w:r>
      <w:r>
        <w:rPr>
          <w:rFonts w:ascii="Arial" w:cs="Arial" w:eastAsia="Arial" w:hAnsi="Arial"/>
          <w:sz w:val="16"/>
          <w:szCs w:val="16"/>
          <w:i w:val="1"/>
          <w:iCs w:val="1"/>
          <w:color w:val="auto"/>
        </w:rPr>
        <w:t>Lease</w:t>
      </w:r>
      <w:r>
        <w:rPr>
          <w:rFonts w:ascii="Arial" w:cs="Arial" w:eastAsia="Arial" w:hAnsi="Arial"/>
          <w:sz w:val="16"/>
          <w:szCs w:val="16"/>
          <w:color w:val="auto"/>
        </w:rPr>
        <w:t>” or “</w:t>
      </w:r>
      <w:r>
        <w:rPr>
          <w:rFonts w:ascii="Arial" w:cs="Arial" w:eastAsia="Arial" w:hAnsi="Arial"/>
          <w:sz w:val="16"/>
          <w:szCs w:val="16"/>
          <w:i w:val="1"/>
          <w:iCs w:val="1"/>
          <w:color w:val="auto"/>
        </w:rPr>
        <w:t>Mortgage</w:t>
      </w:r>
      <w:r>
        <w:rPr>
          <w:rFonts w:ascii="Arial" w:cs="Arial" w:eastAsia="Arial" w:hAnsi="Arial"/>
          <w:sz w:val="16"/>
          <w:szCs w:val="16"/>
          <w:color w:val="auto"/>
        </w:rPr>
        <w:t>”), between BA LEASING BSC, LLC, a Delaware limited liability company, having its principal office at 11333 McCormick Road, Mailcode:</w:t>
      </w:r>
    </w:p>
    <w:p>
      <w:pPr>
        <w:sectPr>
          <w:pgSz w:w="11900" w:h="16838" w:orient="portrait"/>
          <w:cols w:equalWidth="0" w:num="1">
            <w:col w:w="11420"/>
          </w:cols>
          <w:pgMar w:left="240" w:top="733" w:right="239" w:bottom="0" w:gutter="0" w:footer="0" w:header="0"/>
        </w:sectPr>
      </w:pPr>
    </w:p>
    <w:bookmarkStart w:id="88" w:name="page89"/>
    <w:bookmarkEnd w:id="88"/>
    <w:p>
      <w:pPr>
        <w:spacing w:after="0" w:line="10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MD5-032-07-05, Hunt Valley, Maryland 21031, as Lessor (“</w:t>
      </w:r>
      <w:r>
        <w:rPr>
          <w:rFonts w:ascii="Arial" w:cs="Arial" w:eastAsia="Arial" w:hAnsi="Arial"/>
          <w:sz w:val="18"/>
          <w:szCs w:val="18"/>
          <w:i w:val="1"/>
          <w:iCs w:val="1"/>
          <w:color w:val="auto"/>
        </w:rPr>
        <w:t>Lessor</w:t>
      </w:r>
      <w:r>
        <w:rPr>
          <w:rFonts w:ascii="Arial" w:cs="Arial" w:eastAsia="Arial" w:hAnsi="Arial"/>
          <w:sz w:val="18"/>
          <w:szCs w:val="18"/>
          <w:color w:val="auto"/>
        </w:rPr>
        <w:t>”), and OLD SAW MILL HOLDINGS LLC, a New York limited liability company, having its principal office at 777 Old Saw Mill River Road, Tarrytown, New York 10591, as Lessee (“</w:t>
      </w:r>
      <w:r>
        <w:rPr>
          <w:rFonts w:ascii="Arial" w:cs="Arial" w:eastAsia="Arial" w:hAnsi="Arial"/>
          <w:sz w:val="18"/>
          <w:szCs w:val="18"/>
          <w:i w:val="1"/>
          <w:iCs w:val="1"/>
          <w:color w:val="auto"/>
        </w:rPr>
        <w:t>Lessee</w:t>
      </w:r>
      <w:r>
        <w:rPr>
          <w:rFonts w:ascii="Arial" w:cs="Arial" w:eastAsia="Arial" w:hAnsi="Arial"/>
          <w:sz w:val="18"/>
          <w:szCs w:val="18"/>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9" w:lineRule="exact"/>
        <w:rPr>
          <w:sz w:val="20"/>
          <w:szCs w:val="20"/>
          <w:color w:val="auto"/>
        </w:rPr>
      </w:pPr>
    </w:p>
    <w:p>
      <w:pPr>
        <w:ind w:left="1320" w:hanging="650"/>
        <w:spacing w:after="0"/>
        <w:tabs>
          <w:tab w:leader="none" w:pos="132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parties are entering into the Operative Documents pursuant to which the Participants agree to provide financing for the Leased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Property.</w:t>
      </w:r>
    </w:p>
    <w:p>
      <w:pPr>
        <w:spacing w:after="0" w:line="211" w:lineRule="exact"/>
        <w:rPr>
          <w:sz w:val="20"/>
          <w:szCs w:val="20"/>
          <w:color w:val="auto"/>
        </w:rPr>
      </w:pPr>
    </w:p>
    <w:p>
      <w:pPr>
        <w:ind w:right="280" w:firstLine="670"/>
        <w:spacing w:after="0" w:line="277" w:lineRule="auto"/>
        <w:tabs>
          <w:tab w:leader="none" w:pos="129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On the Document Closing Date, the Lessor will, through the proceeds of the Advance, purchase the Site and the Facility from Seller free and clear of all Liens other than Permitted Liens.</w:t>
      </w:r>
    </w:p>
    <w:p>
      <w:pPr>
        <w:spacing w:after="0" w:line="170" w:lineRule="exact"/>
        <w:rPr>
          <w:rFonts w:ascii="Arial" w:cs="Arial" w:eastAsia="Arial" w:hAnsi="Arial"/>
          <w:sz w:val="18"/>
          <w:szCs w:val="18"/>
          <w:color w:val="auto"/>
        </w:rPr>
      </w:pPr>
    </w:p>
    <w:p>
      <w:pPr>
        <w:ind w:right="160" w:firstLine="670"/>
        <w:spacing w:after="0" w:line="277" w:lineRule="auto"/>
        <w:tabs>
          <w:tab w:leader="none" w:pos="129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Pursuant to this Lease, Lessor will lease the Leased Property, inclusive of Lessor’s leasehold interest in the Site, to Lessee and Lessee will lease the Leased Property from Lessor.</w:t>
      </w:r>
    </w:p>
    <w:p>
      <w:pPr>
        <w:spacing w:after="0" w:line="170" w:lineRule="exact"/>
        <w:rPr>
          <w:rFonts w:ascii="Arial" w:cs="Arial" w:eastAsia="Arial" w:hAnsi="Arial"/>
          <w:sz w:val="18"/>
          <w:szCs w:val="18"/>
          <w:color w:val="auto"/>
        </w:rPr>
      </w:pPr>
    </w:p>
    <w:p>
      <w:pPr>
        <w:ind w:right="520" w:firstLine="670"/>
        <w:spacing w:after="0" w:line="277" w:lineRule="auto"/>
        <w:tabs>
          <w:tab w:leader="none" w:pos="130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This Mortgage is given to Lessor to secure obligations from Lessee under the Operative Documents in the amount of Seven Hundred Twenty Million Dollars ($720,000,000) plus interest and all other amounts owing under the Operative Documents.</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NOW, THEREFORE, in consideration of the foregoing, and of other good and valuable consideration, the receipt and sufficiency of which are hereby acknowledged, the parties hereto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EFFECTIVENESS</w:t>
      </w:r>
    </w:p>
    <w:p>
      <w:pPr>
        <w:spacing w:after="0" w:line="211" w:lineRule="exact"/>
        <w:rPr>
          <w:sz w:val="20"/>
          <w:szCs w:val="20"/>
          <w:color w:val="auto"/>
        </w:rPr>
      </w:pPr>
    </w:p>
    <w:p>
      <w:pPr>
        <w:ind w:right="60" w:firstLine="689"/>
        <w:spacing w:after="0" w:line="273" w:lineRule="auto"/>
        <w:rPr>
          <w:sz w:val="20"/>
          <w:szCs w:val="20"/>
          <w:color w:val="auto"/>
        </w:rPr>
      </w:pPr>
      <w:r>
        <w:rPr>
          <w:rFonts w:ascii="Arial" w:cs="Arial" w:eastAsia="Arial" w:hAnsi="Arial"/>
          <w:sz w:val="17"/>
          <w:szCs w:val="17"/>
          <w:i w:val="1"/>
          <w:iCs w:val="1"/>
          <w:color w:val="auto"/>
        </w:rPr>
        <w:t>Section 1.1. Definitions; Interpretation</w:t>
      </w:r>
      <w:r>
        <w:rPr>
          <w:rFonts w:ascii="Arial" w:cs="Arial" w:eastAsia="Arial" w:hAnsi="Arial"/>
          <w:sz w:val="17"/>
          <w:szCs w:val="17"/>
          <w:color w:val="auto"/>
        </w:rPr>
        <w:t>. For all purposes hereof, the capitalized terms used herein and not otherwise defined shall have the</w:t>
      </w:r>
      <w:r>
        <w:rPr>
          <w:rFonts w:ascii="Arial" w:cs="Arial" w:eastAsia="Arial" w:hAnsi="Arial"/>
          <w:sz w:val="17"/>
          <w:szCs w:val="17"/>
          <w:i w:val="1"/>
          <w:iCs w:val="1"/>
          <w:color w:val="auto"/>
        </w:rPr>
        <w:t xml:space="preserve"> </w:t>
      </w:r>
      <w:r>
        <w:rPr>
          <w:rFonts w:ascii="Arial" w:cs="Arial" w:eastAsia="Arial" w:hAnsi="Arial"/>
          <w:sz w:val="17"/>
          <w:szCs w:val="17"/>
          <w:color w:val="auto"/>
        </w:rPr>
        <w:t>meanings assigned thereto in Appendix 1 to that certain Participation Agreement dated as of even date herewith, among OLD SAW MILL HOLDINGS LLC, as Lessee, BA LEASING BSC, LLC, as Lessor and BANK OF AMERICA, N.A., not in its individual capacity except and as expressly stated therein, but solely as Administrative Agent and the Participants from time to time party thereto (as amended, supplemented or otherwise modified from time to time pursuant thereto, the “</w:t>
      </w:r>
      <w:r>
        <w:rPr>
          <w:rFonts w:ascii="Arial" w:cs="Arial" w:eastAsia="Arial" w:hAnsi="Arial"/>
          <w:sz w:val="17"/>
          <w:szCs w:val="17"/>
          <w:i w:val="1"/>
          <w:iCs w:val="1"/>
          <w:color w:val="auto"/>
        </w:rPr>
        <w:t>Participation Agreement</w:t>
      </w:r>
      <w:r>
        <w:rPr>
          <w:rFonts w:ascii="Arial" w:cs="Arial" w:eastAsia="Arial" w:hAnsi="Arial"/>
          <w:sz w:val="17"/>
          <w:szCs w:val="17"/>
          <w:color w:val="auto"/>
        </w:rPr>
        <w:t>”); and the rules of interpretation set forth in Appendix 1 to the Participation Agreement shall apply to this Lease. All obligations imposed on the “Lessee” in this Lease shall be full recourse liabilities of 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LEASE OF LEASED PROPERTY; TERM</w:t>
      </w:r>
    </w:p>
    <w:p>
      <w:pPr>
        <w:spacing w:after="0" w:line="211" w:lineRule="exact"/>
        <w:rPr>
          <w:sz w:val="20"/>
          <w:szCs w:val="20"/>
          <w:color w:val="auto"/>
        </w:rPr>
      </w:pPr>
    </w:p>
    <w:p>
      <w:pPr>
        <w:ind w:right="100" w:firstLine="689"/>
        <w:spacing w:after="0" w:line="277" w:lineRule="auto"/>
        <w:rPr>
          <w:sz w:val="20"/>
          <w:szCs w:val="20"/>
          <w:color w:val="auto"/>
        </w:rPr>
      </w:pPr>
      <w:r>
        <w:rPr>
          <w:rFonts w:ascii="Arial" w:cs="Arial" w:eastAsia="Arial" w:hAnsi="Arial"/>
          <w:sz w:val="18"/>
          <w:szCs w:val="18"/>
          <w:i w:val="1"/>
          <w:iCs w:val="1"/>
          <w:color w:val="auto"/>
        </w:rPr>
        <w:t>Section 2.1. Acceptance and Lease of the Leased Property</w:t>
      </w:r>
      <w:r>
        <w:rPr>
          <w:rFonts w:ascii="Arial" w:cs="Arial" w:eastAsia="Arial" w:hAnsi="Arial"/>
          <w:sz w:val="18"/>
          <w:szCs w:val="18"/>
          <w:color w:val="auto"/>
        </w:rPr>
        <w:t>. (a) Lessor, pursuant to the terms of the Operative Documents, has purchased the Site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Facility from Sellers.</w:t>
      </w:r>
    </w:p>
    <w:p>
      <w:pPr>
        <w:spacing w:after="0" w:line="170" w:lineRule="exact"/>
        <w:rPr>
          <w:sz w:val="20"/>
          <w:szCs w:val="20"/>
          <w:color w:val="auto"/>
        </w:rPr>
      </w:pPr>
    </w:p>
    <w:p>
      <w:pPr>
        <w:ind w:right="40" w:firstLine="643"/>
        <w:spacing w:after="0" w:line="277" w:lineRule="auto"/>
        <w:tabs>
          <w:tab w:leader="none" w:pos="112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Lessor hereby leases all of Lessor’s interest in the Leased Property to Lessee hereunder, and Lessee hereby leases pursuant to the terms hereof the Leased Property from Lessor for the Term.</w:t>
      </w:r>
    </w:p>
    <w:p>
      <w:pPr>
        <w:spacing w:after="0" w:line="170" w:lineRule="exact"/>
        <w:rPr>
          <w:sz w:val="20"/>
          <w:szCs w:val="20"/>
          <w:color w:val="auto"/>
        </w:rPr>
      </w:pPr>
    </w:p>
    <w:p>
      <w:pPr>
        <w:ind w:right="80" w:firstLine="689"/>
        <w:spacing w:after="0" w:line="302" w:lineRule="auto"/>
        <w:rPr>
          <w:sz w:val="20"/>
          <w:szCs w:val="20"/>
          <w:color w:val="auto"/>
        </w:rPr>
      </w:pPr>
      <w:r>
        <w:rPr>
          <w:rFonts w:ascii="Arial" w:cs="Arial" w:eastAsia="Arial" w:hAnsi="Arial"/>
          <w:sz w:val="16"/>
          <w:szCs w:val="16"/>
          <w:i w:val="1"/>
          <w:iCs w:val="1"/>
          <w:color w:val="auto"/>
        </w:rPr>
        <w:t>Section 2.2. Acceptance Procedure</w:t>
      </w:r>
      <w:r>
        <w:rPr>
          <w:rFonts w:ascii="Arial" w:cs="Arial" w:eastAsia="Arial" w:hAnsi="Arial"/>
          <w:sz w:val="16"/>
          <w:szCs w:val="16"/>
          <w:color w:val="auto"/>
        </w:rPr>
        <w:t>. Lessor hereby authorizes Lessee, as the authorized representative of Lessor, to accept delivery of the Leased</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Lessee hereby agrees that Sellers’ delivery of the Site and the Facility and payment from the Advance of the Purchase Price shall, without further act, constitute the irrevocable acceptance by Lessee of the Leased Property for all purposes of this Lease and the other Operative Documents on the terms set forth herein and therein and shall constitute Lessee’s agreement to lease the Leased Property pursuant to the terms hereof during the Term.</w:t>
      </w:r>
    </w:p>
    <w:p>
      <w:pPr>
        <w:spacing w:after="0" w:line="154" w:lineRule="exact"/>
        <w:rPr>
          <w:sz w:val="20"/>
          <w:szCs w:val="20"/>
          <w:color w:val="auto"/>
        </w:rPr>
      </w:pPr>
    </w:p>
    <w:p>
      <w:pPr>
        <w:ind w:right="80" w:firstLine="689"/>
        <w:spacing w:after="0" w:line="257" w:lineRule="auto"/>
        <w:rPr>
          <w:sz w:val="20"/>
          <w:szCs w:val="20"/>
          <w:color w:val="auto"/>
        </w:rPr>
      </w:pPr>
      <w:r>
        <w:rPr>
          <w:rFonts w:ascii="Arial" w:cs="Arial" w:eastAsia="Arial" w:hAnsi="Arial"/>
          <w:sz w:val="18"/>
          <w:szCs w:val="18"/>
          <w:i w:val="1"/>
          <w:iCs w:val="1"/>
          <w:color w:val="auto"/>
        </w:rPr>
        <w:t>Section 2.3. Term</w:t>
      </w:r>
      <w:r>
        <w:rPr>
          <w:rFonts w:ascii="Arial" w:cs="Arial" w:eastAsia="Arial" w:hAnsi="Arial"/>
          <w:sz w:val="18"/>
          <w:szCs w:val="18"/>
          <w:color w:val="auto"/>
        </w:rPr>
        <w:t>. Unless earlier terminated, the term of this Lease shall consist of (i) a base term (the “</w:t>
      </w:r>
      <w:r>
        <w:rPr>
          <w:rFonts w:ascii="Arial" w:cs="Arial" w:eastAsia="Arial" w:hAnsi="Arial"/>
          <w:sz w:val="18"/>
          <w:szCs w:val="18"/>
          <w:i w:val="1"/>
          <w:iCs w:val="1"/>
          <w:color w:val="auto"/>
        </w:rPr>
        <w:t>Base Term</w:t>
      </w:r>
      <w:r>
        <w:rPr>
          <w:rFonts w:ascii="Arial" w:cs="Arial" w:eastAsia="Arial" w:hAnsi="Arial"/>
          <w:sz w:val="18"/>
          <w:szCs w:val="18"/>
          <w:color w:val="auto"/>
        </w:rPr>
        <w:t>”) commencing on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Base Term Commencement Date and ending on but not including the fifth (5th) anniversary of the Base Term Commencement Date, and, (ii) if exercised and approved pursuant to each of the terms and conditions of Section 4.7 of the Participation Agreement and exercised pursuant to the terms of this Lease, including Article XIX hereof, the Lease Renewal Term (the Base Term and the Lease Renewal Term, if any, being collectively referred to as, the “</w:t>
      </w:r>
      <w:r>
        <w:rPr>
          <w:rFonts w:ascii="Arial" w:cs="Arial" w:eastAsia="Arial" w:hAnsi="Arial"/>
          <w:sz w:val="18"/>
          <w:szCs w:val="18"/>
          <w:i w:val="1"/>
          <w:iCs w:val="1"/>
          <w:color w:val="auto"/>
        </w:rPr>
        <w:t>Term</w:t>
      </w:r>
      <w:r>
        <w:rPr>
          <w:rFonts w:ascii="Arial" w:cs="Arial" w:eastAsia="Arial" w:hAnsi="Arial"/>
          <w:sz w:val="18"/>
          <w:szCs w:val="18"/>
          <w:color w:val="auto"/>
        </w:rPr>
        <w:t>”).</w:t>
      </w:r>
    </w:p>
    <w:p>
      <w:pPr>
        <w:spacing w:after="0" w:line="188" w:lineRule="exact"/>
        <w:rPr>
          <w:sz w:val="20"/>
          <w:szCs w:val="20"/>
          <w:color w:val="auto"/>
        </w:rPr>
      </w:pPr>
    </w:p>
    <w:p>
      <w:pPr>
        <w:ind w:right="120" w:firstLine="689"/>
        <w:spacing w:after="0" w:line="302" w:lineRule="auto"/>
        <w:rPr>
          <w:sz w:val="20"/>
          <w:szCs w:val="20"/>
          <w:color w:val="auto"/>
        </w:rPr>
      </w:pPr>
      <w:r>
        <w:rPr>
          <w:rFonts w:ascii="Arial" w:cs="Arial" w:eastAsia="Arial" w:hAnsi="Arial"/>
          <w:sz w:val="16"/>
          <w:szCs w:val="16"/>
          <w:i w:val="1"/>
          <w:iCs w:val="1"/>
          <w:color w:val="auto"/>
        </w:rPr>
        <w:t>Section 2.4. Title</w:t>
      </w:r>
      <w:r>
        <w:rPr>
          <w:rFonts w:ascii="Arial" w:cs="Arial" w:eastAsia="Arial" w:hAnsi="Arial"/>
          <w:sz w:val="16"/>
          <w:szCs w:val="16"/>
          <w:color w:val="auto"/>
        </w:rPr>
        <w:t>. The Leased Property is leased to the Lessee without any representation or warranty, express or implied, by Lessor and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rights of parties in possession, the existing state of title with respect thereto (including, without limitation, all Liens other than Lessor Liens) and all Applicable Laws and any violations thereof. The Lessee shall in no event have any recourse against Lessor for any defect in or exception to title to the Leased Property other than resulting from Lessor Liens created by Lessor or a breach by Lessor of its obligations under Article XXI.</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 OF RENT</w:t>
      </w:r>
    </w:p>
    <w:p>
      <w:pPr>
        <w:spacing w:after="0" w:line="211" w:lineRule="exact"/>
        <w:rPr>
          <w:sz w:val="20"/>
          <w:szCs w:val="20"/>
          <w:color w:val="auto"/>
        </w:rPr>
      </w:pPr>
    </w:p>
    <w:p>
      <w:pPr>
        <w:ind w:left="700"/>
        <w:spacing w:after="0"/>
        <w:tabs>
          <w:tab w:leader="none" w:pos="1780" w:val="left"/>
        </w:tabs>
        <w:rPr>
          <w:sz w:val="20"/>
          <w:szCs w:val="20"/>
          <w:color w:val="auto"/>
        </w:rPr>
      </w:pPr>
      <w:r>
        <w:rPr>
          <w:rFonts w:ascii="Arial" w:cs="Arial" w:eastAsia="Arial" w:hAnsi="Arial"/>
          <w:sz w:val="18"/>
          <w:szCs w:val="18"/>
          <w:i w:val="1"/>
          <w:iCs w:val="1"/>
          <w:color w:val="auto"/>
        </w:rPr>
        <w:t>Section 3.1.</w:t>
      </w:r>
      <w:r>
        <w:rPr>
          <w:sz w:val="20"/>
          <w:szCs w:val="20"/>
          <w:color w:val="auto"/>
        </w:rPr>
        <w:tab/>
      </w:r>
      <w:r>
        <w:rPr>
          <w:rFonts w:ascii="Arial" w:cs="Arial" w:eastAsia="Arial" w:hAnsi="Arial"/>
          <w:sz w:val="16"/>
          <w:szCs w:val="16"/>
          <w:i w:val="1"/>
          <w:iCs w:val="1"/>
          <w:color w:val="auto"/>
        </w:rPr>
        <w:t>Rent</w:t>
      </w:r>
      <w:r>
        <w:rPr>
          <w:rFonts w:ascii="Arial" w:cs="Arial" w:eastAsia="Arial" w:hAnsi="Arial"/>
          <w:sz w:val="16"/>
          <w:szCs w:val="16"/>
          <w:color w:val="auto"/>
        </w:rPr>
        <w:t>. (a) During the Term, the Lessee shall pay Basic Rent (i) on each Payment Date, (ii) on the date required under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Section 20.1(j) if the Lessee exercises the Sale Option and (iii) on any date on which this Lease shall terminate or expire with respect to the Leased Property.</w:t>
      </w:r>
    </w:p>
    <w:p>
      <w:pPr>
        <w:spacing w:after="0" w:line="234" w:lineRule="exact"/>
        <w:rPr>
          <w:sz w:val="20"/>
          <w:szCs w:val="20"/>
          <w:color w:val="auto"/>
        </w:rPr>
      </w:pPr>
    </w:p>
    <w:p>
      <w:pPr>
        <w:jc w:val="both"/>
        <w:ind w:right="100" w:firstLine="643"/>
        <w:spacing w:after="0" w:line="264" w:lineRule="auto"/>
        <w:tabs>
          <w:tab w:leader="none" w:pos="112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Lessee’s inability or failure to take possession of all or any portion of the Leased Property when accepted or deemed accepted hereunder, whether or not attributable to any act or omission of the Lessee or any act or omission of Lessor, shall not delay or otherwise affect the Lessee’s obligation to pay Rent in accordance with the terms of this Lease.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302" w:lineRule="auto"/>
        <w:tabs>
          <w:tab w:leader="none" w:pos="1132" w:val="left"/>
        </w:tabs>
        <w:numPr>
          <w:ilvl w:val="0"/>
          <w:numId w:val="195"/>
        </w:numPr>
        <w:rPr>
          <w:rFonts w:ascii="Arial" w:cs="Arial" w:eastAsia="Arial" w:hAnsi="Arial"/>
          <w:sz w:val="16"/>
          <w:szCs w:val="16"/>
          <w:color w:val="auto"/>
        </w:rPr>
      </w:pPr>
      <w:r>
        <w:rPr>
          <w:rFonts w:ascii="Arial" w:cs="Arial" w:eastAsia="Arial" w:hAnsi="Arial"/>
          <w:sz w:val="16"/>
          <w:szCs w:val="16"/>
          <w:color w:val="auto"/>
        </w:rPr>
        <w:t>Lessee shall make a payment of Supplemental Rent to Administrative Agent for the account of Lessor in an aggregate amount equal to ten percent (10%) of the Lessor Amount (the “</w:t>
      </w:r>
      <w:r>
        <w:rPr>
          <w:rFonts w:ascii="Arial" w:cs="Arial" w:eastAsia="Arial" w:hAnsi="Arial"/>
          <w:sz w:val="16"/>
          <w:szCs w:val="16"/>
          <w:i w:val="1"/>
          <w:iCs w:val="1"/>
          <w:color w:val="auto"/>
        </w:rPr>
        <w:t>Accelerated Lessor Rent Amount</w:t>
      </w:r>
      <w:r>
        <w:rPr>
          <w:rFonts w:ascii="Arial" w:cs="Arial" w:eastAsia="Arial" w:hAnsi="Arial"/>
          <w:sz w:val="16"/>
          <w:szCs w:val="16"/>
          <w:color w:val="auto"/>
        </w:rPr>
        <w:t>”), which shall be payable in equal monthly amounts on the first three (3) Payment Dates occurring after the Base Term Commencement Date. Payment of the Accelerated Lessor Rent Amount shall be applied as a Dollar for Dollar reduction of the Lessor Amount. Beginning with the fourth Payment Date after the Base Term Commencement Date, the parties to this Agreement agree that Lessee</w:t>
      </w:r>
    </w:p>
    <w:p>
      <w:pPr>
        <w:sectPr>
          <w:pgSz w:w="11900" w:h="16945" w:orient="portrait"/>
          <w:cols w:equalWidth="0" w:num="1">
            <w:col w:w="11420"/>
          </w:cols>
          <w:pgMar w:left="240" w:top="125" w:right="239" w:bottom="0" w:gutter="0" w:footer="0" w:header="0"/>
        </w:sectPr>
      </w:pPr>
    </w:p>
    <w:bookmarkStart w:id="89" w:name="page90"/>
    <w:bookmarkEnd w:id="89"/>
    <w:p>
      <w:pPr>
        <w:spacing w:after="0" w:line="293" w:lineRule="auto"/>
        <w:rPr>
          <w:sz w:val="20"/>
          <w:szCs w:val="20"/>
          <w:color w:val="auto"/>
        </w:rPr>
      </w:pPr>
      <w:r>
        <w:rPr>
          <w:rFonts w:ascii="Arial" w:cs="Arial" w:eastAsia="Arial" w:hAnsi="Arial"/>
          <w:sz w:val="16"/>
          <w:szCs w:val="16"/>
          <w:color w:val="auto"/>
        </w:rPr>
        <w:t>shall reduce each of its payments of Basic Rent by the amount of Yield which has accrued on the Lessor Amount due and payable on such Payment Date (each such individual reduction of Basic Rent for a given Payment Date may be referred to herein as a “</w:t>
      </w:r>
      <w:r>
        <w:rPr>
          <w:rFonts w:ascii="Arial" w:cs="Arial" w:eastAsia="Arial" w:hAnsi="Arial"/>
          <w:sz w:val="16"/>
          <w:szCs w:val="16"/>
          <w:i w:val="1"/>
          <w:iCs w:val="1"/>
          <w:color w:val="auto"/>
        </w:rPr>
        <w:t>Basic Rent Adjustment</w:t>
      </w:r>
      <w:r>
        <w:rPr>
          <w:rFonts w:ascii="Arial" w:cs="Arial" w:eastAsia="Arial" w:hAnsi="Arial"/>
          <w:sz w:val="16"/>
          <w:szCs w:val="16"/>
          <w:color w:val="auto"/>
        </w:rPr>
        <w:t>”) until such time that the Cumulative Basic Rent Adjustment equals the Accelerated Lessor Rent Amount. During such time, the positive difference between the Accelerated Lessor Rent Amount and the Cumulative Basic Rent Adjustment (such amount, the “</w:t>
      </w:r>
      <w:r>
        <w:rPr>
          <w:rFonts w:ascii="Arial" w:cs="Arial" w:eastAsia="Arial" w:hAnsi="Arial"/>
          <w:sz w:val="16"/>
          <w:szCs w:val="16"/>
          <w:i w:val="1"/>
          <w:iCs w:val="1"/>
          <w:color w:val="auto"/>
        </w:rPr>
        <w:t>Lessor Shortfall Amount</w:t>
      </w:r>
      <w:r>
        <w:rPr>
          <w:rFonts w:ascii="Arial" w:cs="Arial" w:eastAsia="Arial" w:hAnsi="Arial"/>
          <w:sz w:val="16"/>
          <w:szCs w:val="16"/>
          <w:color w:val="auto"/>
        </w:rPr>
        <w:t>”) shall be credited against each subsequent payment of Basic Rent, and Lessee shall not pay any additional Basic Rent which is comprised of Yield which has accrued on the Lessor Amount until the Lessor Shortfall Amount is reduced to zero. Each such Basic Rent Adjustment shall be capitalized and shall increase the Lessor Amount on a Dollar for Dollar basis.</w:t>
      </w:r>
    </w:p>
    <w:p>
      <w:pPr>
        <w:spacing w:after="0" w:line="165" w:lineRule="exact"/>
        <w:rPr>
          <w:sz w:val="20"/>
          <w:szCs w:val="20"/>
          <w:color w:val="auto"/>
        </w:rPr>
      </w:pPr>
    </w:p>
    <w:p>
      <w:pPr>
        <w:ind w:right="380" w:firstLine="689"/>
        <w:spacing w:after="0" w:line="277" w:lineRule="auto"/>
        <w:rPr>
          <w:sz w:val="20"/>
          <w:szCs w:val="20"/>
          <w:color w:val="auto"/>
        </w:rPr>
      </w:pPr>
      <w:r>
        <w:rPr>
          <w:rFonts w:ascii="Arial" w:cs="Arial" w:eastAsia="Arial" w:hAnsi="Arial"/>
          <w:sz w:val="18"/>
          <w:szCs w:val="18"/>
          <w:i w:val="1"/>
          <w:iCs w:val="1"/>
          <w:color w:val="auto"/>
        </w:rPr>
        <w:t>Section 3.2. Payment of Basic Rent</w:t>
      </w:r>
      <w:r>
        <w:rPr>
          <w:rFonts w:ascii="Arial" w:cs="Arial" w:eastAsia="Arial" w:hAnsi="Arial"/>
          <w:sz w:val="18"/>
          <w:szCs w:val="18"/>
          <w:color w:val="auto"/>
        </w:rPr>
        <w:t>. Basic Rent shall be paid absolutely net to Lessor, so that this Lease shall yield to Lessor the full amount</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without setoff, deduction or reduction.</w:t>
      </w:r>
    </w:p>
    <w:p>
      <w:pPr>
        <w:spacing w:after="0" w:line="170" w:lineRule="exact"/>
        <w:rPr>
          <w:sz w:val="20"/>
          <w:szCs w:val="20"/>
          <w:color w:val="auto"/>
        </w:rPr>
      </w:pPr>
    </w:p>
    <w:p>
      <w:pPr>
        <w:ind w:right="80" w:firstLine="689"/>
        <w:spacing w:after="0" w:line="284" w:lineRule="auto"/>
        <w:rPr>
          <w:sz w:val="20"/>
          <w:szCs w:val="20"/>
          <w:color w:val="auto"/>
        </w:rPr>
      </w:pPr>
      <w:r>
        <w:rPr>
          <w:rFonts w:ascii="Arial" w:cs="Arial" w:eastAsia="Arial" w:hAnsi="Arial"/>
          <w:sz w:val="16"/>
          <w:szCs w:val="16"/>
          <w:i w:val="1"/>
          <w:iCs w:val="1"/>
          <w:color w:val="auto"/>
        </w:rPr>
        <w:t>Section 3.3. Supplemental Rent</w:t>
      </w:r>
      <w:r>
        <w:rPr>
          <w:rFonts w:ascii="Arial" w:cs="Arial" w:eastAsia="Arial" w:hAnsi="Arial"/>
          <w:sz w:val="16"/>
          <w:szCs w:val="16"/>
          <w:color w:val="auto"/>
        </w:rPr>
        <w:t>. The Lessee shall pay to Lessor or the Person entitled thereto any and all Supplemental Rent promptly as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same shall become due and payable, and if the Lessee fails to pay any Supplemental Rent, Lessor shall have all rights, powers and remedies provided for herein or by law or equity or otherwise in the case of nonpayment of Basic 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Supplemental Rent (other than Supplemental Rent consisting of any of the Lease Balance, the Sale Option Recourse Amount, the Purchase Amount, Break Costs and any amounts payable at the Overdue Rate and any amounts payable under Article XIII of the Participation Agreement) shall not be deemed due and payable by Lessee to the Person entitled thereto unless such amount is not paid within thirty (30) days after Lessee has received written notice of such Supplemental Rent from the Person entitled thereto. Lessee shall pay to Lessor, as Supplemental Rent, among other things, on demand, to the extent permitted by Applicable Laws, interest at the applicable Overdue Rate</w:t>
      </w:r>
    </w:p>
    <w:p>
      <w:pPr>
        <w:spacing w:after="0" w:line="3" w:lineRule="exact"/>
        <w:rPr>
          <w:sz w:val="20"/>
          <w:szCs w:val="20"/>
          <w:color w:val="auto"/>
        </w:rPr>
      </w:pPr>
    </w:p>
    <w:p>
      <w:pPr>
        <w:ind w:right="140" w:firstLine="8"/>
        <w:spacing w:after="0" w:line="290" w:lineRule="auto"/>
        <w:tabs>
          <w:tab w:leader="none" w:pos="21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on any installment of Basic Rent not paid when due for the period for which the same shall be overdue and (ii) on any payment of Supplemental Rent payable to Lessor or any Indemnitee not paid when due and payable as provided above for the period from the due date until the same shall be paid. The expiration or other termination of the Lessee’s obligations to pay Basic Rent hereunder shall not limit or modify the obligations of the Lessee with respect to Supplemental Rent. Unless expressly provided otherwise in this Lease, in the event of any failure on the part of the Lessee to pay and discharge any Supplemental Rent as and when due, the Lessee shall also promptly pay and discharge any fine, penalty, interest or cost which may be assessed or added under any agreement with a third party for nonpayment or late payment of such Supplemental Rent, all of which shall also constitute Supplemental Rent.</w:t>
      </w:r>
    </w:p>
    <w:p>
      <w:pPr>
        <w:spacing w:after="0" w:line="164" w:lineRule="exact"/>
        <w:rPr>
          <w:sz w:val="20"/>
          <w:szCs w:val="20"/>
          <w:color w:val="auto"/>
        </w:rPr>
      </w:pPr>
    </w:p>
    <w:p>
      <w:pPr>
        <w:ind w:right="80" w:firstLine="689"/>
        <w:spacing w:after="0" w:line="277" w:lineRule="auto"/>
        <w:rPr>
          <w:sz w:val="20"/>
          <w:szCs w:val="20"/>
          <w:color w:val="auto"/>
        </w:rPr>
      </w:pPr>
      <w:r>
        <w:rPr>
          <w:rFonts w:ascii="Arial" w:cs="Arial" w:eastAsia="Arial" w:hAnsi="Arial"/>
          <w:sz w:val="18"/>
          <w:szCs w:val="18"/>
          <w:i w:val="1"/>
          <w:iCs w:val="1"/>
          <w:color w:val="auto"/>
        </w:rPr>
        <w:t>Section 3.4. Method of Payment</w:t>
      </w:r>
      <w:r>
        <w:rPr>
          <w:rFonts w:ascii="Arial" w:cs="Arial" w:eastAsia="Arial" w:hAnsi="Arial"/>
          <w:sz w:val="18"/>
          <w:szCs w:val="18"/>
          <w:color w:val="auto"/>
        </w:rPr>
        <w:t>. Each payment of Rent shall be made by the Lessee to the Administrative Agent prior to 12:00 noon,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City time, to the account at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Administrative Agent designated on Schedule III to the Participation Agreement in funds consisting of lawful currency of the United States of America which shall be immediately available on the scheduled date when such payment shall be due, unless such scheduled date shall not be a Business Day, in which case such payment shall be made on the next succeeding Business Day unless the result of such extension would be to carry into another calendar month, in which case such payment shall be made on the immediately preceding Business Day. Payments received after 12:00 noon, New York City time, on the date due shall for the purpose of Section 16.1 hereof be deemed received on such day;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for the purposes of the second sentence of Section 3.3 hereof, such payments shall be deemed received on the next succeeding Business Day and subject to interest at the Overdue Rate as provided in such Section 3.3.</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NON-INTERFERENCE; RIGHT TO INSPECT</w:t>
      </w:r>
    </w:p>
    <w:p>
      <w:pPr>
        <w:spacing w:after="0" w:line="211" w:lineRule="exact"/>
        <w:rPr>
          <w:sz w:val="20"/>
          <w:szCs w:val="20"/>
          <w:color w:val="auto"/>
        </w:rPr>
      </w:pPr>
    </w:p>
    <w:p>
      <w:pPr>
        <w:ind w:right="20" w:firstLine="689"/>
        <w:spacing w:after="0" w:line="291" w:lineRule="auto"/>
        <w:rPr>
          <w:sz w:val="20"/>
          <w:szCs w:val="20"/>
          <w:color w:val="auto"/>
        </w:rPr>
      </w:pPr>
      <w:r>
        <w:rPr>
          <w:rFonts w:ascii="Arial" w:cs="Arial" w:eastAsia="Arial" w:hAnsi="Arial"/>
          <w:sz w:val="16"/>
          <w:szCs w:val="16"/>
          <w:i w:val="1"/>
          <w:iCs w:val="1"/>
          <w:color w:val="auto"/>
        </w:rPr>
        <w:t>Section 4.1. Non-Interference</w:t>
      </w:r>
      <w:r>
        <w:rPr>
          <w:rFonts w:ascii="Arial" w:cs="Arial" w:eastAsia="Arial" w:hAnsi="Arial"/>
          <w:sz w:val="16"/>
          <w:szCs w:val="16"/>
          <w:color w:val="auto"/>
        </w:rPr>
        <w:t>. Subject to Section 2.4 and Section 4.2 herein and subject to Lessor’s cure rights, as provided for in Section 17.1,</w:t>
      </w:r>
      <w:r>
        <w:rPr>
          <w:rFonts w:ascii="Arial" w:cs="Arial" w:eastAsia="Arial" w:hAnsi="Arial"/>
          <w:sz w:val="16"/>
          <w:szCs w:val="16"/>
          <w:i w:val="1"/>
          <w:iCs w:val="1"/>
          <w:color w:val="auto"/>
        </w:rPr>
        <w:t xml:space="preserve"> </w:t>
      </w:r>
      <w:r>
        <w:rPr>
          <w:rFonts w:ascii="Arial" w:cs="Arial" w:eastAsia="Arial" w:hAnsi="Arial"/>
          <w:sz w:val="16"/>
          <w:szCs w:val="16"/>
          <w:color w:val="auto"/>
        </w:rPr>
        <w:t>Lessor covenants that it will not interfere in Lessee’s use or possession of the Leased Property during the Term, so long as no Event of Default has occurred and is continuing, it being agreed that Lessee shall not have a right of setoff against Rent payable hereunder and Lessee’s remedies for breach of the foregoing covenant shall be limited to a claim for damages or the commencement of proceedings to enjoin such breach or seek specific performance of the covenant, as applicable. Such right is independent of and shall not affect Lessee’s obligations hereunder and under the other Operative Documents or Lessor’s rights otherwise to initiate legal action to enforce the obligations of Lessee under this Lease. The foregoing covenant shall not require Lessor to take any action contrary to, or which would permit Lessee to use the Leased Property for a use not permitted under the provisions of this Lease.</w:t>
      </w:r>
    </w:p>
    <w:p>
      <w:pPr>
        <w:spacing w:after="0" w:line="167" w:lineRule="exact"/>
        <w:rPr>
          <w:sz w:val="20"/>
          <w:szCs w:val="20"/>
          <w:color w:val="auto"/>
        </w:rPr>
      </w:pPr>
    </w:p>
    <w:p>
      <w:pPr>
        <w:ind w:firstLine="689"/>
        <w:spacing w:after="0" w:line="269" w:lineRule="auto"/>
        <w:rPr>
          <w:sz w:val="20"/>
          <w:szCs w:val="20"/>
          <w:color w:val="auto"/>
        </w:rPr>
      </w:pPr>
      <w:r>
        <w:rPr>
          <w:rFonts w:ascii="Arial" w:cs="Arial" w:eastAsia="Arial" w:hAnsi="Arial"/>
          <w:sz w:val="17"/>
          <w:szCs w:val="17"/>
          <w:i w:val="1"/>
          <w:iCs w:val="1"/>
          <w:color w:val="auto"/>
        </w:rPr>
        <w:t>Section 4.2. Inspection and Reports</w:t>
      </w:r>
      <w:r>
        <w:rPr>
          <w:rFonts w:ascii="Arial" w:cs="Arial" w:eastAsia="Arial" w:hAnsi="Arial"/>
          <w:sz w:val="17"/>
          <w:szCs w:val="17"/>
          <w:color w:val="auto"/>
        </w:rPr>
        <w:t>. (a) Upon three (3) Business Days prior notice (or one (1) Business Day prior notice during the existence of</w:t>
      </w:r>
      <w:r>
        <w:rPr>
          <w:rFonts w:ascii="Arial" w:cs="Arial" w:eastAsia="Arial" w:hAnsi="Arial"/>
          <w:sz w:val="17"/>
          <w:szCs w:val="17"/>
          <w:i w:val="1"/>
          <w:iCs w:val="1"/>
          <w:color w:val="auto"/>
        </w:rPr>
        <w:t xml:space="preserve"> </w:t>
      </w:r>
      <w:r>
        <w:rPr>
          <w:rFonts w:ascii="Arial" w:cs="Arial" w:eastAsia="Arial" w:hAnsi="Arial"/>
          <w:sz w:val="17"/>
          <w:szCs w:val="17"/>
          <w:color w:val="auto"/>
        </w:rPr>
        <w:t>an Event of Default) to Lessee and subject to the provisions of Section 15.14 of the Participation Agreement, Lessor, the Administrative Agent or their respective authorized representatives (collectively, the “</w:t>
      </w:r>
      <w:r>
        <w:rPr>
          <w:rFonts w:ascii="Arial" w:cs="Arial" w:eastAsia="Arial" w:hAnsi="Arial"/>
          <w:sz w:val="17"/>
          <w:szCs w:val="17"/>
          <w:i w:val="1"/>
          <w:iCs w:val="1"/>
          <w:color w:val="auto"/>
        </w:rPr>
        <w:t>Inspecting Parties</w:t>
      </w:r>
      <w:r>
        <w:rPr>
          <w:rFonts w:ascii="Arial" w:cs="Arial" w:eastAsia="Arial" w:hAnsi="Arial"/>
          <w:sz w:val="17"/>
          <w:szCs w:val="17"/>
          <w:color w:val="auto"/>
        </w:rPr>
        <w:t>”) at any time during the Term may inspect (i) the Leased Property and (ii) the Leased Property Records and make copies and abstracts therefrom and may discuss the affairs, finances and accounts with respect to the Leased Property with Lessee’s authorized representatives and Lessee’s independent public accountants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Lessee is afforded the opportunity to participate in such discussion). All such inspections shall (w) be subject to the rights of all tenants and other occupants at the Leased Property, (x) be performed during Lessee’s normal business hours, (y) be subject to Lessee’s customary safety and security provisions and any reasonable rules of inspection conduct Lessee may establish from time to time, and (z) be at the expense and risk of the Inspecting Parties, except that if an Event of Default has occurred and is continuing, Lessee shall reimburse on demand the Inspecting Parties for the reasonable and documented out-of-pocket costs of such inspections. Lessee shall have the right, at its option, to cause a representative or agent of Lessee to be present at any and all time during each such inspection. No inspection shall unreasonably interfere with Lessee’s or any tenant’s or occupant’s business or operations or otherwise unreasonably disturb the use or occupancy of the Leased Property by the Lessee or any tenants or other occupants of the Leased Property. None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of the Inspecting Parties shall have any duty to make any such inspection or inquiry. None of the Inspecting Parties shall incur any liability or obligation by reason of making any such inspection or inquiry unless and to the extent such Inspecting Party causes damage to the Leased Property or any property of Lessee or any other Person during the course of such inspection. Notwithstanding anything to the contrary in this Section 4.2, Lessee will not be required to disclose, permit the inspection, examination or making of extracts, or discussion of, any documents, information or other matter that (1) constitutes non-financial trade secrets or non-financial proprietary information, (2) in respect of which disclosure to the applicable Inspecting Party (or any designated representative) is then prohibited by law, rule or regulation or any agreement binding on the Parent Guarantor, Lessee or any of their respective Subsidiaries or (3) is subject to attorney client or similar privilege or constitutes attorney work product.</w:t>
      </w:r>
    </w:p>
    <w:p>
      <w:pPr>
        <w:sectPr>
          <w:pgSz w:w="11900" w:h="16838" w:orient="portrait"/>
          <w:cols w:equalWidth="0" w:num="1">
            <w:col w:w="11420"/>
          </w:cols>
          <w:pgMar w:left="240" w:top="125" w:right="239" w:bottom="0" w:gutter="0" w:footer="0" w:header="0"/>
        </w:sectPr>
      </w:pPr>
    </w:p>
    <w:bookmarkStart w:id="90" w:name="page91"/>
    <w:bookmarkEnd w:id="90"/>
    <w:p>
      <w:pPr>
        <w:spacing w:after="0" w:line="92" w:lineRule="exact"/>
        <w:rPr>
          <w:sz w:val="20"/>
          <w:szCs w:val="20"/>
          <w:color w:val="auto"/>
        </w:rPr>
      </w:pPr>
    </w:p>
    <w:p>
      <w:pPr>
        <w:ind w:right="40" w:firstLine="656"/>
        <w:spacing w:after="0" w:line="302" w:lineRule="auto"/>
        <w:tabs>
          <w:tab w:leader="none" w:pos="1304"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To the extent permissible under Applicable Laws, during the Term, Lessee shall prepare and file, or cause to be prepared and filed, in a timely fashion, or, where Lessor shall be required to file, Lessee shall prepare, or cause to be prepared, and make available to Lessor within a reasonable time prior to the date for filing and Lessor shall file, any reports with respect to the condition or operation of the Leased Property that shall be required to be filed with any Governmental Authority pursuant to any Applicable Laws, in each case, such preparation and filing at Lessee’s cost and expense.</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NET LEASE, ETC.</w:t>
      </w:r>
    </w:p>
    <w:p>
      <w:pPr>
        <w:spacing w:after="0" w:line="211" w:lineRule="exact"/>
        <w:rPr>
          <w:sz w:val="20"/>
          <w:szCs w:val="20"/>
          <w:color w:val="auto"/>
        </w:rPr>
      </w:pPr>
    </w:p>
    <w:p>
      <w:pPr>
        <w:ind w:right="20" w:firstLine="689"/>
        <w:spacing w:after="0" w:line="268" w:lineRule="auto"/>
        <w:rPr>
          <w:sz w:val="20"/>
          <w:szCs w:val="20"/>
          <w:color w:val="auto"/>
        </w:rPr>
      </w:pPr>
      <w:r>
        <w:rPr>
          <w:rFonts w:ascii="Arial" w:cs="Arial" w:eastAsia="Arial" w:hAnsi="Arial"/>
          <w:sz w:val="17"/>
          <w:szCs w:val="17"/>
          <w:i w:val="1"/>
          <w:iCs w:val="1"/>
          <w:color w:val="auto"/>
        </w:rPr>
        <w:t>Section 5.1. Net Lease</w:t>
      </w:r>
      <w:r>
        <w:rPr>
          <w:rFonts w:ascii="Arial" w:cs="Arial" w:eastAsia="Arial" w:hAnsi="Arial"/>
          <w:sz w:val="17"/>
          <w:szCs w:val="17"/>
          <w:color w:val="auto"/>
        </w:rPr>
        <w:t>. This Lease shall constitute a net lease and Lessee’s obligations hereunder, including the obligation to pay Rent,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absolute and unconditional under any and all circumstances, subject to Lessee’s rights to contest amounts (other than Basic Rent, the Lease Balance, the Sale Option Recourse Amount or the Purchase Price) owed. Any present or future law to the contrary notwithstanding, this Lease shall not terminate, nor shall the Lessee be entitled to any abatement, suspension, deferment, reduction, setoff, counterclaim, or defense with respect to the Rent, nor shall the obligations of the Lessee hereunder be affected (except as expressly herein permitted and by performance of the obligations in connection herewith) by reason of: (i) any defect in the condition, merchantability, design, construction, quality or fitness for use of the Leased Property or any part thereof, or the failure of the Leased Property or any part thereof to comply with all Applicable Laws, including any inability to use the Leased Property or any part thereof by reason of such non-compliance; (ii) any damage to, removal, abandonment, salvage, loss, contamination of, Release from, or other environmental condition with respect to, scrapping or destruction of or any requisition or taking of the Leased Property or any part thereof; (iii) any restriction, prevention or curtailment of or interference with any use of the Leased Property or any part thereof; (iv) any defect in title to or rights to the Leased Property or any part thereof or any Lien on such title or rights or on the Leased Property or any part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not relieve any Person from its responsibility to remove Lessor Liens attributable to it); (v) any change, waiver, extension, indulgence or other action or omission or breach in respect of any obligation or liability of or by Lessor, Administrative Agent or any Participant; (vi) to the fullest extent permitted by Applicable Laws, any bankruptcy, insolvency, reorganization, composition, adjustment, dissolution, liquidation or other like proceedings relating to Lessee, Lessor, the Administrative Agent, any Participant or any other Person, or</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any action taken with respect to this Lease by any trustee or receiver of the Lessee, Lessor, the Administrative Agent, any Participant or any other Person, or by any court, in any such proceeding; (vii) any claim that the Lessee has or might have against any Person, including without limitation any Participant, vendor, manufacturer, contractor of or for the Leased Property or any part thereof; (viii) any failure on the part of Lessor, the Administrative Agent or any Participant to perform or comply with any of the terms of this Lease or any other Operative Document or of any other agreement; (ix) any invalidity or unenforceability or illegality or disaffirmance of this Lease against or by the Lessee or any provision hereof or any of the other Operative Documents or any provision of any thereof; (x) the impossibility or illegality of performance by Lessee, Lessor or both; (xi) any action by any court, administrative agency or other Governmental Authority; (xii) any restriction, prevention or curtailment of or interference with the use of the Leased Property or any part thereof;</w:t>
      </w:r>
    </w:p>
    <w:p>
      <w:pPr>
        <w:spacing w:after="0" w:line="3" w:lineRule="exact"/>
        <w:rPr>
          <w:sz w:val="20"/>
          <w:szCs w:val="20"/>
          <w:color w:val="auto"/>
        </w:rPr>
      </w:pPr>
    </w:p>
    <w:p>
      <w:pPr>
        <w:ind w:right="140" w:firstLine="8"/>
        <w:spacing w:after="0" w:line="252" w:lineRule="auto"/>
        <w:tabs>
          <w:tab w:leader="none" w:pos="40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failure of Lessee or any of its Subsidiaries to achieve any accounting or tax benefits; or (xiv) any other cause or circumstances whether similar or dissimilar to the foregoing and whether or not the Lessee shall have notice or knowledge of any of the foregoing. The Lessee’s agreement in the preceding sentence shall not affect any claim, action or right the Lessee may have against any Person. The parties intend that the obligations of the Lessee hereunder shall be covenants and agreements that are separate and independent from any obligations of Lessor hereunder or under any other Operative Documents and the obligations of the Lessee shall continue unaffected unless such obligations shall have been modified or terminated in accordance with an express provision of this Lease.</w:t>
      </w:r>
    </w:p>
    <w:p>
      <w:pPr>
        <w:spacing w:after="0" w:line="194" w:lineRule="exact"/>
        <w:rPr>
          <w:sz w:val="20"/>
          <w:szCs w:val="20"/>
          <w:color w:val="auto"/>
        </w:rPr>
      </w:pPr>
    </w:p>
    <w:p>
      <w:pPr>
        <w:ind w:firstLine="689"/>
        <w:spacing w:after="0" w:line="269" w:lineRule="auto"/>
        <w:rPr>
          <w:sz w:val="20"/>
          <w:szCs w:val="20"/>
          <w:color w:val="auto"/>
        </w:rPr>
      </w:pPr>
      <w:r>
        <w:rPr>
          <w:rFonts w:ascii="Arial" w:cs="Arial" w:eastAsia="Arial" w:hAnsi="Arial"/>
          <w:sz w:val="17"/>
          <w:szCs w:val="17"/>
          <w:i w:val="1"/>
          <w:iCs w:val="1"/>
          <w:color w:val="auto"/>
        </w:rPr>
        <w:t>Section 5.2. No Termination or Abatement</w:t>
      </w:r>
      <w:r>
        <w:rPr>
          <w:rFonts w:ascii="Arial" w:cs="Arial" w:eastAsia="Arial" w:hAnsi="Arial"/>
          <w:sz w:val="17"/>
          <w:szCs w:val="17"/>
          <w:color w:val="auto"/>
        </w:rPr>
        <w:t>. The Lessee shall remain obligated under this Lease in accordance with its terms and the terms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other Operative Documents to which Lessee or an Affiliate of Lessee is a party and shall not take any action to terminate, rescind or avoid this Lease (except as provided herein or in the other Operative Documents) to the fullest extent permitted by Applicable Laws, notwithstanding any action for bankruptcy, insolvency, reorganization, liquidation, dissolution, or other proceeding affecting Lessor, the Administrative Agent or any Participant, or any action with respect to this Lease which may be taken by any trustee, receiver or liquidator of Lessor, the Administrative Agent or any Participant or by any court with respect to Lessor, the Administrative Agent or any Participant. The Lessee hereby waives all right to terminate or surrender this Lease (except as provided herein or in the other Operative Documents) or to avail itself of any abatement, suspension, deferment, reduction, setoff, counterclaim or defense with respect to any Rent payable to any Participant or the Administrative Agent. The Lessee shall remain obligated under this Lease in accordance with its terms and the terms of the other Operative Documents to which Lessee or an Affiliate of Lessee is a party and the Lessee hereby waives any and all rights now or hereafter conferred by statute or otherwise to modify or to avoid strict compliance with its obligations under this Lease. Notwithstanding any such statute or otherwise, the Lessee shall be bound by all of the terms and conditions contained in this Lease.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ASSIGNMENTS; SUBLEASES AND DELEGATIONS</w:t>
      </w:r>
    </w:p>
    <w:p>
      <w:pPr>
        <w:spacing w:after="0" w:line="21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Except for assignments and subleases permitted by this Article VI and Permitted Liens, Lessee may not sublease, assign, mortgage, pledge or otherwise transfer to any Person, including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 Subsidiary of Lessee, at any time, in whole or in part, any of its right, title or interest in, to or under this Lease, any other Operative Document or any portion of the Leased Property (except a purchase or sale of the Leased Property as permitted in Articles XVIII and XIX herein), in any case without the prior written consent of Lessor and the Participants and any such sublease, assignment, mortgage, pledge or transfer made without such consent shall be void. Notwithstanding the foregoing, Lessee may, without the consent of Lessor, the Administrative Agent or any of the Participants, (A) assign all of its rights in the Operative Documents to Parent Guarantor or any Domestic Subsidiary of Parent Guarantor (an “</w:t>
      </w:r>
      <w:r>
        <w:rPr>
          <w:rFonts w:ascii="Arial" w:cs="Arial" w:eastAsia="Arial" w:hAnsi="Arial"/>
          <w:sz w:val="16"/>
          <w:szCs w:val="16"/>
          <w:i w:val="1"/>
          <w:iCs w:val="1"/>
          <w:color w:val="auto"/>
        </w:rPr>
        <w:t>Affiliate Transferee</w:t>
      </w:r>
      <w:r>
        <w:rPr>
          <w:rFonts w:ascii="Arial" w:cs="Arial" w:eastAsia="Arial" w:hAnsi="Arial"/>
          <w:sz w:val="16"/>
          <w:szCs w:val="16"/>
          <w:color w:val="auto"/>
        </w:rPr>
        <w:t xml:space="preserve">”) (subject to applicable know your customer rules) so long as (i) no Event of Default has occurred and is then continuing or shall occur immediately after giving effect thereto, (ii) the current Lessee provides a joinder to the Guaranty (in the form attached thereto) of the obligations of such Affiliate Transferee (if other than the Parent Guarantor) under the Operative Documents, and the Guaranty otherwise remains in full force and effect (including the representations, warranties and covenants of the Parent Guarantor), and (iii) such Affiliate Transferee is not subject to any bankruptcy or insolvency proceedings at the time of such assignment, and (B) the Lessee may, so long as no Event of Default exists and is continuing, enter into subleases with any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 such Person shall not then be subject to any proceedings for relief under any bankruptcy or insolvency law or laws relating to the relief of debtors; (ii) no Event of Default shall then exist; (iii) the Guaranty shall remain in full force and effect; (iv) such sublease shall not discharge or diminish any of Lessee’s obligations to Lessor hereunder or to any</w:t>
      </w:r>
    </w:p>
    <w:p>
      <w:pPr>
        <w:sectPr>
          <w:pgSz w:w="11900" w:h="16930" w:orient="portrait"/>
          <w:cols w:equalWidth="0" w:num="1">
            <w:col w:w="11400"/>
          </w:cols>
          <w:pgMar w:left="240" w:top="125" w:right="259" w:bottom="0" w:gutter="0" w:footer="0" w:header="0"/>
        </w:sectPr>
      </w:pPr>
    </w:p>
    <w:bookmarkStart w:id="91" w:name="page92"/>
    <w:bookmarkEnd w:id="91"/>
    <w:p>
      <w:pPr>
        <w:ind w:right="40"/>
        <w:spacing w:after="0" w:line="287" w:lineRule="auto"/>
        <w:rPr>
          <w:sz w:val="20"/>
          <w:szCs w:val="20"/>
          <w:color w:val="auto"/>
        </w:rPr>
      </w:pPr>
      <w:r>
        <w:rPr>
          <w:rFonts w:ascii="Arial" w:cs="Arial" w:eastAsia="Arial" w:hAnsi="Arial"/>
          <w:sz w:val="16"/>
          <w:szCs w:val="16"/>
          <w:color w:val="auto"/>
        </w:rPr>
        <w:t xml:space="preserve">other Person under any other Operative Document, it being understood that Lessee shall remain directly and primarily liable under this Lease with respect to all of the Leased Property; (v) solely with respect to subleases to any Subsidiary or Affiliate of Lessee, such sublease shall not extend beyond the last day of the Term; (vi) such sublease entered into after the Document Closing Date shall be made and shall expressly provide that it is subject and subordinate to this Lease and the rights of Lessor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connection with any such sublease to a Person other than an Affiliate or Subsidiary of Lessee, and as a condition to the foregoing subordination, the sublessee shall benefit from customary non-disturbance protections, including that such sublessee not be disturbed in its occupancy of the subleased premises, and Lessor shall, at Lessee’s sole cost and expense, enter into a subordination, non-disturbance and attornment agreement in form and substance as set forth in Exhibit C attached hereto or that is otherwise reasonably satisfactory to Lessor and Lessee to confirm the foregoing; (vii) such sublease contains market terms and conditions and permits a use that is consistent with existing use of the Leased Property; and (viii) any such sublease to any Person who is not either an Affiliate or Subsidiary of Lessee, when aggregated with all other subleases to Persons who are not either Affiliates or Subsidiaries of Lessee, shall not exceed thirty percent (30%) of the square footage of the gross leaseable area of the Leased Property;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for purposes of the foregoing threshold, the Home Depot Ground Lease shall not be taken into account.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Lessee shall give Lessor prompt written notice of any assignment or sublease permitted under this Article VI, and Lessee shall, within fifteen</w:t>
      </w:r>
    </w:p>
    <w:p>
      <w:pPr>
        <w:spacing w:after="0" w:line="35" w:lineRule="exact"/>
        <w:rPr>
          <w:sz w:val="20"/>
          <w:szCs w:val="20"/>
          <w:color w:val="auto"/>
        </w:rPr>
      </w:pPr>
    </w:p>
    <w:p>
      <w:pPr>
        <w:jc w:val="both"/>
        <w:ind w:firstLine="8"/>
        <w:spacing w:after="0" w:line="255" w:lineRule="auto"/>
        <w:tabs>
          <w:tab w:leader="none" w:pos="34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days after execution of any such assignment or sublease, deliver to the Administrative Agent a fully executed copy of such assignment or sublease and a certificate regarding compliance with the foregoing conditions. Lessee shall perform, at its sole cost and expense, any and all obligations with respect to each lease or sublease, as the case may be, for any portion of the Leased Property, whether such lease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or sublease is in effect as of the Document Closing Date or entered into after the Document Closing Date.</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Notwithstanding any provision of this Lease or any of the other Operative Documents to the contrary, Lessee may, without the consent to Lessor, the Administrative Agent or any of the Participants, amend, restate, modify, supplement, extend, terminate or waive the terms of any sublease subject to the requirements of this Article VI.</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Unless an Event of Default has occurred and is continuing and Lessee receives written notice from Lessor or the Administrative Agent directing Lessee to pay to Administrative Agent any rents, issues, revenues, profits or other income (including all deposits of money as advanced rent or for security) received by Lessee under any sublease, Lessee shall have the right to retain, use and enjoy such income, and upon the cure of any such Event of Default, Lessee shall resume the right to receive, retain, use and enjoy such income.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LESSEE ACKNOWLEDGMENTS</w:t>
      </w:r>
    </w:p>
    <w:p>
      <w:pPr>
        <w:spacing w:after="0" w:line="211"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i w:val="1"/>
          <w:iCs w:val="1"/>
          <w:color w:val="auto"/>
        </w:rPr>
        <w:t>SECTION 7.1. CONDITION OF THE LEASED PROPERTY</w:t>
      </w:r>
      <w:r>
        <w:rPr>
          <w:rFonts w:ascii="Arial" w:cs="Arial" w:eastAsia="Arial" w:hAnsi="Arial"/>
          <w:sz w:val="17"/>
          <w:szCs w:val="17"/>
          <w:color w:val="auto"/>
        </w:rPr>
        <w:t>. THE LESSEE ACKNOWLEDGES AND AGREES THAT ALTHOUGH LESSOR</w:t>
      </w:r>
      <w:r>
        <w:rPr>
          <w:rFonts w:ascii="Arial" w:cs="Arial" w:eastAsia="Arial" w:hAnsi="Arial"/>
          <w:sz w:val="17"/>
          <w:szCs w:val="17"/>
          <w:i w:val="1"/>
          <w:iCs w:val="1"/>
          <w:color w:val="auto"/>
        </w:rPr>
        <w:t xml:space="preserve"> </w:t>
      </w:r>
      <w:r>
        <w:rPr>
          <w:rFonts w:ascii="Arial" w:cs="Arial" w:eastAsia="Arial" w:hAnsi="Arial"/>
          <w:sz w:val="17"/>
          <w:szCs w:val="17"/>
          <w:color w:val="auto"/>
        </w:rPr>
        <w:t>WILL OWN AND HOLD RECORD TITLE TO THE LEASED PROPERTY, THE LESSEE, ACTING AS AGENT PURSUANT TO THE POWER OF ATTORNEY GRANTED TO THE LESSEE BY LESSOR HEREUNDER, IS SOLELY RESPONSIBLE FOR ANY ALTERATIONS OR MODIFICATIONS AND ALL ACTIVITIES CONDUCTED IN CONNECTION THEREWITH INCLUDING THE OBTAINING OF ALL PERMITS REQUIRED IN ACCORDANCE WITH APPLICABLE LAW. THE LESSEE FURTHER ACKNOWLEDGES AND AGREES THAT IT IS LEASING THE LEASED PROPERTY “AS IS” WITHOUT REPRESENTATION, WARRANTY OR COVENANT (EXPRESS OR IMPLIED) BY LESSOR, THE ADMINISTRATIVE AGENT OR THE PARTICIPANTS AND IN EACH CASE SUBJECT TO (A) THE EXISTING STATE OF TITLE (EXCLUDING LESSOR LIENS), (B) THE RIGHTS OF ANY PARTIES IN POSSESSION THEREOF, (C) ANY STATE OF FACTS WHICH AN ACCURATE SURVEY OR A PHYSICAL INSPECTION MIGHT SHOW AND (D) VIOLATIONS OF REQUIREMENTS OF APPLICABLE LAW WITH RESPECT TO THE LEASED PROPERTY, LESSEE OR ITS OPERATIONS ON OR WITH RESPECT TO THE LEASED PROPERTY WHICH MAY EXIST ON THE DATE HEREOF OR HEREAFTER. NONE OF LESSOR, THE ADMINISTRATIVE AGENT OR THE PARTICIPANTS HAS MADE OR SHALL BE DEEMED TO HAVE MADE ANY REPRESENTATION, WARRANTY OR COVENANT (EXPRESS OR IMPLIED EXCEPT AS EXPRESSLY PROVIDED IN THE OPERATIVE DOCUMENTS) OR SHALL BE DEEMED TO HAVE ANY LIABILITY WHATSOEVER AS TO THE TITLE (OTHER THAN FOR LESSOR LIENS), VALUE, HABITABILITY, USE, CONDITION (INCLUDING ENVIRONMENTAL CONDITION), DESIGN, OPERATION, OR FITNESS FOR USE OF THE LEASED PROPERTY (OR ANY PART THEREOF), OR ANY OTHER REPRESENTATION, WARRANTY OR COVENANT WHATSOEVER, EXPRESS OR IMPLIED, WITH RESPECT TO THE LEASED PROPERTY (OR ANY PART THEREOF) AND NONE OF LESSOR, THE ADMINISTRATIVE AGENT OR ANY OF THE PARTICIPANTS SHALL BE LIABLE FOR ANY LATENT, HIDDEN, OR PATENT DEFECT THEREIN (OTHER THAN FOR LESSOR LIENS) OR THE FAILURE OF THE LEASED PROPERTY, OR ANY PART THEREOF, TO COMPLY WITH ANY APPLICABLE LAWS. All risks incident to the matters discussed in the preceding sentence, as between Lessor, the Administrative Agent and the Participants, on the one hand, and Lessee, on the other, are to be borne by Lessee. The provisions of this Section 7.1 have been negotiated, and, except to the extent otherwise expressly stated, the foregoing</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provisions are intended to be a complete exclusion and negation of any representations or warranties by any of Lessor, the Administrative Agent or the Participants, express or implied, with respect to the Leased Property (or any interest therein), other than the obligation to remove Lessor Liens attributable to it, that may arise pursuant to any law now or hereafter in effect or otherwise.</w:t>
      </w:r>
    </w:p>
    <w:p>
      <w:pPr>
        <w:spacing w:after="0" w:line="181" w:lineRule="exact"/>
        <w:rPr>
          <w:sz w:val="20"/>
          <w:szCs w:val="20"/>
          <w:color w:val="auto"/>
        </w:rPr>
      </w:pPr>
    </w:p>
    <w:p>
      <w:pPr>
        <w:ind w:right="140" w:firstLine="689"/>
        <w:spacing w:after="0" w:line="264" w:lineRule="auto"/>
        <w:rPr>
          <w:sz w:val="20"/>
          <w:szCs w:val="20"/>
          <w:color w:val="auto"/>
        </w:rPr>
      </w:pPr>
      <w:r>
        <w:rPr>
          <w:rFonts w:ascii="Arial" w:cs="Arial" w:eastAsia="Arial" w:hAnsi="Arial"/>
          <w:sz w:val="18"/>
          <w:szCs w:val="18"/>
          <w:i w:val="1"/>
          <w:iCs w:val="1"/>
          <w:color w:val="auto"/>
        </w:rPr>
        <w:t>Section 7.2. Risk of Loss</w:t>
      </w:r>
      <w:r>
        <w:rPr>
          <w:rFonts w:ascii="Arial" w:cs="Arial" w:eastAsia="Arial" w:hAnsi="Arial"/>
          <w:sz w:val="18"/>
          <w:szCs w:val="18"/>
          <w:color w:val="auto"/>
        </w:rPr>
        <w:t>. During the Term, as between Lessee and Lessor, the risk of loss of or decrease in the enjoyment and beneficial use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Leased Property as a result of the damage or destruction thereof by fire, the elements, casualties, thefts, riots, wars, Significant Condemnation or otherwise is assumed by the Lessee, and Lessor shall in no event be answerable or accountable therefor.</w:t>
      </w:r>
    </w:p>
    <w:p>
      <w:pPr>
        <w:spacing w:after="0" w:line="181" w:lineRule="exact"/>
        <w:rPr>
          <w:sz w:val="20"/>
          <w:szCs w:val="20"/>
          <w:color w:val="auto"/>
        </w:rPr>
      </w:pPr>
    </w:p>
    <w:p>
      <w:pPr>
        <w:ind w:right="40" w:firstLine="689"/>
        <w:spacing w:after="0" w:line="276" w:lineRule="auto"/>
        <w:rPr>
          <w:sz w:val="20"/>
          <w:szCs w:val="20"/>
          <w:color w:val="auto"/>
        </w:rPr>
      </w:pPr>
      <w:r>
        <w:rPr>
          <w:rFonts w:ascii="Arial" w:cs="Arial" w:eastAsia="Arial" w:hAnsi="Arial"/>
          <w:sz w:val="17"/>
          <w:szCs w:val="17"/>
          <w:i w:val="1"/>
          <w:iCs w:val="1"/>
          <w:color w:val="auto"/>
        </w:rPr>
        <w:t>Section 7.3. Certain Duties and Responsibilities of Lessor</w:t>
      </w:r>
      <w:r>
        <w:rPr>
          <w:rFonts w:ascii="Arial" w:cs="Arial" w:eastAsia="Arial" w:hAnsi="Arial"/>
          <w:sz w:val="17"/>
          <w:szCs w:val="17"/>
          <w:color w:val="auto"/>
        </w:rPr>
        <w:t>. Lessor undertakes to perform such duties and only such duties as are specifically set</w:t>
      </w:r>
      <w:r>
        <w:rPr>
          <w:rFonts w:ascii="Arial" w:cs="Arial" w:eastAsia="Arial" w:hAnsi="Arial"/>
          <w:sz w:val="17"/>
          <w:szCs w:val="17"/>
          <w:i w:val="1"/>
          <w:iCs w:val="1"/>
          <w:color w:val="auto"/>
        </w:rPr>
        <w:t xml:space="preserve"> </w:t>
      </w:r>
      <w:r>
        <w:rPr>
          <w:rFonts w:ascii="Arial" w:cs="Arial" w:eastAsia="Arial" w:hAnsi="Arial"/>
          <w:sz w:val="17"/>
          <w:szCs w:val="17"/>
          <w:color w:val="auto"/>
        </w:rPr>
        <w:t>forth herein and in the other Operative Documents, and no implied covenants or obligations shall be read into this Lease against Lessor, and Lessor agrees that it shall not, nor shall it have a duty to, manage, control, use, sell, maintain, insure, register, lease, operate, modify, dispose of, alter, improve, investigate, remediate or otherwise deal with the Leased Property or any other part of the Collateral or its interest in the Operative Documents in any manner whatsoever, except as required by the terms of the Operative Documents and as otherwise provided herein.</w:t>
      </w:r>
    </w:p>
    <w:p>
      <w:pPr>
        <w:sectPr>
          <w:pgSz w:w="11900" w:h="16838" w:orient="portrait"/>
          <w:cols w:equalWidth="0" w:num="1">
            <w:col w:w="11380"/>
          </w:cols>
          <w:pgMar w:left="240" w:top="125" w:right="279" w:bottom="0" w:gutter="0" w:footer="0" w:header="0"/>
        </w:sectPr>
      </w:pPr>
    </w:p>
    <w:bookmarkStart w:id="92" w:name="page93"/>
    <w:bookmarkEnd w:id="92"/>
    <w:p>
      <w:pPr>
        <w:jc w:val="center"/>
        <w:ind w:right="-5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POSSESSION AND USE OF THE PROPERTY, ETC.</w:t>
      </w:r>
    </w:p>
    <w:p>
      <w:pPr>
        <w:spacing w:after="0" w:line="211" w:lineRule="exact"/>
        <w:rPr>
          <w:sz w:val="20"/>
          <w:szCs w:val="20"/>
          <w:color w:val="auto"/>
        </w:rPr>
      </w:pPr>
    </w:p>
    <w:p>
      <w:pPr>
        <w:ind w:right="100" w:firstLine="689"/>
        <w:spacing w:after="0" w:line="286" w:lineRule="auto"/>
        <w:rPr>
          <w:sz w:val="20"/>
          <w:szCs w:val="20"/>
          <w:color w:val="auto"/>
        </w:rPr>
      </w:pPr>
      <w:r>
        <w:rPr>
          <w:rFonts w:ascii="Arial" w:cs="Arial" w:eastAsia="Arial" w:hAnsi="Arial"/>
          <w:sz w:val="16"/>
          <w:szCs w:val="16"/>
          <w:i w:val="1"/>
          <w:iCs w:val="1"/>
          <w:color w:val="auto"/>
        </w:rPr>
        <w:t>Section 8.1. Possession and Use of the Leased Property</w:t>
      </w:r>
      <w:r>
        <w:rPr>
          <w:rFonts w:ascii="Arial" w:cs="Arial" w:eastAsia="Arial" w:hAnsi="Arial"/>
          <w:sz w:val="16"/>
          <w:szCs w:val="16"/>
          <w:color w:val="auto"/>
        </w:rPr>
        <w:t>. Lessee agrees that the Leased Property will be used (i) as an office, laboratory and</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and development (including wet labs, dry labs and specialty labs) campus solely in the conduct of its business at the Site and the business of the tenants, sublessees and other occupants at the Site, as well as uses appurtenant thereto, including, without limitation, amenities relating thereto (including cafeteria, restaurant, child care, fitness centers and warehouse and storage facilities and parking), and for any other lawful purpose and (ii) in a manner consistent with this Lease and the other Operative Documents and applying standards of use no lower than the standards applied by the Lessee for other substantially similar properties owned or leased by the Lessee. At all times during the Term, the Leased Property shall remain in the possession and control of Lessee or its permitted assignees or sublessees. Lessee covenants and agrees that the Leased Property will at all times be used and operated under and in compliance in all material respects with (1) the terms of any contracts or agreements applicable to the use or operation of the Leased Property or any portion thereof to which Lessee is a party or by which Lessee is bound, or to the extent contemplated by the Operative Documents or, as a result of any action or omission of Lessee, to which Lessor is a party or by which Lessor is bound, (2) Applicable Laws and (3) all Insurance Requirements. The Lessee shall not commit or permit any waste of the Leased Property or any part thereof. Lessee assumes and agrees to pay all fees, real property taxes and/or other Impositions, charges, costs, assessments, impositions, utilities and other amounts which relate to or arise during the Term in connection with the foregoing and the purchase, disposition, ownership, lease or use of any real or personal property, Governmental Actions and other rights, privileges or entitlements required to be paid in connection with the Leased Property. All such charges imposed with respect to the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Leased Property for a billing period during which this Lease expires or terminates (except when Lessee purchases the Leased Property in accordance with the terms of this Lease, in which case Lessee shall be solely responsible for all such charges) shall be adjusted and prorated on a daily basis between Lessee and Lessor or any purchaser of the Leased Property, and each party shall pay or reimburse the other for each party’s pro rata share thereof; </w:t>
      </w:r>
      <w:r>
        <w:rPr>
          <w:rFonts w:ascii="Arial" w:cs="Arial" w:eastAsia="Arial" w:hAnsi="Arial"/>
          <w:sz w:val="17"/>
          <w:szCs w:val="17"/>
          <w:i w:val="1"/>
          <w:iCs w:val="1"/>
          <w:color w:val="auto"/>
        </w:rPr>
        <w:t>provided</w:t>
      </w:r>
      <w:r>
        <w:rPr>
          <w:rFonts w:ascii="Arial" w:cs="Arial" w:eastAsia="Arial" w:hAnsi="Arial"/>
          <w:sz w:val="17"/>
          <w:szCs w:val="17"/>
          <w:color w:val="auto"/>
        </w:rPr>
        <w:t>, that in no event shall Lessor have any liability therefor. Lessee shall perform all obligations required to be performed by Lessor under the Tax Abatement Documents. Lessee hereby agrees to perform all obligations of Lessor, including without limitation, the payment of any pro-rations under the Purchase Agreement from and after the Closing Date (excluding, the payment of the Purchase Price). Lessee shall be entitled to receive any credit or refund received by the Lessor on account of any utility charges paid by Lessee, net of the costs and expenses reasonably incurred by the Lessor in obtaining such credit or refund, and the amount of such credit or refund shall be promptly paid over to Lessee.</w:t>
      </w:r>
    </w:p>
    <w:p>
      <w:pPr>
        <w:spacing w:after="0" w:line="179" w:lineRule="exact"/>
        <w:rPr>
          <w:sz w:val="20"/>
          <w:szCs w:val="20"/>
          <w:color w:val="auto"/>
        </w:rPr>
      </w:pPr>
    </w:p>
    <w:p>
      <w:pPr>
        <w:ind w:left="700"/>
        <w:spacing w:after="0"/>
        <w:tabs>
          <w:tab w:leader="none" w:pos="1780" w:val="left"/>
        </w:tabs>
        <w:rPr>
          <w:sz w:val="20"/>
          <w:szCs w:val="20"/>
          <w:color w:val="auto"/>
        </w:rPr>
      </w:pPr>
      <w:r>
        <w:rPr>
          <w:rFonts w:ascii="Arial" w:cs="Arial" w:eastAsia="Arial" w:hAnsi="Arial"/>
          <w:sz w:val="18"/>
          <w:szCs w:val="18"/>
          <w:i w:val="1"/>
          <w:iCs w:val="1"/>
          <w:color w:val="auto"/>
        </w:rPr>
        <w:t>Section 8.2.</w:t>
      </w:r>
      <w:r>
        <w:rPr>
          <w:sz w:val="20"/>
          <w:szCs w:val="20"/>
          <w:color w:val="auto"/>
        </w:rPr>
        <w:tab/>
      </w:r>
      <w:r>
        <w:rPr>
          <w:rFonts w:ascii="Arial" w:cs="Arial" w:eastAsia="Arial" w:hAnsi="Arial"/>
          <w:sz w:val="16"/>
          <w:szCs w:val="16"/>
          <w:i w:val="1"/>
          <w:iCs w:val="1"/>
          <w:color w:val="auto"/>
        </w:rPr>
        <w:t>Compliance with Requirements of Law and Insurance Requirements</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79" w:lineRule="auto"/>
        <w:tabs>
          <w:tab w:leader="none" w:pos="938" w:val="left"/>
        </w:tabs>
        <w:numPr>
          <w:ilvl w:val="0"/>
          <w:numId w:val="200"/>
        </w:numPr>
        <w:rPr>
          <w:rFonts w:ascii="Arial" w:cs="Arial" w:eastAsia="Arial" w:hAnsi="Arial"/>
          <w:sz w:val="17"/>
          <w:szCs w:val="17"/>
          <w:color w:val="auto"/>
        </w:rPr>
      </w:pPr>
      <w:r>
        <w:rPr>
          <w:rFonts w:ascii="Arial" w:cs="Arial" w:eastAsia="Arial" w:hAnsi="Arial"/>
          <w:sz w:val="17"/>
          <w:szCs w:val="17"/>
          <w:color w:val="auto"/>
        </w:rPr>
        <w:t>Subject to the terms of Article XII relating to permitted contests, the Lessee, at its sole cost and expense, shall (i) comply in all material respects with all Applicable Laws (including all Environmental Laws) relating to the Leased Property and Insurance Requirements, and (ii) procure, maintain and comply with in all material respects all licenses, permits, orders, approvals, consents and other authorizations required for the use, operation, maintenance, repair and restoration of the Leased Property and for the use, operation, maintenance, repair and restoration of the Facility.</w:t>
      </w:r>
    </w:p>
    <w:p>
      <w:pPr>
        <w:spacing w:after="0" w:line="171" w:lineRule="exact"/>
        <w:rPr>
          <w:rFonts w:ascii="Arial" w:cs="Arial" w:eastAsia="Arial" w:hAnsi="Arial"/>
          <w:sz w:val="17"/>
          <w:szCs w:val="17"/>
          <w:color w:val="auto"/>
        </w:rPr>
      </w:pPr>
    </w:p>
    <w:p>
      <w:pPr>
        <w:ind w:firstLine="656"/>
        <w:spacing w:after="0" w:line="254" w:lineRule="auto"/>
        <w:tabs>
          <w:tab w:leader="none" w:pos="94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Lessee shall not, and shall not suffer or permit a tenant under any sublease to, violate any Applicable Laws affecting the Leased Property, including the Controlled Substances Act, if such violation would result in the occurrence of an Event of Default under Section 16.1(p) below, including the commencement of any proceedings under the Civil Asset Forfeiture Reform Act to the extent the same would constitute an Event of Default. Upon obtaining actual knowledge of any conduct contrary to this Section 8.2, Lessee shall promptly take all actions reasonably expected under the circumstances to terminate any such use of the Leased Property, including: (i) to give timely notice to an appropriate law enforcement agency of information that led the Lessee to know such conduct had occurred, and (ii) in a timely fashion to revoke or make a good faith attempt to revoke permission for those engaging in such conduct to use the Leased Property or to take reasonable actions in consultation with a law enforcement agency to discourage or prevent the illegal use of the Leased Property.</w:t>
      </w:r>
    </w:p>
    <w:p>
      <w:pPr>
        <w:spacing w:after="0" w:line="192" w:lineRule="exact"/>
        <w:rPr>
          <w:sz w:val="20"/>
          <w:szCs w:val="20"/>
          <w:color w:val="auto"/>
        </w:rPr>
      </w:pPr>
    </w:p>
    <w:p>
      <w:pPr>
        <w:ind w:right="80" w:firstLine="689"/>
        <w:spacing w:after="0" w:line="257" w:lineRule="auto"/>
        <w:rPr>
          <w:sz w:val="20"/>
          <w:szCs w:val="20"/>
          <w:color w:val="auto"/>
        </w:rPr>
      </w:pPr>
      <w:r>
        <w:rPr>
          <w:rFonts w:ascii="Arial" w:cs="Arial" w:eastAsia="Arial" w:hAnsi="Arial"/>
          <w:sz w:val="18"/>
          <w:szCs w:val="18"/>
          <w:i w:val="1"/>
          <w:iCs w:val="1"/>
          <w:color w:val="auto"/>
        </w:rPr>
        <w:t>Section 8.3. Specified Tax Abatement Documents</w:t>
      </w:r>
      <w:r>
        <w:rPr>
          <w:rFonts w:ascii="Arial" w:cs="Arial" w:eastAsia="Arial" w:hAnsi="Arial"/>
          <w:sz w:val="18"/>
          <w:szCs w:val="18"/>
          <w:color w:val="auto"/>
        </w:rPr>
        <w:t>. The Lessee shall not enter into any Specified Tax Abatement Document without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consent of the Required Participants if such Specified Tax Abatement Document: (i) impose any obligations or covenants upon the Participants (including, without limitation, any payment or indemnity obligations), (ii) impair in any material respect Lessor’s or Administrative Agent’s rights to the Leased Property or access to the Leased Property or (iii) result in any transfer of title or any interest in the Leased Property or risk of forfeiture of the Leased Property.</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89"/>
        <w:spacing w:after="0" w:line="268" w:lineRule="auto"/>
        <w:rPr>
          <w:sz w:val="20"/>
          <w:szCs w:val="20"/>
          <w:color w:val="auto"/>
        </w:rPr>
      </w:pPr>
      <w:r>
        <w:rPr>
          <w:rFonts w:ascii="Arial" w:cs="Arial" w:eastAsia="Arial" w:hAnsi="Arial"/>
          <w:sz w:val="17"/>
          <w:szCs w:val="17"/>
          <w:i w:val="1"/>
          <w:iCs w:val="1"/>
          <w:color w:val="auto"/>
        </w:rPr>
        <w:t>Section 8.4. Power of Attorney</w:t>
      </w:r>
      <w:r>
        <w:rPr>
          <w:rFonts w:ascii="Arial" w:cs="Arial" w:eastAsia="Arial" w:hAnsi="Arial"/>
          <w:sz w:val="17"/>
          <w:szCs w:val="17"/>
          <w:color w:val="auto"/>
        </w:rPr>
        <w:t>. During the Term and</w:t>
      </w:r>
      <w:r>
        <w:rPr>
          <w:rFonts w:ascii="Arial" w:cs="Arial" w:eastAsia="Arial" w:hAnsi="Arial"/>
          <w:sz w:val="17"/>
          <w:szCs w:val="17"/>
          <w:i w:val="1"/>
          <w:iCs w:val="1"/>
          <w:color w:val="auto"/>
        </w:rPr>
        <w:t xml:space="preserve"> provided </w:t>
      </w:r>
      <w:r>
        <w:rPr>
          <w:rFonts w:ascii="Arial" w:cs="Arial" w:eastAsia="Arial" w:hAnsi="Arial"/>
          <w:sz w:val="17"/>
          <w:szCs w:val="17"/>
          <w:color w:val="auto"/>
        </w:rPr>
        <w:t>that no Event of Default shall have occurred and be continuing, and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provisions of Articles VII, IX and X and Section 8.2, and without the requirement of any further instrument or action of Lessor, Lessor hereby appoints the Lessee as the agent and attorney-in-fact of Lessor for the purpose of exercising and enforcing, and with full right, power and authority to perform the obligations of Lessor and to exercise and to enforce, all of the right, title, interest and remedies of the Lessor in, under and to any agreements and arrangements concerning the use, operation, and repair of the Leased Property, which shall include the power and authority to execute documents relating thereto on behalf of Lessor, so long as such enforcement does not create, or such instruments do not contain, any liability on the part of the Lessor or require any indemnification from Lessor. Lessor agrees, to reasonably cooperate with Lessee and, upon Lessee’s request and at the Lessee’s expense, to execute and deliver and/or to join in the execution of such further instruments as may be necessary to enable the Lessee to perform Lessor’s obligations under such agreements and arrangements during the Term and to exercise and enforce the rights, remedies and obligations conferred to or delegated to the Lessee pursuant to this Section. Upon the expiration or termination of this Lease pursuant to the terms hereof or the express revocation after the occurrence and during the continuance of an Event of Default, the power of attorney granted to the Lessee under this Section shall automatically terminate. So long as no Event of Default has occurred and is continuing, any proceeds obtained by the Lessee from the enforcement of the warranties and obligations of any supplier of goods or services in respect of the Leased Property shall be held by the Lessee and applied from time to time to the repair and maintenance of the Leased Property, and any balance thereof remaining at the expiration of the Term shall be paid over to the Lessor or as it may direct, subject to Section 5.2 of the Participation Agreement.</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MAINTENANCE AND REPAIR; REPORTS</w:t>
      </w:r>
    </w:p>
    <w:p>
      <w:pPr>
        <w:sectPr>
          <w:pgSz w:w="11900" w:h="16838" w:orient="portrait"/>
          <w:cols w:equalWidth="0" w:num="1">
            <w:col w:w="11380"/>
          </w:cols>
          <w:pgMar w:left="240" w:top="121" w:right="279" w:bottom="0" w:gutter="0" w:footer="0" w:header="0"/>
        </w:sectPr>
      </w:pPr>
    </w:p>
    <w:bookmarkStart w:id="93" w:name="page94"/>
    <w:bookmarkEnd w:id="93"/>
    <w:p>
      <w:pPr>
        <w:spacing w:after="0" w:line="114" w:lineRule="exact"/>
        <w:rPr>
          <w:sz w:val="20"/>
          <w:szCs w:val="20"/>
          <w:color w:val="auto"/>
        </w:rPr>
      </w:pPr>
    </w:p>
    <w:p>
      <w:pPr>
        <w:ind w:right="160" w:firstLine="689"/>
        <w:spacing w:after="0" w:line="286" w:lineRule="auto"/>
        <w:rPr>
          <w:sz w:val="20"/>
          <w:szCs w:val="20"/>
          <w:color w:val="auto"/>
        </w:rPr>
      </w:pPr>
      <w:r>
        <w:rPr>
          <w:rFonts w:ascii="Arial" w:cs="Arial" w:eastAsia="Arial" w:hAnsi="Arial"/>
          <w:sz w:val="16"/>
          <w:szCs w:val="16"/>
          <w:i w:val="1"/>
          <w:iCs w:val="1"/>
          <w:color w:val="auto"/>
        </w:rPr>
        <w:t>Section 9.1. Maintenance and Repair</w:t>
      </w:r>
      <w:r>
        <w:rPr>
          <w:rFonts w:ascii="Arial" w:cs="Arial" w:eastAsia="Arial" w:hAnsi="Arial"/>
          <w:sz w:val="16"/>
          <w:szCs w:val="16"/>
          <w:color w:val="auto"/>
        </w:rPr>
        <w:t>. Lessee, at its own cost and expense, shall at all times during the Term (a) keep, repair and maintain the</w:t>
      </w:r>
      <w:r>
        <w:rPr>
          <w:rFonts w:ascii="Arial" w:cs="Arial" w:eastAsia="Arial" w:hAnsi="Arial"/>
          <w:sz w:val="16"/>
          <w:szCs w:val="16"/>
          <w:i w:val="1"/>
          <w:iCs w:val="1"/>
          <w:color w:val="auto"/>
        </w:rPr>
        <w:t xml:space="preserve"> </w:t>
      </w:r>
      <w:r>
        <w:rPr>
          <w:rFonts w:ascii="Arial" w:cs="Arial" w:eastAsia="Arial" w:hAnsi="Arial"/>
          <w:sz w:val="16"/>
          <w:szCs w:val="16"/>
          <w:color w:val="auto"/>
        </w:rPr>
        <w:t>Leased Property in good working order, subject to ordinary wear and tear, and in any event at least as good as the condition of substantially similar property owned or leased by Lessee (it being acknowledged that certain portions of the Facility do not meet such standards and the Lessee shall have no obligation to perform any alterations to such areas of the Leased Property in order to meet such standard); (b) make such repairs to the Leased Property as are necessary</w:t>
      </w:r>
    </w:p>
    <w:p>
      <w:pPr>
        <w:spacing w:after="0" w:line="2" w:lineRule="exact"/>
        <w:rPr>
          <w:sz w:val="20"/>
          <w:szCs w:val="20"/>
          <w:color w:val="auto"/>
        </w:rPr>
      </w:pPr>
    </w:p>
    <w:p>
      <w:pPr>
        <w:ind w:right="60" w:firstLine="8"/>
        <w:spacing w:after="0" w:line="288" w:lineRule="auto"/>
        <w:tabs>
          <w:tab w:leader="none" w:pos="21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to comply in all material respects with all Applicable Laws, (ii) to comply in all material respects with Insurance Requirements and (iii) to meet the maintenance and repair standard for similarly sized and situated “Class A” office, laboratory and research and development campuses (it being acknowledged that certain portions of the Facility do not meet such “Class A” standards and the Lessee shall have no obligation to perform any alterations to such areas of the Leased Property in order to meet such standard); (c) use the Leased Property only in accordance with Article VIII; (d) make all necessary or appropriate repairs, replacements, restorations, renewals and take all other actions with respect to the Leased Property or any part thereof which may be required to keep the Leased Property in the condition required by the preceding clauses (a) through (c), structural or nonstructural, ordinary or extraordinary, foreseen or unforeseen; and (e) procure, maintain and comply with all material licenses, permits, orders, approvals, consents and other authorizations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required for the installation, construction and maintenance, use and operation, of the Leased Property.</w:t>
      </w:r>
    </w:p>
    <w:p>
      <w:pPr>
        <w:spacing w:after="0" w:line="225" w:lineRule="exact"/>
        <w:rPr>
          <w:sz w:val="20"/>
          <w:szCs w:val="20"/>
          <w:color w:val="auto"/>
        </w:rPr>
      </w:pPr>
    </w:p>
    <w:p>
      <w:pPr>
        <w:ind w:right="60" w:firstLine="689"/>
        <w:spacing w:after="0" w:line="259" w:lineRule="auto"/>
        <w:rPr>
          <w:sz w:val="20"/>
          <w:szCs w:val="20"/>
          <w:color w:val="auto"/>
        </w:rPr>
      </w:pPr>
      <w:r>
        <w:rPr>
          <w:rFonts w:ascii="Arial" w:cs="Arial" w:eastAsia="Arial" w:hAnsi="Arial"/>
          <w:sz w:val="18"/>
          <w:szCs w:val="18"/>
          <w:i w:val="1"/>
          <w:iCs w:val="1"/>
          <w:color w:val="auto"/>
        </w:rPr>
        <w:t>Section 9.2. Maintenance and Repair Records</w:t>
      </w:r>
      <w:r>
        <w:rPr>
          <w:rFonts w:ascii="Arial" w:cs="Arial" w:eastAsia="Arial" w:hAnsi="Arial"/>
          <w:sz w:val="18"/>
          <w:szCs w:val="18"/>
          <w:color w:val="auto"/>
        </w:rPr>
        <w:t>. Lessee shall keep maintenance and repair records in sufficient detail, at least on the same basis as</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are kept for similar properties owned or leased by Lessee or any of its Subsidiaries to indicate the nature and date of major work done at or to the Leased Property. Such reports shall be kept on file by Lessee at the Site, and shall be made available to Lessor upon reasonable request. Lessee shall give written notice to Lessor of any Event of Loss promptly after Lessee has knowledge thereof.</w:t>
      </w:r>
    </w:p>
    <w:p>
      <w:pPr>
        <w:spacing w:after="0" w:line="187" w:lineRule="exact"/>
        <w:rPr>
          <w:sz w:val="20"/>
          <w:szCs w:val="20"/>
          <w:color w:val="auto"/>
        </w:rPr>
      </w:pPr>
    </w:p>
    <w:p>
      <w:pPr>
        <w:ind w:right="20" w:firstLine="689"/>
        <w:spacing w:after="0" w:line="255" w:lineRule="auto"/>
        <w:rPr>
          <w:sz w:val="20"/>
          <w:szCs w:val="20"/>
          <w:color w:val="auto"/>
        </w:rPr>
      </w:pPr>
      <w:r>
        <w:rPr>
          <w:rFonts w:ascii="Arial" w:cs="Arial" w:eastAsia="Arial" w:hAnsi="Arial"/>
          <w:sz w:val="18"/>
          <w:szCs w:val="18"/>
          <w:i w:val="1"/>
          <w:iCs w:val="1"/>
          <w:color w:val="auto"/>
        </w:rPr>
        <w:t xml:space="preserve">Section 9.3. Lessor Not Obligated to Maintain or Repair. </w:t>
      </w:r>
      <w:r>
        <w:rPr>
          <w:rFonts w:ascii="Arial" w:cs="Arial" w:eastAsia="Arial" w:hAnsi="Arial"/>
          <w:sz w:val="18"/>
          <w:szCs w:val="18"/>
          <w:color w:val="auto"/>
        </w:rPr>
        <w:t>Lessor shall not under any circumstances be required to build any improvements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Leased Property, make any repairs, replacements, Modifications or renewals of any nature or description to the Leased Property, make any expenditure whatsoever in connection with this Lease (other than with respect to obligations to make the Advance as required by the Participation Agreement) or maintain the Leased Property in any way. The Lessee waives any right it may now have or hereafter acquire to (i) require Lessor to maintain, repair, replace, restore, alter, remove or rebuild all or part of the Leased Property or (ii) make repairs at the expense of Lessor pursuant to, or to bring the Leased Property in compliance with, any Applicable Laws (including Environmental Laws), contract, agreement, or covenant, condition or restriction in effect at any time during the Term.</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MODIFICATIONS, ETC.</w:t>
      </w:r>
    </w:p>
    <w:p>
      <w:pPr>
        <w:spacing w:after="0" w:line="211" w:lineRule="exact"/>
        <w:rPr>
          <w:sz w:val="20"/>
          <w:szCs w:val="20"/>
          <w:color w:val="auto"/>
        </w:rPr>
      </w:pPr>
    </w:p>
    <w:p>
      <w:pPr>
        <w:ind w:right="60" w:firstLine="594"/>
        <w:spacing w:after="0" w:line="253" w:lineRule="auto"/>
        <w:rPr>
          <w:sz w:val="20"/>
          <w:szCs w:val="20"/>
          <w:color w:val="auto"/>
        </w:rPr>
      </w:pPr>
      <w:r>
        <w:rPr>
          <w:rFonts w:ascii="Arial" w:cs="Arial" w:eastAsia="Arial" w:hAnsi="Arial"/>
          <w:sz w:val="18"/>
          <w:szCs w:val="18"/>
          <w:i w:val="1"/>
          <w:iCs w:val="1"/>
          <w:color w:val="auto"/>
        </w:rPr>
        <w:t>Section 10.1. Improvements and Modifications</w:t>
      </w:r>
      <w:r>
        <w:rPr>
          <w:rFonts w:ascii="Arial" w:cs="Arial" w:eastAsia="Arial" w:hAnsi="Arial"/>
          <w:sz w:val="18"/>
          <w:szCs w:val="18"/>
          <w:color w:val="auto"/>
        </w:rPr>
        <w:t>. (a) (i) Lessee, at Lessee’s own cost and expense, shall make alterations, renovations,</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improvements, additions and upgrades to the Leased Property or any part thereof and substitutions and replacements therefor, and/or make changes the use of the Leased Property or any part thereof (collectively, “</w:t>
      </w:r>
      <w:r>
        <w:rPr>
          <w:rFonts w:ascii="Arial" w:cs="Arial" w:eastAsia="Arial" w:hAnsi="Arial"/>
          <w:sz w:val="18"/>
          <w:szCs w:val="18"/>
          <w:i w:val="1"/>
          <w:iCs w:val="1"/>
          <w:color w:val="auto"/>
        </w:rPr>
        <w:t>Modifications</w:t>
      </w:r>
      <w:r>
        <w:rPr>
          <w:rFonts w:ascii="Arial" w:cs="Arial" w:eastAsia="Arial" w:hAnsi="Arial"/>
          <w:sz w:val="18"/>
          <w:szCs w:val="18"/>
          <w:color w:val="auto"/>
        </w:rPr>
        <w:t>”) which are (A) necessary to repair or maintain the Leased Property in the condition required by Section 9.1; (B) necessary in order for the Leased Property to be in compliance with Applicable Laws (including Environmental Laws) in all material respects; or (C) necessary or advisable to restore the Leased Property to substantially the same condition existing prior to a Casualty or Condemnation to the extent required pursuant to Article XIV (collectively, “</w:t>
      </w:r>
      <w:r>
        <w:rPr>
          <w:rFonts w:ascii="Arial" w:cs="Arial" w:eastAsia="Arial" w:hAnsi="Arial"/>
          <w:sz w:val="18"/>
          <w:szCs w:val="18"/>
          <w:i w:val="1"/>
          <w:iCs w:val="1"/>
          <w:color w:val="auto"/>
        </w:rPr>
        <w:t>Required Modifications</w:t>
      </w:r>
      <w:r>
        <w:rPr>
          <w:rFonts w:ascii="Arial" w:cs="Arial" w:eastAsia="Arial" w:hAnsi="Arial"/>
          <w:sz w:val="18"/>
          <w:szCs w:val="18"/>
          <w:color w:val="auto"/>
        </w:rPr>
        <w:t>”); and (ii) so long as no Event of Default has occurred and is continuing, Lessee or its subtenants, at Lessee’s or its subtenant’s, as applicable, sole discretion and cost and expense, may undertake other Modifications to the Leased Property so long as such Modifications comply with Applicable Laws in all material respects and with Section 9.1 and Section 10.1(b) (collectively, “</w:t>
      </w:r>
      <w:r>
        <w:rPr>
          <w:rFonts w:ascii="Arial" w:cs="Arial" w:eastAsia="Arial" w:hAnsi="Arial"/>
          <w:sz w:val="18"/>
          <w:szCs w:val="18"/>
          <w:i w:val="1"/>
          <w:iCs w:val="1"/>
          <w:color w:val="auto"/>
        </w:rPr>
        <w:t>Permitted Modifications</w:t>
      </w:r>
      <w:r>
        <w:rPr>
          <w:rFonts w:ascii="Arial" w:cs="Arial" w:eastAsia="Arial" w:hAnsi="Arial"/>
          <w:sz w:val="18"/>
          <w:szCs w:val="18"/>
          <w:color w:val="auto"/>
        </w:rPr>
        <w:t>”).</w:t>
      </w:r>
    </w:p>
    <w:p>
      <w:pPr>
        <w:spacing w:after="0" w:line="197" w:lineRule="exact"/>
        <w:rPr>
          <w:sz w:val="20"/>
          <w:szCs w:val="20"/>
          <w:color w:val="auto"/>
        </w:rPr>
      </w:pPr>
    </w:p>
    <w:p>
      <w:pPr>
        <w:ind w:left="1140" w:hanging="497"/>
        <w:spacing w:after="0"/>
        <w:tabs>
          <w:tab w:leader="none" w:pos="11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making of any Modifications must be in compliance with the following requirements:</w:t>
      </w:r>
    </w:p>
    <w:p>
      <w:pPr>
        <w:spacing w:after="0" w:line="225" w:lineRule="exact"/>
        <w:rPr>
          <w:rFonts w:ascii="Arial" w:cs="Arial" w:eastAsia="Arial" w:hAnsi="Arial"/>
          <w:sz w:val="18"/>
          <w:szCs w:val="18"/>
          <w:color w:val="auto"/>
        </w:rPr>
      </w:pPr>
    </w:p>
    <w:p>
      <w:pPr>
        <w:ind w:left="660" w:right="20" w:firstLine="793"/>
        <w:spacing w:after="0" w:line="264" w:lineRule="auto"/>
        <w:tabs>
          <w:tab w:leader="none" w:pos="1978" w:val="left"/>
        </w:tabs>
        <w:numPr>
          <w:ilvl w:val="1"/>
          <w:numId w:val="202"/>
        </w:numPr>
        <w:rPr>
          <w:rFonts w:ascii="Arial" w:cs="Arial" w:eastAsia="Arial" w:hAnsi="Arial"/>
          <w:sz w:val="18"/>
          <w:szCs w:val="18"/>
          <w:color w:val="auto"/>
        </w:rPr>
      </w:pPr>
      <w:r>
        <w:rPr>
          <w:rFonts w:ascii="Arial" w:cs="Arial" w:eastAsia="Arial" w:hAnsi="Arial"/>
          <w:sz w:val="18"/>
          <w:szCs w:val="18"/>
          <w:color w:val="auto"/>
        </w:rPr>
        <w:t>No Modifications shall be undertaken without the prior written consent of the Required Participants, except for the following, each of which shall be permitted without the consent of the Required Participants: (A) any Required Modifications, (B) any Modification or series of Modifications with a cost that does not exceed $30,000,000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spacing w:after="0" w:line="255" w:lineRule="auto"/>
        <w:rPr>
          <w:sz w:val="20"/>
          <w:szCs w:val="20"/>
          <w:color w:val="auto"/>
        </w:rPr>
      </w:pPr>
      <w:r>
        <w:rPr>
          <w:rFonts w:ascii="Arial" w:cs="Arial" w:eastAsia="Arial" w:hAnsi="Arial"/>
          <w:sz w:val="18"/>
          <w:szCs w:val="18"/>
          <w:color w:val="auto"/>
        </w:rPr>
        <w:t>individually or, when added to the cost of all other Modifications (other than Required Modifications and Permitted Development Projects) during such calendar year, does not exceed $100,000,000 in the aggregate for such calendar year (the “</w:t>
      </w:r>
      <w:r>
        <w:rPr>
          <w:rFonts w:ascii="Arial" w:cs="Arial" w:eastAsia="Arial" w:hAnsi="Arial"/>
          <w:sz w:val="18"/>
          <w:szCs w:val="18"/>
          <w:i w:val="1"/>
          <w:iCs w:val="1"/>
          <w:color w:val="auto"/>
        </w:rPr>
        <w:t>Annual Modification Cap</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Modification that is in excess of the Annual Modification Cap shall only require the consent of the Required Participants if such Modification has a cost in excess of $10,000,000, (C) any Permitted Development Projects and (D) the Permitted 767 Improvements. Notwithstanding the forgoing, in no event shall any Modification to a structural element be made or undertaken without the prior written consent of the Lessor. Lessor shall respond to any consent request under this Section within fifteen (15) days of receipt of such request. The failure of the Lessor to respond shall be deemed a rejection of such consent.</w:t>
      </w:r>
    </w:p>
    <w:p>
      <w:pPr>
        <w:spacing w:after="0" w:line="189" w:lineRule="exact"/>
        <w:rPr>
          <w:sz w:val="20"/>
          <w:szCs w:val="20"/>
          <w:color w:val="auto"/>
        </w:rPr>
      </w:pPr>
    </w:p>
    <w:p>
      <w:pPr>
        <w:ind w:left="660" w:firstLine="753"/>
        <w:spacing w:after="0" w:line="272" w:lineRule="auto"/>
        <w:tabs>
          <w:tab w:leader="none" w:pos="1987" w:val="left"/>
        </w:tabs>
        <w:numPr>
          <w:ilvl w:val="1"/>
          <w:numId w:val="203"/>
        </w:numPr>
        <w:rPr>
          <w:rFonts w:ascii="Arial" w:cs="Arial" w:eastAsia="Arial" w:hAnsi="Arial"/>
          <w:sz w:val="17"/>
          <w:szCs w:val="17"/>
          <w:color w:val="auto"/>
        </w:rPr>
      </w:pPr>
      <w:r>
        <w:rPr>
          <w:rFonts w:ascii="Arial" w:cs="Arial" w:eastAsia="Arial" w:hAnsi="Arial"/>
          <w:sz w:val="17"/>
          <w:szCs w:val="17"/>
          <w:color w:val="auto"/>
        </w:rPr>
        <w:t>No Modifications shall be undertaken (x) in violation in any material respect of the terms of any restriction (including any environmental deed restriction), easement, condition, covenant, no further action letter or other similar matter affecting title to or binding on the Leased Property or (y) until Lessee shall have procured and paid for, so far as the same may be required from time to time, all material permits and authorizations to such Modifications of all third Persons or Governmental Authorities having jurisdiction. If requested by Lessee, Lessor, at Lessee’s expense, shall join in the application for any such permit or authorization and execute and deliver any document in connection therewith, whenever such joinder is requested by Lessee and is necessary or advisable as reasonably determined by Lessee. For the avoidance of doubt, nothing in this Section 10(b)(ii) shall serve to limit or restrict the rights granted to Lessee pursuant to Section 11.2 hereof.</w:t>
      </w:r>
    </w:p>
    <w:p>
      <w:pPr>
        <w:spacing w:after="0" w:line="177" w:lineRule="exact"/>
        <w:rPr>
          <w:rFonts w:ascii="Arial" w:cs="Arial" w:eastAsia="Arial" w:hAnsi="Arial"/>
          <w:sz w:val="17"/>
          <w:szCs w:val="17"/>
          <w:color w:val="auto"/>
        </w:rPr>
      </w:pPr>
    </w:p>
    <w:p>
      <w:pPr>
        <w:ind w:left="660" w:right="40" w:firstLine="699"/>
        <w:spacing w:after="0" w:line="277" w:lineRule="auto"/>
        <w:tabs>
          <w:tab w:leader="none" w:pos="1997"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All Modifications shall be prosecuted in a diligent manner, be completed in a good and workmanlike manner and in compliance in all material respects with all Applicable Laws and Insurance Requirements then in effect.</w:t>
      </w:r>
    </w:p>
    <w:p>
      <w:pPr>
        <w:spacing w:after="0" w:line="170" w:lineRule="exact"/>
        <w:rPr>
          <w:rFonts w:ascii="Arial" w:cs="Arial" w:eastAsia="Arial" w:hAnsi="Arial"/>
          <w:sz w:val="18"/>
          <w:szCs w:val="18"/>
          <w:color w:val="auto"/>
        </w:rPr>
      </w:pPr>
    </w:p>
    <w:p>
      <w:pPr>
        <w:ind w:left="660" w:right="40" w:firstLine="699"/>
        <w:spacing w:after="0" w:line="312" w:lineRule="auto"/>
        <w:tabs>
          <w:tab w:leader="none" w:pos="1973"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All Modifications shall, when completed, be of such a character as to not give rise to any material Environmental Claim or materially adversely affect the utility of the Facility. To the extent the consent of the Required Participants is required for a Modification pursuant to the terms of Section 10.1(b)(i) above, and if requested by the Required Participants, Lessor may obtain a report from a construction consultant or, at</w:t>
      </w:r>
    </w:p>
    <w:p>
      <w:pPr>
        <w:sectPr>
          <w:pgSz w:w="11900" w:h="16952" w:orient="portrait"/>
          <w:cols w:equalWidth="0" w:num="1">
            <w:col w:w="11420"/>
          </w:cols>
          <w:pgMar w:left="240" w:top="125" w:right="239" w:bottom="0" w:gutter="0" w:footer="0" w:header="0"/>
        </w:sectPr>
      </w:pPr>
    </w:p>
    <w:bookmarkStart w:id="94" w:name="page95"/>
    <w:bookmarkEnd w:id="94"/>
    <w:p>
      <w:pPr>
        <w:ind w:left="660" w:right="400"/>
        <w:spacing w:after="0" w:line="264" w:lineRule="auto"/>
        <w:rPr>
          <w:sz w:val="20"/>
          <w:szCs w:val="20"/>
          <w:color w:val="auto"/>
        </w:rPr>
      </w:pPr>
      <w:r>
        <w:rPr>
          <w:rFonts w:ascii="Arial" w:cs="Arial" w:eastAsia="Arial" w:hAnsi="Arial"/>
          <w:sz w:val="18"/>
          <w:szCs w:val="18"/>
          <w:color w:val="auto"/>
        </w:rPr>
        <w:t>the option of the Required Participants, Lessor may engage an appraiser of nationally recognized standing, at Lessee’s sole cost and expense, to determine (by appraisal or other methods satisfactory to the Required Participants) the projected Fair Market Value of such item of the Leased Property as of the completion of the Modifications relating thereto.</w:t>
      </w:r>
    </w:p>
    <w:p>
      <w:pPr>
        <w:spacing w:after="0" w:line="181" w:lineRule="exact"/>
        <w:rPr>
          <w:sz w:val="20"/>
          <w:szCs w:val="20"/>
          <w:color w:val="auto"/>
        </w:rPr>
      </w:pPr>
    </w:p>
    <w:p>
      <w:pPr>
        <w:ind w:left="660" w:right="120" w:firstLine="699"/>
        <w:spacing w:after="0" w:line="264" w:lineRule="auto"/>
        <w:tabs>
          <w:tab w:leader="none" w:pos="1964" w:val="left"/>
        </w:tabs>
        <w:numPr>
          <w:ilvl w:val="0"/>
          <w:numId w:val="205"/>
        </w:numPr>
        <w:rPr>
          <w:rFonts w:ascii="Arial" w:cs="Arial" w:eastAsia="Arial" w:hAnsi="Arial"/>
          <w:sz w:val="18"/>
          <w:szCs w:val="18"/>
          <w:color w:val="auto"/>
        </w:rPr>
      </w:pPr>
      <w:r>
        <w:rPr>
          <w:rFonts w:ascii="Arial" w:cs="Arial" w:eastAsia="Arial" w:hAnsi="Arial"/>
          <w:sz w:val="18"/>
          <w:szCs w:val="18"/>
          <w:color w:val="auto"/>
        </w:rPr>
        <w:t>Lessee shall have made adequate arrangements for payment of the cost of all Modifications when due so that the Leased Property shall at all times be free of Liens for labor and materials supplied or claimed to have been supplied to the Leased Property, other than Permitted Liens.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40" w:firstLine="699"/>
        <w:spacing w:after="0" w:line="264" w:lineRule="auto"/>
        <w:tabs>
          <w:tab w:leader="none" w:pos="1973"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Notwithstanding anything to the contrary herein, Lessee shall be permitted to remove and/or demolish portions of the Leased Property which are readily removable and are not required by Applicable Law for Lessee’s operation of the Facility in an aggregate amount not to exceed $20,000,000 over the Term.</w:t>
      </w:r>
    </w:p>
    <w:p>
      <w:pPr>
        <w:spacing w:after="0" w:line="18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i w:val="1"/>
          <w:iCs w:val="1"/>
          <w:color w:val="auto"/>
        </w:rPr>
        <w:t>Section 10.2. Title to Modifications</w:t>
      </w:r>
      <w:r>
        <w:rPr>
          <w:rFonts w:ascii="Arial" w:cs="Arial" w:eastAsia="Arial" w:hAnsi="Arial"/>
          <w:sz w:val="18"/>
          <w:szCs w:val="18"/>
          <w:color w:val="auto"/>
        </w:rPr>
        <w:t>. (a) Title to the following described Modifications shall, without further act, vest in Lessor and shall be deemed to</w:t>
      </w:r>
      <w:r>
        <w:rPr>
          <w:rFonts w:ascii="Arial" w:cs="Arial" w:eastAsia="Arial" w:hAnsi="Arial"/>
          <w:sz w:val="18"/>
          <w:szCs w:val="18"/>
          <w:i w:val="1"/>
          <w:iCs w:val="1"/>
          <w:color w:val="auto"/>
        </w:rPr>
        <w:t xml:space="preserve"> </w:t>
      </w:r>
      <w:r>
        <w:rPr>
          <w:rFonts w:ascii="Arial" w:cs="Arial" w:eastAsia="Arial" w:hAnsi="Arial"/>
          <w:sz w:val="18"/>
          <w:szCs w:val="18"/>
          <w:color w:val="auto"/>
        </w:rPr>
        <w:t>constitute a part of the Leased Property and be subject to this Lease:</w:t>
      </w:r>
    </w:p>
    <w:p>
      <w:pPr>
        <w:spacing w:after="0" w:line="170" w:lineRule="exact"/>
        <w:rPr>
          <w:sz w:val="20"/>
          <w:szCs w:val="20"/>
          <w:color w:val="auto"/>
        </w:rPr>
      </w:pPr>
    </w:p>
    <w:p>
      <w:pPr>
        <w:ind w:left="1980" w:hanging="527"/>
        <w:spacing w:after="0"/>
        <w:tabs>
          <w:tab w:leader="none" w:pos="19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Modifications which are in replacement of or in substitution for a portion of any item of Leased Property;</w:t>
      </w:r>
    </w:p>
    <w:p>
      <w:pPr>
        <w:spacing w:after="0" w:line="225" w:lineRule="exact"/>
        <w:rPr>
          <w:rFonts w:ascii="Arial" w:cs="Arial" w:eastAsia="Arial" w:hAnsi="Arial"/>
          <w:sz w:val="18"/>
          <w:szCs w:val="18"/>
          <w:color w:val="auto"/>
        </w:rPr>
      </w:pPr>
    </w:p>
    <w:p>
      <w:pPr>
        <w:ind w:left="1980" w:hanging="527"/>
        <w:spacing w:after="0"/>
        <w:tabs>
          <w:tab w:leader="none" w:pos="19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Required Modifications; or</w:t>
      </w:r>
    </w:p>
    <w:p>
      <w:pPr>
        <w:spacing w:after="0" w:line="225" w:lineRule="exact"/>
        <w:rPr>
          <w:rFonts w:ascii="Arial" w:cs="Arial" w:eastAsia="Arial" w:hAnsi="Arial"/>
          <w:sz w:val="18"/>
          <w:szCs w:val="18"/>
          <w:color w:val="auto"/>
        </w:rPr>
      </w:pPr>
    </w:p>
    <w:p>
      <w:pPr>
        <w:ind w:left="2000" w:hanging="547"/>
        <w:spacing w:after="0"/>
        <w:tabs>
          <w:tab w:leader="none" w:pos="20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Modifications that are Nonseverable.</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If requested by Lessor in writing, Lessee shall execute and deliver any deeds, bills of sale, assignments or other documents of conveyance reasonably necessary to evidence the vesting of title in and to such Modifications to Lessor.</w:t>
      </w:r>
    </w:p>
    <w:p>
      <w:pPr>
        <w:spacing w:after="0" w:line="170" w:lineRule="exact"/>
        <w:rPr>
          <w:sz w:val="20"/>
          <w:szCs w:val="20"/>
          <w:color w:val="auto"/>
        </w:rPr>
      </w:pPr>
    </w:p>
    <w:p>
      <w:pPr>
        <w:ind w:firstLine="643"/>
        <w:spacing w:after="0" w:line="342" w:lineRule="auto"/>
        <w:tabs>
          <w:tab w:leader="none" w:pos="1128" w:val="left"/>
        </w:tabs>
        <w:numPr>
          <w:ilvl w:val="0"/>
          <w:numId w:val="208"/>
        </w:numPr>
        <w:rPr>
          <w:rFonts w:ascii="Arial" w:cs="Arial" w:eastAsia="Arial" w:hAnsi="Arial"/>
          <w:sz w:val="16"/>
          <w:szCs w:val="16"/>
          <w:color w:val="auto"/>
        </w:rPr>
      </w:pPr>
      <w:r>
        <w:rPr>
          <w:rFonts w:ascii="Arial" w:cs="Arial" w:eastAsia="Arial" w:hAnsi="Arial"/>
          <w:sz w:val="16"/>
          <w:szCs w:val="16"/>
          <w:color w:val="auto"/>
        </w:rPr>
        <w:t>If such Modifications are not within any of the categories set forth in clauses (i) through (iii) of Section 10.2(a) (each an “</w:t>
      </w:r>
      <w:r>
        <w:rPr>
          <w:rFonts w:ascii="Arial" w:cs="Arial" w:eastAsia="Arial" w:hAnsi="Arial"/>
          <w:sz w:val="16"/>
          <w:szCs w:val="16"/>
          <w:i w:val="1"/>
          <w:iCs w:val="1"/>
          <w:color w:val="auto"/>
        </w:rPr>
        <w:t>Improvement</w:t>
      </w:r>
      <w:r>
        <w:rPr>
          <w:rFonts w:ascii="Arial" w:cs="Arial" w:eastAsia="Arial" w:hAnsi="Arial"/>
          <w:sz w:val="16"/>
          <w:szCs w:val="16"/>
          <w:color w:val="auto"/>
        </w:rPr>
        <w:t>”), then title to such Improvements shall vest in Lessee and such Improvements shall not be deemed to be Modifications which are part of the Leased Property.</w:t>
      </w:r>
    </w:p>
    <w:p>
      <w:pPr>
        <w:spacing w:after="0" w:line="123" w:lineRule="exact"/>
        <w:rPr>
          <w:rFonts w:ascii="Arial" w:cs="Arial" w:eastAsia="Arial" w:hAnsi="Arial"/>
          <w:sz w:val="16"/>
          <w:szCs w:val="16"/>
          <w:color w:val="auto"/>
        </w:rPr>
      </w:pPr>
    </w:p>
    <w:p>
      <w:pPr>
        <w:ind w:firstLine="656"/>
        <w:spacing w:after="0" w:line="287" w:lineRule="auto"/>
        <w:tabs>
          <w:tab w:leader="none" w:pos="1132" w:val="left"/>
        </w:tabs>
        <w:numPr>
          <w:ilvl w:val="0"/>
          <w:numId w:val="208"/>
        </w:numPr>
        <w:rPr>
          <w:rFonts w:ascii="Arial" w:cs="Arial" w:eastAsia="Arial" w:hAnsi="Arial"/>
          <w:sz w:val="16"/>
          <w:szCs w:val="16"/>
          <w:color w:val="auto"/>
        </w:rPr>
      </w:pPr>
      <w:r>
        <w:rPr>
          <w:rFonts w:ascii="Arial" w:cs="Arial" w:eastAsia="Arial" w:hAnsi="Arial"/>
          <w:sz w:val="16"/>
          <w:szCs w:val="16"/>
          <w:color w:val="auto"/>
        </w:rPr>
        <w:t>Each Improvement to which Lessee shall have title may be removed so long as (i) removal thereof shall not (A) result in the violation of any Applicable Laws (including Environmental Laws) or (B) adversely affect the Lessee’s ability to comply with its obligations under this Lease or any other Operative Document, and (ii) no Event of Default is continuing. Other than with respect to any Improvement being temporarily removed for the purpose of upgrading such Improvement and any Improvement being removed and replaced in the ordinary course of Lessee’s business, Lessee agrees to notify Lessor in writing at least ten (10) days before it removes any such Improvement which had an original cost exceeding $30,000,000 individually or for which the consent of the Required Participants was required, and Lessee shall at its expense repair any damage to the Leased Property caused by the removal of such Improvement. Lessor (or the purchaser of the Leased Property) may purchase from Lessee any such Improvement (if not already owned by Lessor) that Lessee intends to remove from the Leased Property prior to the return of the Leased Property to Lessor or sale of the Leased Property, which purchase shall be at the Fair Market Value of such Improvement as determined by the Appraiser at the time of such purchase. Title to any such Improvement shall vest in Lessor (or the purchaser of the applicable Leased Property) if not removed from the Leased Property by Lessee prior to the return of the Leased Property to Lessor or sale of the Leased Property. Modifications, title to which are vested in Lessor, shall be made available to the Lessee or its designee without cost during the Term and thereafter if the use thereof is necessary or useful for the operation of the Leased Property.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3"/>
        <w:spacing w:after="0" w:line="287" w:lineRule="auto"/>
        <w:tabs>
          <w:tab w:leader="none" w:pos="1128" w:val="left"/>
        </w:tabs>
        <w:numPr>
          <w:ilvl w:val="0"/>
          <w:numId w:val="209"/>
        </w:numPr>
        <w:rPr>
          <w:rFonts w:ascii="Arial" w:cs="Arial" w:eastAsia="Arial" w:hAnsi="Arial"/>
          <w:sz w:val="16"/>
          <w:szCs w:val="16"/>
          <w:color w:val="auto"/>
        </w:rPr>
      </w:pPr>
      <w:r>
        <w:rPr>
          <w:rFonts w:ascii="Arial" w:cs="Arial" w:eastAsia="Arial" w:hAnsi="Arial"/>
          <w:sz w:val="16"/>
          <w:szCs w:val="16"/>
          <w:color w:val="auto"/>
        </w:rPr>
        <w:t>Notwithstanding anything to the contrary herein, the ownership of and title to all trade fixtures, Equipment, Improvements not transferred by Sellers to the Lessor under the Purchase Agreement, signs and other personal property owned by the Lessee and located on the Leased Property (“</w:t>
      </w:r>
      <w:r>
        <w:rPr>
          <w:rFonts w:ascii="Arial" w:cs="Arial" w:eastAsia="Arial" w:hAnsi="Arial"/>
          <w:sz w:val="16"/>
          <w:szCs w:val="16"/>
          <w:i w:val="1"/>
          <w:iCs w:val="1"/>
          <w:color w:val="auto"/>
        </w:rPr>
        <w:t>Lessee</w:t>
      </w:r>
      <w:r>
        <w:rPr>
          <w:rFonts w:ascii="Arial" w:cs="Arial" w:eastAsia="Arial" w:hAnsi="Arial"/>
          <w:sz w:val="16"/>
          <w:szCs w:val="16"/>
          <w:color w:val="auto"/>
        </w:rPr>
        <w:t xml:space="preserve"> </w:t>
      </w:r>
      <w:r>
        <w:rPr>
          <w:rFonts w:ascii="Arial" w:cs="Arial" w:eastAsia="Arial" w:hAnsi="Arial"/>
          <w:sz w:val="16"/>
          <w:szCs w:val="16"/>
          <w:i w:val="1"/>
          <w:iCs w:val="1"/>
          <w:color w:val="auto"/>
        </w:rPr>
        <w:t>Property</w:t>
      </w:r>
      <w:r>
        <w:rPr>
          <w:rFonts w:ascii="Arial" w:cs="Arial" w:eastAsia="Arial" w:hAnsi="Arial"/>
          <w:sz w:val="16"/>
          <w:szCs w:val="16"/>
          <w:color w:val="auto"/>
        </w:rPr>
        <w:t>”) shall remain in the Lessee, and the Lessee Property may be removed by the Lessee from time to time and at the expiration or termination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 so long as removal thereof shall not (A) result in the violation of any Applicable Laws in any material respect or (B) adversely affect the Lessee’s ability to comply with its obligations under this Lease or any other Operative Document. Furthermore, the Lessee shall have no obligation to remove the Lessee Property at the expiration or termination of the Term. In particular, the Lessee may opt to (i) sell, dispose or otherwise remove of any or all of the Lessee Property prior to or upon the expiration or termination of the Term or (ii) dismantle and abandon any or all of the Lessee Property. In addition, the Lessee shall have no obligation under this Lease to maintain any of the Lessee Property in its original condition. If the Lessee shall opt not to remove any or all of the Lessee Property at the expiration or termination of the Term, the Lessee Property shall be deemed abandoned and shall become the property of Lessor and Lessor agrees to accept such Lessee Property in AS-IS, WHERE-IS condition on the date of expiration or termination of this Lease. Except as otherwise expressly provided herein, Lessor shall be deemed to have waived any interest, lien or claim of any nature that Lessor, or its successors, assigns, lenders or agents may now have or hereafter obtain in the Lessee Property whether by operation of law, contract or otherwise.</w:t>
      </w:r>
    </w:p>
    <w:p>
      <w:pPr>
        <w:spacing w:after="0" w:line="169" w:lineRule="exact"/>
        <w:rPr>
          <w:sz w:val="20"/>
          <w:szCs w:val="20"/>
          <w:color w:val="auto"/>
        </w:rPr>
      </w:pPr>
    </w:p>
    <w:p>
      <w:pPr>
        <w:ind w:right="140" w:firstLine="1121"/>
        <w:spacing w:after="0" w:line="288" w:lineRule="auto"/>
        <w:rPr>
          <w:sz w:val="20"/>
          <w:szCs w:val="20"/>
          <w:color w:val="auto"/>
        </w:rPr>
      </w:pPr>
      <w:r>
        <w:rPr>
          <w:rFonts w:ascii="Arial" w:cs="Arial" w:eastAsia="Arial" w:hAnsi="Arial"/>
          <w:sz w:val="16"/>
          <w:szCs w:val="16"/>
          <w:i w:val="1"/>
          <w:iCs w:val="1"/>
          <w:color w:val="auto"/>
        </w:rPr>
        <w:t xml:space="preserve">Section 10.3. Permitted Developments. </w:t>
      </w:r>
      <w:r>
        <w:rPr>
          <w:rFonts w:ascii="Arial" w:cs="Arial" w:eastAsia="Arial" w:hAnsi="Arial"/>
          <w:sz w:val="16"/>
          <w:szCs w:val="16"/>
          <w:color w:val="auto"/>
        </w:rPr>
        <w:t>(a) Lessor hereby acknowledges receipt of the existing development plans described on</w:t>
      </w:r>
      <w:r>
        <w:rPr>
          <w:rFonts w:ascii="Arial" w:cs="Arial" w:eastAsia="Arial" w:hAnsi="Arial"/>
          <w:sz w:val="16"/>
          <w:szCs w:val="16"/>
          <w:i w:val="1"/>
          <w:iCs w:val="1"/>
          <w:color w:val="auto"/>
        </w:rPr>
        <w:t xml:space="preserve"> </w:t>
      </w:r>
      <w:r>
        <w:rPr>
          <w:rFonts w:ascii="Arial" w:cs="Arial" w:eastAsia="Arial" w:hAnsi="Arial"/>
          <w:sz w:val="16"/>
          <w:szCs w:val="16"/>
          <w:color w:val="auto"/>
        </w:rPr>
        <w:t>Schedule A attached hereto with respect to certain undeveloped portions of the Site (such portions of the Site, the “</w:t>
      </w:r>
      <w:r>
        <w:rPr>
          <w:rFonts w:ascii="Arial" w:cs="Arial" w:eastAsia="Arial" w:hAnsi="Arial"/>
          <w:sz w:val="16"/>
          <w:szCs w:val="16"/>
          <w:i w:val="1"/>
          <w:iCs w:val="1"/>
          <w:color w:val="auto"/>
        </w:rPr>
        <w:t>Undeveloped Areas</w:t>
      </w:r>
      <w:r>
        <w:rPr>
          <w:rFonts w:ascii="Arial" w:cs="Arial" w:eastAsia="Arial" w:hAnsi="Arial"/>
          <w:sz w:val="16"/>
          <w:szCs w:val="16"/>
          <w:color w:val="auto"/>
        </w:rPr>
        <w:t>”). Notwithstanding Section 10.1(b), Lessee shall be permitted to develop, the Undeveloped Areas for uses that are consistent with the use of the Facility permitted hereunder (including, without limitation, wet labs, dry labs and specialty labs, as well as uses appurtenant thereto, including, without limitation, amenities relating thereto such as cafeteria, restaurant, child care, fitness centers and warehouse and storage facilities and parking) and otherwise in a manner in compliance in all material respects with Applicable Laws, and without the consent of Lessor, the Administrative Agent or any of the Participants, so long as the development is permitted under applicable zoning requirements and no Event of Default is continuing or will occur due to such development. At Lessee’s request, Lessor shall enter into a fully financeable ground lease (with nondisturbance and recognition and other customary lender protections) in form and substance reasonably satisfactory to Lessee and Lessor for the Undeveloped Area and, upon execution thereof, such Undeveloped Area subject thereto shall no longer be subject to this Lease. The ground lease shall be triple net and have fair market rent payable thereunder and shall be for a 99-year term.</w:t>
      </w:r>
    </w:p>
    <w:p>
      <w:pPr>
        <w:spacing w:after="0" w:line="169" w:lineRule="exact"/>
        <w:rPr>
          <w:sz w:val="20"/>
          <w:szCs w:val="20"/>
          <w:color w:val="auto"/>
        </w:rPr>
      </w:pPr>
    </w:p>
    <w:p>
      <w:pPr>
        <w:jc w:val="both"/>
        <w:ind w:right="220" w:firstLine="643"/>
        <w:spacing w:after="0" w:line="312" w:lineRule="auto"/>
        <w:tabs>
          <w:tab w:leader="none" w:pos="1128" w:val="left"/>
        </w:tabs>
        <w:numPr>
          <w:ilvl w:val="0"/>
          <w:numId w:val="210"/>
        </w:numPr>
        <w:rPr>
          <w:rFonts w:ascii="Arial" w:cs="Arial" w:eastAsia="Arial" w:hAnsi="Arial"/>
          <w:sz w:val="16"/>
          <w:szCs w:val="16"/>
          <w:color w:val="auto"/>
        </w:rPr>
      </w:pPr>
      <w:r>
        <w:rPr>
          <w:rFonts w:ascii="Arial" w:cs="Arial" w:eastAsia="Arial" w:hAnsi="Arial"/>
          <w:sz w:val="16"/>
          <w:szCs w:val="16"/>
          <w:color w:val="auto"/>
        </w:rPr>
        <w:t>Lessor hereby acknowledges receipt of the existing development plans described on Schedule A attached hereto with respect to certain developed portions of the Site described on Schedule B attached hereto (such portions of the Site, the “</w:t>
      </w:r>
      <w:r>
        <w:rPr>
          <w:rFonts w:ascii="Arial" w:cs="Arial" w:eastAsia="Arial" w:hAnsi="Arial"/>
          <w:sz w:val="16"/>
          <w:szCs w:val="16"/>
          <w:i w:val="1"/>
          <w:iCs w:val="1"/>
          <w:color w:val="auto"/>
        </w:rPr>
        <w:t>Permitted Developed Areas</w:t>
      </w:r>
      <w:r>
        <w:rPr>
          <w:rFonts w:ascii="Arial" w:cs="Arial" w:eastAsia="Arial" w:hAnsi="Arial"/>
          <w:sz w:val="16"/>
          <w:szCs w:val="16"/>
          <w:color w:val="auto"/>
        </w:rPr>
        <w:t>”). Notwithstanding section 10.1(b), Lessee shall be permitted to develop Permitted Developed Areas for uses that are consistent with the uses of the Leased Property permitted</w:t>
      </w:r>
    </w:p>
    <w:p>
      <w:pPr>
        <w:sectPr>
          <w:pgSz w:w="11900" w:h="16838" w:orient="portrait"/>
          <w:cols w:equalWidth="0" w:num="1">
            <w:col w:w="11400"/>
          </w:cols>
          <w:pgMar w:left="240" w:top="125" w:right="259" w:bottom="0" w:gutter="0" w:footer="0" w:header="0"/>
        </w:sectPr>
      </w:pPr>
    </w:p>
    <w:bookmarkStart w:id="95" w:name="page96"/>
    <w:bookmarkEnd w:id="95"/>
    <w:p>
      <w:pPr>
        <w:ind w:right="320"/>
        <w:spacing w:after="0" w:line="277" w:lineRule="auto"/>
        <w:rPr>
          <w:sz w:val="20"/>
          <w:szCs w:val="20"/>
          <w:color w:val="auto"/>
        </w:rPr>
      </w:pPr>
      <w:r>
        <w:rPr>
          <w:rFonts w:ascii="Arial" w:cs="Arial" w:eastAsia="Arial" w:hAnsi="Arial"/>
          <w:sz w:val="18"/>
          <w:szCs w:val="18"/>
          <w:color w:val="auto"/>
        </w:rPr>
        <w:t>hereunder (including, without limitation, wet labs, dry labs and specialty labs, as well as uses appurtenant thereto, including, without limitation, amenities relating thereto such as cafeteria, restaurant,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child care, fitness centers and warehouse and storage facilities and parking) and otherwise in a manner in compliance in all material respects with Applicable Laws, and without the consent of Lessor, the Administrative Agent or any of the Participants, so long as the development is permitted under applicable zoning requirements, consistent with the existing use of the Facility and no Event of Default is continuing or will occur due to such development. So long as the Lessee has paid the Permitted Developed Area Release Payment to the Participants (or to the Administrative Agent for distribution to the Participants), at Lessee’s request, Lessor shall enter into a fully financeable ground lease (with nondisturbance and recognition and other customary lender protections) in form and substance reasonably satisfactory to Lessee and Lessor for the Permitted Developed Area and, upon execution thereof, such Permitted Developed Area subject thereto shall no longer be subject to this Lease. The ground lease shall be triple net and have fair market rent payable thereunder and shall be for a 99-year term.</w:t>
      </w:r>
    </w:p>
    <w:p>
      <w:pPr>
        <w:spacing w:after="0" w:line="192" w:lineRule="exact"/>
        <w:rPr>
          <w:sz w:val="20"/>
          <w:szCs w:val="20"/>
          <w:color w:val="auto"/>
        </w:rPr>
      </w:pPr>
    </w:p>
    <w:p>
      <w:pPr>
        <w:ind w:right="20" w:firstLine="656"/>
        <w:spacing w:after="0" w:line="255" w:lineRule="auto"/>
        <w:tabs>
          <w:tab w:leader="none" w:pos="113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Lessor hereby conditionally assigns to Lessee or its designee the right to receive ground lease rent under any ground lease executed pursuant to Section 10.3(a) or 10.3(b) hereof. The assignment hereunder shall terminate upon the occurrence of (i) an Event of Default or (ii) the exercise by the Lessee of the Sale Option. If the assignment under this paragraph (c) is terminated, Lessor is authorized to notify the party paying the ground lease rent that all such ground lease rent shall be payable to the Lessor. To the extent permitted by law for applicable tax purposes, Lessor and Lessee acknowledge and agree that Lessee or its designee, as applicable, intends to disregard the amount of any ground lease rent received from Lessor pursuant to such assignment for U.S. income tax purposes.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 WITH RESPECT TO LIENS AND EASEMENTS</w:t>
      </w:r>
    </w:p>
    <w:p>
      <w:pPr>
        <w:spacing w:after="0" w:line="211" w:lineRule="exact"/>
        <w:rPr>
          <w:sz w:val="20"/>
          <w:szCs w:val="20"/>
          <w:color w:val="auto"/>
        </w:rPr>
      </w:pPr>
    </w:p>
    <w:p>
      <w:pPr>
        <w:ind w:right="240" w:firstLine="594"/>
        <w:spacing w:after="0" w:line="257" w:lineRule="auto"/>
        <w:rPr>
          <w:sz w:val="20"/>
          <w:szCs w:val="20"/>
          <w:color w:val="auto"/>
        </w:rPr>
      </w:pPr>
      <w:r>
        <w:rPr>
          <w:rFonts w:ascii="Arial" w:cs="Arial" w:eastAsia="Arial" w:hAnsi="Arial"/>
          <w:sz w:val="18"/>
          <w:szCs w:val="18"/>
          <w:i w:val="1"/>
          <w:iCs w:val="1"/>
          <w:color w:val="auto"/>
        </w:rPr>
        <w:t>Section 11.1. Covenants with Respect to Liens</w:t>
      </w:r>
      <w:r>
        <w:rPr>
          <w:rFonts w:ascii="Arial" w:cs="Arial" w:eastAsia="Arial" w:hAnsi="Arial"/>
          <w:sz w:val="18"/>
          <w:szCs w:val="18"/>
          <w:color w:val="auto"/>
        </w:rPr>
        <w:t>. (a) During the Term, Lessee will not directly or indirectly create, incur, assume or suffer to exist</w:t>
      </w:r>
      <w:r>
        <w:rPr>
          <w:rFonts w:ascii="Arial" w:cs="Arial" w:eastAsia="Arial" w:hAnsi="Arial"/>
          <w:sz w:val="18"/>
          <w:szCs w:val="18"/>
          <w:i w:val="1"/>
          <w:iCs w:val="1"/>
          <w:color w:val="auto"/>
        </w:rPr>
        <w:t xml:space="preserve"> </w:t>
      </w:r>
      <w:r>
        <w:rPr>
          <w:rFonts w:ascii="Arial" w:cs="Arial" w:eastAsia="Arial" w:hAnsi="Arial"/>
          <w:sz w:val="18"/>
          <w:szCs w:val="18"/>
          <w:color w:val="auto"/>
        </w:rPr>
        <w:t>any Lien (other than Permitted Liens) on or with respect to any portion of the Leased Property, Lessor’s title thereto, or any interest therein. Lessee, at its own expense, will promptly pay, satisfy and otherwise take such actions as may be necessary to keep the Leased Property free and clear of, and duly to discharge, eliminate or bond in a manner reasonably satisfactory to Lessor and the Administrative Agent, any such Lien (other than Permitted Liens) if the same shall arise at any time.</w:t>
      </w:r>
    </w:p>
    <w:p>
      <w:pPr>
        <w:spacing w:after="0" w:line="188" w:lineRule="exact"/>
        <w:rPr>
          <w:sz w:val="20"/>
          <w:szCs w:val="20"/>
          <w:color w:val="auto"/>
        </w:rPr>
      </w:pPr>
    </w:p>
    <w:p>
      <w:pPr>
        <w:ind w:right="100" w:firstLine="643"/>
        <w:spacing w:after="0" w:line="254" w:lineRule="auto"/>
        <w:tabs>
          <w:tab w:leader="none" w:pos="112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Nothing contained in this Lease shall be construed as constituting the consent or request of Lessor, express or implied, to or for the performance by any contractor, mechanic, laborer, materialman, supplier or vendor of any labor or services or for the furnishing of any materials for any construction, alteration, addition, repair, restoration or demolition of or to the Leased Property or any part thereof. NOTICE IS HEREBY GIVEN THAT NONE OF LESSOR, THE ADMINISTRATIVE AGENT OR ANY OF THE PARTICIPANTS IS OR SHALL BE LIABLE FOR ANY LABOR, SERVICES OR MATERIALS FURNISHED OR TO BE FURNISHED TO THE LESSEE, OR TO ANYONE HOLDING THE LEASED PROPERTY OR ANY PART THEREOF THROUGH OR UNDER THE LESSEE, AND THAT NO MECHANIC’S OR OTHER LIENS FOR ANY SUCH LABOR, SERVICES OR MATERIALS SHALL ATTACH TO OR AFFECT THE INTEREST OF LESSOR, THE ADMINISTRATIVE AGENT OR ANY PARTICIPANT IN AND TO THE LEASED PROPERTY AND THE OTHER COLLATERAL.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594"/>
        <w:spacing w:after="0" w:line="284" w:lineRule="auto"/>
        <w:rPr>
          <w:sz w:val="20"/>
          <w:szCs w:val="20"/>
          <w:color w:val="auto"/>
        </w:rPr>
      </w:pPr>
      <w:r>
        <w:rPr>
          <w:rFonts w:ascii="Arial" w:cs="Arial" w:eastAsia="Arial" w:hAnsi="Arial"/>
          <w:sz w:val="16"/>
          <w:szCs w:val="16"/>
          <w:i w:val="1"/>
          <w:iCs w:val="1"/>
          <w:color w:val="auto"/>
        </w:rPr>
        <w:t>Section 11.2. Lessee’s Grants and Releases of Easements; Lessor’s Waivers</w:t>
      </w:r>
      <w:r>
        <w:rPr>
          <w:rFonts w:ascii="Arial" w:cs="Arial" w:eastAsia="Arial" w:hAnsi="Arial"/>
          <w:sz w:val="16"/>
          <w:szCs w:val="16"/>
          <w:color w:val="auto"/>
        </w:rPr>
        <w:t>. Following the Base Term Commencement Date and</w:t>
      </w:r>
      <w:r>
        <w:rPr>
          <w:rFonts w:ascii="Arial" w:cs="Arial" w:eastAsia="Arial" w:hAnsi="Arial"/>
          <w:sz w:val="16"/>
          <w:szCs w:val="16"/>
          <w:i w:val="1"/>
          <w:iCs w:val="1"/>
          <w:color w:val="auto"/>
        </w:rPr>
        <w:t xml:space="preserve"> provided </w:t>
      </w:r>
      <w:r>
        <w:rPr>
          <w:rFonts w:ascii="Arial" w:cs="Arial" w:eastAsia="Arial" w:hAnsi="Arial"/>
          <w:sz w:val="16"/>
          <w:szCs w:val="16"/>
          <w:color w:val="auto"/>
        </w:rPr>
        <w:t>that no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Event of Default shall have occurred and be continuing at the time of the applicable action by the Lessee, and subject to the provisions of Articles VII, IX and X and Section 8.2, and without the requirement of any further instrument or action of Lessor, Lessor hereby consents in each instance to the following actions by the Lessee in the name and stead of Lessor and as the true and lawful attorney-in-fact of Lessor with full power and authority to execute documents on behalf of Lessor for the following purposes, but at the Lessee’s sole cost and expense: (a) the granting of, or entry into agreements in connection with, easements, licenses, rights-of-way, building and use restrictions and covenants and other rights and privileges in the nature of easements or similar interests and burdens reasonably necessary or desirable for the use, repair, maintenance or protection of the Leased Property as herein provided; (b) the release of existing easements or other rights in the nature of easements which are for the benefit of, or burden to, the Leased Property; (c) the execution of amendments to, or waivers or releases of, any easements, licenses or covenants and restrictions affecting the Site; (d) the exercise of all rights under any redevelopment agreement or document contemplated thereby affecting the Site and (e) the procurement, continuance, renewal and replacement of all licenses, permits and other authorizations required under Applicable Law to use, operate, maintain and develop the Leased Property;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each case (i) such grant, release, dedication, transfer, amendment, agreement or other action does not materially impair the Fair Market Value, utility, residual value or remaining useful life of the Leased Property; (ii) such grant, release, dedication, transfer, amendment, agreement or other action in the Lessee’s judgment is reasonably necessary in connection with the use, maintenance, alteration or improvement of the Leased Property; (iii) such grant, release, dedication, transfer, amendment, agreement or other action will not cause the Leased Property or any portion thereof to fail to comply with the provisions of this Lease or any other Operative Documents or any Applicable Laws (including, without limitation, all applicable Environmental Laws, zoning, planning, building and subdivision ordinances, any applicable restrictive covenants and any applicable architectural approval requirements); (iv) all governmental consents or approvals required prior to such grant, release, dedication, transfer, amendment, agreement or other action have been obtained, and all filings with any Governmental Authorities required prior to such action have been made; (v) the Lessee shall remain obligated under this Lease and under any instrument executed by the Lessee consenting to the assignment of Lessor’s interest in this Lease as security for indebtedness, in each such case in accordance with their terms, as though such grant, release, dedication, transfer, amendment, agreement or other action had not been effected; (vi) during the Term, the Lessee shall timely pay and perform any obligations of Lessor under such grant, release, dedication, transfer, amendment, agreement or other action and (vii) with respect to any action described in Section 11.2(a) through Section 11.2(d), inclusive, no such action described in such sections could reasonably be expected to have a Material Adverse Effect. Without limiting the effectiveness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Event of Default shall have occurred and be continuing, Lessor shall, upon the request of the Lessee, and at the Lessee’s sole cost and expense, execute and deliver any instruments necessary or appropriate to confirm any such grant, release, dedication, transfer, amendment, agreement or other action to any Person permitted under this Section. By undertaking any of the acts described in clauses (a) through (e) above, Lessee shall be deemed to have represented and warranted to each of the Participants that each such grant, release, dedication, transfer, amendment, agreement or other</w:t>
      </w:r>
    </w:p>
    <w:p>
      <w:pPr>
        <w:sectPr>
          <w:pgSz w:w="11900" w:h="16838" w:orient="portrait"/>
          <w:cols w:equalWidth="0" w:num="1">
            <w:col w:w="11420"/>
          </w:cols>
          <w:pgMar w:left="240" w:top="125"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color w:val="auto"/>
        </w:rPr>
        <w:t>action complies with and Lessee has satisfied each of the requirements listed in clauses (i) through (vii) in the proviso above.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PERMITTED CONTESTS</w:t>
      </w:r>
    </w:p>
    <w:p>
      <w:pPr>
        <w:spacing w:after="0" w:line="211" w:lineRule="exact"/>
        <w:rPr>
          <w:sz w:val="20"/>
          <w:szCs w:val="20"/>
          <w:color w:val="auto"/>
        </w:rPr>
      </w:pPr>
    </w:p>
    <w:p>
      <w:pPr>
        <w:ind w:firstLine="594"/>
        <w:spacing w:after="0" w:line="291" w:lineRule="auto"/>
        <w:rPr>
          <w:sz w:val="20"/>
          <w:szCs w:val="20"/>
          <w:color w:val="auto"/>
        </w:rPr>
      </w:pPr>
      <w:r>
        <w:rPr>
          <w:rFonts w:ascii="Arial" w:cs="Arial" w:eastAsia="Arial" w:hAnsi="Arial"/>
          <w:sz w:val="16"/>
          <w:szCs w:val="16"/>
          <w:i w:val="1"/>
          <w:iCs w:val="1"/>
          <w:color w:val="auto"/>
        </w:rPr>
        <w:t>Section 12.1. Permitted Contests in Respect of Applicable Laws</w:t>
      </w:r>
      <w:r>
        <w:rPr>
          <w:rFonts w:ascii="Arial" w:cs="Arial" w:eastAsia="Arial" w:hAnsi="Arial"/>
          <w:sz w:val="16"/>
          <w:szCs w:val="16"/>
          <w:color w:val="auto"/>
        </w:rPr>
        <w:t>. Notwithstanding anything contained herein or in any Operative Document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contrary (but subject to the last sentence of this paragraph), if, to the extent and for so long as (x) a test, challenge, contest, appeal or proceeding for review of</w:t>
      </w:r>
    </w:p>
    <w:p>
      <w:pPr>
        <w:ind w:firstLine="8"/>
        <w:spacing w:after="0" w:line="267" w:lineRule="auto"/>
        <w:tabs>
          <w:tab w:leader="none" w:pos="245" w:val="left"/>
        </w:tabs>
        <w:numPr>
          <w:ilvl w:val="0"/>
          <w:numId w:val="213"/>
        </w:numPr>
        <w:rPr>
          <w:rFonts w:ascii="Arial" w:cs="Arial" w:eastAsia="Arial" w:hAnsi="Arial"/>
          <w:sz w:val="17"/>
          <w:szCs w:val="17"/>
          <w:color w:val="auto"/>
        </w:rPr>
      </w:pPr>
      <w:r>
        <w:rPr>
          <w:rFonts w:ascii="Arial" w:cs="Arial" w:eastAsia="Arial" w:hAnsi="Arial"/>
          <w:sz w:val="17"/>
          <w:szCs w:val="17"/>
          <w:color w:val="auto"/>
        </w:rPr>
        <w:t>any Applicable Laws relating to the Leased Property or any part thereof or the obligation to comply therewith or (b) any Supplemental Rent payable to any Person other than Lessor, Administrative Agent or any Lender, shall be prosecuted diligently and in good faith in appropriate proceedings by the Lessee or (y) compliance with such Applicable Laws shall have been excused or exempted by a valid nonconforming use, variance, permit, waiver, extension or forbearance, during the Term, Lessee shall not be required to comply with such Applicable Laws or to make such payment but only if and so long as any such test, challenge, contest, appeal, proceeding, waiver, extension, forbearance or noncompliance shall not, in the reasonable opinion of Lessor and the Administrative Agent, or, in the case of (A) (B)(2) or (B)(5) below, in the reasonable opinion of any affected Participant, involve (A) any risk of criminal liability being imposed on Lessor, Administrative Agent or any Participant or (B) any material risk of (1) the foreclosure, forfeiture or loss of the Leased Property, or any material part thereof, (2) the nonpayment, reduction or abatement of Rent to Lessor, Administrative Agent or any Lender, (3) the interruption or cancellation of any insurance coverage required to be maintained by the Lessee pursuant to Article XIII, (4) any sale of, or the creation of any Lien (other than a Permitted Lien) on, any material part of the Leased Property (</w:t>
      </w:r>
      <w:r>
        <w:rPr>
          <w:rFonts w:ascii="Arial" w:cs="Arial" w:eastAsia="Arial" w:hAnsi="Arial"/>
          <w:sz w:val="17"/>
          <w:szCs w:val="17"/>
          <w:i w:val="1"/>
          <w:iCs w:val="1"/>
          <w:color w:val="auto"/>
        </w:rPr>
        <w:t>provided, however</w:t>
      </w:r>
      <w:r>
        <w:rPr>
          <w:rFonts w:ascii="Arial" w:cs="Arial" w:eastAsia="Arial" w:hAnsi="Arial"/>
          <w:sz w:val="17"/>
          <w:szCs w:val="17"/>
          <w:color w:val="auto"/>
        </w:rPr>
        <w:t>, nothing herein shall be deemed to reduce or diminish Lessee’s obligations under Section 11.1), (5) civil liability being imposed on Lessor, the Administrative Agent or any Participant for which the Lessee is not obligated, or has not otherwise agreed, to fully indemnify such parties under the Operative Documents, or (6) enjoinment of, or interference with, the use, possession or disposition of the Leased Property in any material respect. Subject to Article XIII of the Participation Agreement, Lessee shall also have a right to contest and appeal any Taxes or Impositions.</w:t>
      </w:r>
    </w:p>
    <w:p>
      <w:pPr>
        <w:spacing w:after="0" w:line="182"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Lessor will not be required to join in any proceedings pursuant to this Section 12.1 unless a provision of any Applicable Laws requires that such proceedings be brought by or in the name of Lessor; and in that event Lessor will join in the proceedings or permit them or any part thereof to be brought in its name if and so long as (i) the Lessee has not elected the Sale Option and (ii) the Lessee agrees in writing to pay, and pays, all related out-of-pocket expenses and agrees in writing to indemnify Lessor, the Administrative Agent and the Participants, in form and substance reasonably satisfactory to each of the respective Indemnitees, in respect of any claim relating thereto (it being agreed that exceptions and/or limitations to any such indemnity of the type set forth in Article XIII of the Participation Agreement shall be deemed to be satisfactory to each of the respective Indemnitees).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XIII</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INSURANCE</w:t>
      </w:r>
    </w:p>
    <w:p>
      <w:pPr>
        <w:spacing w:after="0" w:line="211" w:lineRule="exact"/>
        <w:rPr>
          <w:sz w:val="20"/>
          <w:szCs w:val="20"/>
          <w:color w:val="auto"/>
        </w:rPr>
      </w:pPr>
    </w:p>
    <w:p>
      <w:pPr>
        <w:ind w:right="60" w:firstLine="594"/>
        <w:spacing w:after="0" w:line="277" w:lineRule="auto"/>
        <w:rPr>
          <w:sz w:val="20"/>
          <w:szCs w:val="20"/>
          <w:color w:val="auto"/>
        </w:rPr>
      </w:pPr>
      <w:r>
        <w:rPr>
          <w:rFonts w:ascii="Arial" w:cs="Arial" w:eastAsia="Arial" w:hAnsi="Arial"/>
          <w:sz w:val="18"/>
          <w:szCs w:val="18"/>
          <w:i w:val="1"/>
          <w:iCs w:val="1"/>
          <w:color w:val="auto"/>
        </w:rPr>
        <w:t>Section 13.1. Required Coverages</w:t>
      </w:r>
      <w:r>
        <w:rPr>
          <w:rFonts w:ascii="Arial" w:cs="Arial" w:eastAsia="Arial" w:hAnsi="Arial"/>
          <w:sz w:val="18"/>
          <w:szCs w:val="18"/>
          <w:color w:val="auto"/>
        </w:rPr>
        <w:t>. During the Term, Lessee will provide or cause to be provided insurance with respect to the Leased Property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coverages and amounts:</w:t>
      </w:r>
    </w:p>
    <w:p>
      <w:pPr>
        <w:spacing w:after="0" w:line="170" w:lineRule="exact"/>
        <w:rPr>
          <w:sz w:val="20"/>
          <w:szCs w:val="20"/>
          <w:color w:val="auto"/>
        </w:rPr>
      </w:pPr>
    </w:p>
    <w:p>
      <w:pPr>
        <w:ind w:left="660" w:firstLine="766"/>
        <w:spacing w:after="0" w:line="302" w:lineRule="auto"/>
        <w:tabs>
          <w:tab w:leader="none" w:pos="1954" w:val="left"/>
        </w:tabs>
        <w:numPr>
          <w:ilvl w:val="0"/>
          <w:numId w:val="214"/>
        </w:numPr>
        <w:rPr>
          <w:rFonts w:ascii="Arial" w:cs="Arial" w:eastAsia="Arial" w:hAnsi="Arial"/>
          <w:sz w:val="16"/>
          <w:szCs w:val="16"/>
          <w:color w:val="auto"/>
        </w:rPr>
      </w:pPr>
      <w:r>
        <w:rPr>
          <w:rFonts w:ascii="Arial" w:cs="Arial" w:eastAsia="Arial" w:hAnsi="Arial"/>
          <w:sz w:val="16"/>
          <w:szCs w:val="16"/>
          <w:i w:val="1"/>
          <w:iCs w:val="1"/>
          <w:color w:val="auto"/>
        </w:rPr>
        <w:t>General Liability Insurance</w:t>
      </w:r>
      <w:r>
        <w:rPr>
          <w:rFonts w:ascii="Arial" w:cs="Arial" w:eastAsia="Arial" w:hAnsi="Arial"/>
          <w:sz w:val="16"/>
          <w:szCs w:val="16"/>
          <w:color w:val="auto"/>
        </w:rPr>
        <w:t>. Combined single limit insurance against claims for third-party bodily injury, including death, and</w:t>
      </w:r>
      <w:r>
        <w:rPr>
          <w:rFonts w:ascii="Arial" w:cs="Arial" w:eastAsia="Arial" w:hAnsi="Arial"/>
          <w:sz w:val="16"/>
          <w:szCs w:val="16"/>
          <w:i w:val="1"/>
          <w:iCs w:val="1"/>
          <w:color w:val="auto"/>
        </w:rPr>
        <w:t xml:space="preserve"> </w:t>
      </w:r>
      <w:r>
        <w:rPr>
          <w:rFonts w:ascii="Arial" w:cs="Arial" w:eastAsia="Arial" w:hAnsi="Arial"/>
          <w:sz w:val="16"/>
          <w:szCs w:val="16"/>
          <w:color w:val="auto"/>
        </w:rPr>
        <w:t>third-party property damage occurring as a result of the ownership, use, maintenance or operation of the Leased Property in an amount, at least equal to $1,000,000 per occurrence and $2,000,000 annual aggregate. Such coverage may be subject to deductibles up to an amount that is consistent with Lessee’s insurance program for similar property owned or leased by Lessee. Any such deductible shall be for the sole account of Lessee.</w:t>
      </w:r>
    </w:p>
    <w:p>
      <w:pPr>
        <w:spacing w:after="0" w:line="154" w:lineRule="exact"/>
        <w:rPr>
          <w:rFonts w:ascii="Arial" w:cs="Arial" w:eastAsia="Arial" w:hAnsi="Arial"/>
          <w:sz w:val="16"/>
          <w:szCs w:val="16"/>
          <w:color w:val="auto"/>
        </w:rPr>
      </w:pPr>
    </w:p>
    <w:p>
      <w:pPr>
        <w:ind w:left="660" w:right="400" w:firstLine="753"/>
        <w:spacing w:after="0" w:line="277" w:lineRule="auto"/>
        <w:tabs>
          <w:tab w:leader="none" w:pos="1964"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Property Insurance</w:t>
      </w:r>
      <w:r>
        <w:rPr>
          <w:rFonts w:ascii="Arial" w:cs="Arial" w:eastAsia="Arial" w:hAnsi="Arial"/>
          <w:sz w:val="18"/>
          <w:szCs w:val="18"/>
          <w:color w:val="auto"/>
        </w:rPr>
        <w:t>. Insurance against all-risk of physical loss of or damage to the Leased Property or any portion thereof by</w:t>
      </w:r>
      <w:r>
        <w:rPr>
          <w:rFonts w:ascii="Arial" w:cs="Arial" w:eastAsia="Arial" w:hAnsi="Arial"/>
          <w:sz w:val="18"/>
          <w:szCs w:val="18"/>
          <w:i w:val="1"/>
          <w:iCs w:val="1"/>
          <w:color w:val="auto"/>
        </w:rPr>
        <w:t xml:space="preserve"> </w:t>
      </w:r>
      <w:r>
        <w:rPr>
          <w:rFonts w:ascii="Arial" w:cs="Arial" w:eastAsia="Arial" w:hAnsi="Arial"/>
          <w:sz w:val="18"/>
          <w:szCs w:val="18"/>
          <w:color w:val="auto"/>
        </w:rPr>
        <w:t>reason of any insurable peril in an amount equivalent to the replacement cost of the Leased Property.</w:t>
      </w:r>
    </w:p>
    <w:p>
      <w:pPr>
        <w:spacing w:after="0" w:line="170" w:lineRule="exact"/>
        <w:rPr>
          <w:rFonts w:ascii="Arial" w:cs="Arial" w:eastAsia="Arial" w:hAnsi="Arial"/>
          <w:sz w:val="18"/>
          <w:szCs w:val="18"/>
          <w:color w:val="auto"/>
        </w:rPr>
      </w:pPr>
    </w:p>
    <w:p>
      <w:pPr>
        <w:jc w:val="both"/>
        <w:ind w:left="660" w:right="380" w:firstLine="766"/>
        <w:spacing w:after="0" w:line="264" w:lineRule="auto"/>
        <w:tabs>
          <w:tab w:leader="none" w:pos="1967"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Builder’s Risk</w:t>
      </w:r>
      <w:r>
        <w:rPr>
          <w:rFonts w:ascii="Arial" w:cs="Arial" w:eastAsia="Arial" w:hAnsi="Arial"/>
          <w:sz w:val="18"/>
          <w:szCs w:val="18"/>
          <w:color w:val="auto"/>
        </w:rPr>
        <w:t>. Lessee shall during the construction of any Modifications maintain, for the benefit of the Participants, all risk</w:t>
      </w:r>
      <w:r>
        <w:rPr>
          <w:rFonts w:ascii="Arial" w:cs="Arial" w:eastAsia="Arial" w:hAnsi="Arial"/>
          <w:sz w:val="18"/>
          <w:szCs w:val="18"/>
          <w:i w:val="1"/>
          <w:iCs w:val="1"/>
          <w:color w:val="auto"/>
        </w:rPr>
        <w:t xml:space="preserve"> </w:t>
      </w:r>
      <w:r>
        <w:rPr>
          <w:rFonts w:ascii="Arial" w:cs="Arial" w:eastAsia="Arial" w:hAnsi="Arial"/>
          <w:sz w:val="18"/>
          <w:szCs w:val="18"/>
          <w:color w:val="auto"/>
        </w:rPr>
        <w:t>Builders’ Risk Insurance in an amount at least equal to the replacement value of the Facility or Modifications, as applicable. The Builder’s risk insurance coverage required herein may be included in Lessee’s property insurance.</w:t>
      </w:r>
    </w:p>
    <w:p>
      <w:pPr>
        <w:spacing w:after="0" w:line="181" w:lineRule="exact"/>
        <w:rPr>
          <w:rFonts w:ascii="Arial" w:cs="Arial" w:eastAsia="Arial" w:hAnsi="Arial"/>
          <w:sz w:val="18"/>
          <w:szCs w:val="18"/>
          <w:color w:val="auto"/>
        </w:rPr>
      </w:pPr>
    </w:p>
    <w:p>
      <w:pPr>
        <w:ind w:left="660" w:right="80" w:firstLine="753"/>
        <w:spacing w:after="0" w:line="259" w:lineRule="auto"/>
        <w:tabs>
          <w:tab w:leader="none" w:pos="1964"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 xml:space="preserve">Workers’ Compensation and Employers Liability. </w:t>
      </w:r>
      <w:r>
        <w:rPr>
          <w:rFonts w:ascii="Arial" w:cs="Arial" w:eastAsia="Arial" w:hAnsi="Arial"/>
          <w:sz w:val="18"/>
          <w:szCs w:val="18"/>
          <w:color w:val="auto"/>
        </w:rPr>
        <w:t>Lessee shall maintain during the Term of this Lease, including during</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of any Modifications and the operation of the Leased Property, statutory workers’ compensation insurance in compliance with the Applicable Laws and employer’s liability insurance in an amount of $1,000,000 bodily injury for each accident, bodily injury for each employee by disease and policy limit by disease.</w:t>
      </w:r>
    </w:p>
    <w:p>
      <w:pPr>
        <w:spacing w:after="0" w:line="186" w:lineRule="exact"/>
        <w:rPr>
          <w:rFonts w:ascii="Arial" w:cs="Arial" w:eastAsia="Arial" w:hAnsi="Arial"/>
          <w:sz w:val="18"/>
          <w:szCs w:val="18"/>
          <w:color w:val="auto"/>
        </w:rPr>
      </w:pPr>
    </w:p>
    <w:p>
      <w:pPr>
        <w:ind w:left="660" w:right="140" w:firstLine="766"/>
        <w:spacing w:after="0" w:line="259" w:lineRule="auto"/>
        <w:tabs>
          <w:tab w:leader="none" w:pos="1967"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 xml:space="preserve">Flood Insurance. </w:t>
      </w:r>
      <w:r>
        <w:rPr>
          <w:rFonts w:ascii="Arial" w:cs="Arial" w:eastAsia="Arial" w:hAnsi="Arial"/>
          <w:sz w:val="18"/>
          <w:szCs w:val="18"/>
          <w:color w:val="auto"/>
        </w:rPr>
        <w:t>Lessee shall, at any time, if any portion of the Site, Facility, any Improvements or Modifications are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an area identified by the Federal Emergency Management Agency of the United States of America or other applicable Governmental Authority as having special flood and mudslide hazards, obtain flood insurance on such portion of the Site, Facility, any Improvements or Modifications, as applicable.</w:t>
      </w:r>
    </w:p>
    <w:p>
      <w:pPr>
        <w:spacing w:after="0" w:line="186" w:lineRule="exact"/>
        <w:rPr>
          <w:rFonts w:ascii="Arial" w:cs="Arial" w:eastAsia="Arial" w:hAnsi="Arial"/>
          <w:sz w:val="18"/>
          <w:szCs w:val="18"/>
          <w:color w:val="auto"/>
        </w:rPr>
      </w:pPr>
    </w:p>
    <w:p>
      <w:pPr>
        <w:ind w:left="660" w:right="100" w:firstLine="793"/>
        <w:spacing w:after="0" w:line="264" w:lineRule="auto"/>
        <w:tabs>
          <w:tab w:leader="none" w:pos="1961"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Excess/Umbrella Liability</w:t>
      </w:r>
      <w:r>
        <w:rPr>
          <w:rFonts w:ascii="Arial" w:cs="Arial" w:eastAsia="Arial" w:hAnsi="Arial"/>
          <w:sz w:val="18"/>
          <w:szCs w:val="18"/>
          <w:color w:val="auto"/>
        </w:rPr>
        <w:t>. Excess/Umbrella insurance providing coverage in excess of the insurance coverage required in</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 (a) and the employer’s liability insurance required in paragraph (d) herein with a limit of $10,000,000 per occurrence and $10,000,000 in the annual aggregate.</w:t>
      </w:r>
    </w:p>
    <w:p>
      <w:pPr>
        <w:spacing w:after="0" w:line="181" w:lineRule="exact"/>
        <w:rPr>
          <w:sz w:val="20"/>
          <w:szCs w:val="20"/>
          <w:color w:val="auto"/>
        </w:rPr>
      </w:pPr>
    </w:p>
    <w:p>
      <w:pPr>
        <w:ind w:right="240" w:firstLine="594"/>
        <w:spacing w:after="0" w:line="308" w:lineRule="auto"/>
        <w:rPr>
          <w:sz w:val="20"/>
          <w:szCs w:val="20"/>
          <w:color w:val="auto"/>
        </w:rPr>
      </w:pPr>
      <w:r>
        <w:rPr>
          <w:rFonts w:ascii="Arial" w:cs="Arial" w:eastAsia="Arial" w:hAnsi="Arial"/>
          <w:sz w:val="17"/>
          <w:szCs w:val="17"/>
          <w:i w:val="1"/>
          <w:iCs w:val="1"/>
          <w:color w:val="auto"/>
        </w:rPr>
        <w:t>Section 13.2. Insurance Coverage</w:t>
      </w:r>
      <w:r>
        <w:rPr>
          <w:rFonts w:ascii="Arial" w:cs="Arial" w:eastAsia="Arial" w:hAnsi="Arial"/>
          <w:sz w:val="17"/>
          <w:szCs w:val="17"/>
          <w:color w:val="auto"/>
        </w:rPr>
        <w:t>. The insurance coverage required in Section 13.1 shall be written by reputable insurance companies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financially sound and solvent and otherwise reasonably appropriate considering the amount and type of insurance being provided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584" w:right="279" w:bottom="721" w:gutter="0" w:footer="0" w:header="0"/>
        </w:sectPr>
      </w:pPr>
    </w:p>
    <w:bookmarkStart w:id="97" w:name="page98"/>
    <w:bookmarkEnd w:id="97"/>
    <w:p>
      <w:pPr>
        <w:spacing w:after="0" w:line="13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by such companies. Any insurance company selected by Lessee shall be rated in A.M. Best’s Insurance Guide or any successor thereto (or if there be none, an organization having a similar national reputation) and shall have a general policyholder rating of “A-” (or comparable rating for a rating by an organization other than A.M. Best) and a financial rating of at least “VIII” (or comparable rating for a rating by an organization other than A.M. Best) or be otherwise reasonably acceptable to the Required Participants. All policies of insurance required herein, with the exception of workers compensation, shall name Lessor, the Administrative Agent and each Participant, as additional insureds and, in the case of property insurance maintained by Lessee, it shall name the Administrative Agent, as mortgagee and sole loss payee with respect to the Leased Property (but subject to the obligations of Administrative Agent under Section 14.1 of this Lease). Each policy referred to in Section 13.1 shall provide that: (i) it will not be canceled or its limits reduced, or allowed to lapse without renewal, except after not less than thirty (30) days’ prior written notice to Lessor and Administrative Agent (and after not less than ten (10) days for nonpayment of premium); (ii) the interests of Lessor, the Administrative Agent and any Participant shall not be invalidated by any act or negligence of or breach of warranty or representation by Lessee or any other Person having an interest in the Leased Property; (iii) such insurance is primary with respect to any other insurance carried by or available to Lessor, the Administrative Agent or any Participant; (iv) the insurer shall waive any right of subrogation against the Participants and Administrative Agent; and (v) any such liability policy shall contain a cross-liability/separation of insureds clause providing for coverage of Lessor, the Administrative Agent and each Participant, as if separate policies had been issued to each of them. Lessee will promptly provide Lessor with prior written notice of any policy modification or amendment that will result in the applicable insurance policy no longer satisfying with the requirements of Section 13.1 hereof.</w:t>
      </w:r>
    </w:p>
    <w:p>
      <w:pPr>
        <w:spacing w:after="0" w:line="183" w:lineRule="exact"/>
        <w:rPr>
          <w:sz w:val="20"/>
          <w:szCs w:val="20"/>
          <w:color w:val="auto"/>
        </w:rPr>
      </w:pPr>
    </w:p>
    <w:p>
      <w:pPr>
        <w:ind w:firstLine="594"/>
        <w:spacing w:after="0" w:line="255" w:lineRule="auto"/>
        <w:rPr>
          <w:sz w:val="20"/>
          <w:szCs w:val="20"/>
          <w:color w:val="auto"/>
        </w:rPr>
      </w:pPr>
      <w:r>
        <w:rPr>
          <w:rFonts w:ascii="Arial" w:cs="Arial" w:eastAsia="Arial" w:hAnsi="Arial"/>
          <w:sz w:val="18"/>
          <w:szCs w:val="18"/>
          <w:i w:val="1"/>
          <w:iCs w:val="1"/>
          <w:color w:val="auto"/>
        </w:rPr>
        <w:t>Section 13.3. Delivery of Insurance Certificates</w:t>
      </w:r>
      <w:r>
        <w:rPr>
          <w:rFonts w:ascii="Arial" w:cs="Arial" w:eastAsia="Arial" w:hAnsi="Arial"/>
          <w:sz w:val="18"/>
          <w:szCs w:val="18"/>
          <w:color w:val="auto"/>
        </w:rPr>
        <w:t>. On or before the Document Closing Date, Lessee shall deliver to Administrative Agent and</w:t>
      </w:r>
      <w:r>
        <w:rPr>
          <w:rFonts w:ascii="Arial" w:cs="Arial" w:eastAsia="Arial" w:hAnsi="Arial"/>
          <w:sz w:val="18"/>
          <w:szCs w:val="18"/>
          <w:i w:val="1"/>
          <w:iCs w:val="1"/>
          <w:color w:val="auto"/>
        </w:rPr>
        <w:t xml:space="preserve"> </w:t>
      </w:r>
      <w:r>
        <w:rPr>
          <w:rFonts w:ascii="Arial" w:cs="Arial" w:eastAsia="Arial" w:hAnsi="Arial"/>
          <w:sz w:val="18"/>
          <w:szCs w:val="18"/>
          <w:color w:val="auto"/>
        </w:rPr>
        <w:t>Lessor certificates of insurance satisfactory to the Administrative Agent and Lessor evidencing the existence of all insurance required to be maintained hereunder and setting forth the respective coverages, limits of liability, carrier, policy number and period of coverage. Thereafter, throughout the Term, at the time each of Lessee’s insurance policies is renewed (but in no event less frequently than once each year) or upon written request by Lessor following an Event of Default, Lessee shall deliver to Administrative Agent and Lessor certificates of insurance evidencing that all insurance required by Sections 13.1 and 13.2 to be maintained by Lessee is in effect.</w:t>
      </w:r>
    </w:p>
    <w:p>
      <w:pPr>
        <w:spacing w:after="0" w:line="193" w:lineRule="exact"/>
        <w:rPr>
          <w:sz w:val="20"/>
          <w:szCs w:val="20"/>
          <w:color w:val="auto"/>
        </w:rPr>
      </w:pPr>
    </w:p>
    <w:p>
      <w:pPr>
        <w:ind w:right="240" w:firstLine="594"/>
        <w:spacing w:after="0" w:line="259" w:lineRule="auto"/>
        <w:rPr>
          <w:sz w:val="20"/>
          <w:szCs w:val="20"/>
          <w:color w:val="auto"/>
        </w:rPr>
      </w:pPr>
      <w:r>
        <w:rPr>
          <w:rFonts w:ascii="Arial" w:cs="Arial" w:eastAsia="Arial" w:hAnsi="Arial"/>
          <w:sz w:val="18"/>
          <w:szCs w:val="18"/>
          <w:i w:val="1"/>
          <w:iCs w:val="1"/>
          <w:color w:val="auto"/>
        </w:rPr>
        <w:t>Section 13.4. Insurance by Lessor, Administrative Agent or any Participant</w:t>
      </w:r>
      <w:r>
        <w:rPr>
          <w:rFonts w:ascii="Arial" w:cs="Arial" w:eastAsia="Arial" w:hAnsi="Arial"/>
          <w:sz w:val="18"/>
          <w:szCs w:val="18"/>
          <w:color w:val="auto"/>
        </w:rPr>
        <w:t>. Lessor, the Administrative Agent or any Participant may at its own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carry insurance with respect to its interest in the Leased Property, and any insurance payments received from policies maintained by Lessor, the Administrative Agent or any Participant shall be retained by Lessor, the Administrative Agent or such Participant, as the case may be, without reducing or otherwise affecting Lessee’s obligations hereunder.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CASUALTY AND CONDEMNATION</w:t>
      </w:r>
    </w:p>
    <w:p>
      <w:pPr>
        <w:spacing w:after="0" w:line="211" w:lineRule="exact"/>
        <w:rPr>
          <w:sz w:val="20"/>
          <w:szCs w:val="20"/>
          <w:color w:val="auto"/>
        </w:rPr>
      </w:pPr>
    </w:p>
    <w:p>
      <w:pPr>
        <w:ind w:right="20" w:firstLine="594"/>
        <w:spacing w:after="0" w:line="285" w:lineRule="auto"/>
        <w:rPr>
          <w:sz w:val="20"/>
          <w:szCs w:val="20"/>
          <w:color w:val="auto"/>
        </w:rPr>
      </w:pPr>
      <w:r>
        <w:rPr>
          <w:rFonts w:ascii="Arial" w:cs="Arial" w:eastAsia="Arial" w:hAnsi="Arial"/>
          <w:sz w:val="16"/>
          <w:szCs w:val="16"/>
          <w:i w:val="1"/>
          <w:iCs w:val="1"/>
          <w:color w:val="auto"/>
        </w:rPr>
        <w:t>Section 14.1. Casualty and Condemnation</w:t>
      </w:r>
      <w:r>
        <w:rPr>
          <w:rFonts w:ascii="Arial" w:cs="Arial" w:eastAsia="Arial" w:hAnsi="Arial"/>
          <w:sz w:val="16"/>
          <w:szCs w:val="16"/>
          <w:color w:val="auto"/>
        </w:rPr>
        <w:t>. (a) Subject to the provisions of this Article XIV, if all or any portion of the Leased Property suffers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Casualty during the Term (other than a Significant Casualty as to which a Termination Notice has been given), Lessee shall give notice thereof to Lessor promptly after Lessee has knowledge thereof and Lessee shall control the negotiations with the relevant insurer (unless an Event of Default exists in which case Lessor shall be entitled to control such negotiations) and, except as otherwise provided in this Section 14.1, and any insurance proceeds payable by an insurer with respect to such Casualty up to $50,000,000 individually and $100,000,000 in the aggregate per annum shall be paid directly to the Lessee, or if received by Lessor, the Administrative Agent or the Lenders, shall be paid over to the Lessee and shall be used by Lessee solely for the reconstruction, restoration and repair of such Leased Property, and if the use of, access to, occupancy of or title to the Leased Property or any part thereof is the subject of a Condemnation (other than a Significant Condemnation as to which a Termination Notice has been given), then any award or compensation relating thereto up to $50,000,000 individually and $100,000,000 in the aggregate per annum shall be paid to the Lessee and shall be used by Lessee solely for the restoration of the Leased Property. Notwithstanding the foregoing, if any Event of Default shall have occurred and be continuing, such award, compensation or insurance proceeds payable by an insurer shall be paid directly to the Administrative Agent or, if received by the Lessee, shall be held in trust for the Participants and shall be paid over by the Lessee to the Administrative Agent. All amounts held by Lessor or Administrative Agent on account of any award, compensation or insurance proceeds either paid directly to Lessor or Administrative Agent or turned over to Lessor or Administrative Agent, to the extent not otherwise required to be paid to the Lessee, shall be held in trust in a segregated account and applied to reimburse the Lessee from time to time during the course of the Lessee’s reconstruction, restoration and/or repair of the Leased Property and compliance with the provisions of Article IX hereof (or to otherwise make payments for any costs and expenses thereof as directed by the Lessee);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in each case after the occurrence and during the continuance of an Event of Default such proceeds shall at the option of Lessor (at the direction of the Required Participants) either be (A) paid to the Lessee for the reconstruction, restoration and/or repair of such Leased Property subject to such Casualty or Condemnation in accordance with this clause (A), or (B) applied to the Lease Balance and any other amounts owed by Lessee under the Operative Documents in accordance with Article XVI.</w:t>
      </w:r>
    </w:p>
    <w:p>
      <w:pPr>
        <w:spacing w:after="0" w:line="170" w:lineRule="exact"/>
        <w:rPr>
          <w:sz w:val="20"/>
          <w:szCs w:val="20"/>
          <w:color w:val="auto"/>
        </w:rPr>
      </w:pPr>
    </w:p>
    <w:p>
      <w:pPr>
        <w:ind w:firstLine="643"/>
        <w:spacing w:after="0" w:line="291" w:lineRule="auto"/>
        <w:tabs>
          <w:tab w:leader="none" w:pos="130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In the event any part of the Leased Property becomes subject to condemnation or requisition proceedings during the Term, Lessee shall give notice thereof to Lessor promptly after Lessee has knowledge thereof and, to the extent permitted by Applicable Laws, Lessee shall control the negotiations with the relevant Governmental Authority unless an Event of Default exists or such condemnation or requisition could result in a Significant Condemnation in which case Lessor shall be entitled to control such negotiations;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any event, Lessor may participate at Lessor’s expense (or, if an Event of Default exists, Lessor may control or participate at Lessee’s expense) in such negotiations;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all cases, that no settlement will be made without Lessor’s prior written consent (which consent shall not be unreasonably withheld, conditioned or delayed). Lessee shall give to Lessor such information, and copies of such documents, which relate to such proceedings, or which relate to the settlement of amounts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due under insurance policies required by Article XIII, and are in the possession of Lessee, as are reasonably requested by Lessor. If the proceedings relate to a Significant Condemnation, Lessee shall act diligently in connection therewith. Nothing contained in this Section 14.1(b) shall diminish Lessor’s rights with respect to condemnation awards and property insurance proceeds under Articles XIII or XIV.</w:t>
      </w:r>
    </w:p>
    <w:p>
      <w:pPr>
        <w:spacing w:after="0" w:line="181" w:lineRule="exact"/>
        <w:rPr>
          <w:sz w:val="20"/>
          <w:szCs w:val="20"/>
          <w:color w:val="auto"/>
        </w:rPr>
      </w:pPr>
    </w:p>
    <w:p>
      <w:pPr>
        <w:ind w:right="800" w:firstLine="656"/>
        <w:spacing w:after="0" w:line="277" w:lineRule="auto"/>
        <w:tabs>
          <w:tab w:leader="none" w:pos="130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no event shall a Casualty or Condemnation affect the Lessee’s obligations to pay Rent pursuant to Section 3.1 or to perform its obligations and pay any amounts due on the Expiration Date or pursuant to Articles XVIII and XXI.</w:t>
      </w:r>
    </w:p>
    <w:p>
      <w:pPr>
        <w:spacing w:after="0" w:line="170" w:lineRule="exact"/>
        <w:rPr>
          <w:rFonts w:ascii="Arial" w:cs="Arial" w:eastAsia="Arial" w:hAnsi="Arial"/>
          <w:sz w:val="18"/>
          <w:szCs w:val="18"/>
          <w:color w:val="auto"/>
        </w:rPr>
      </w:pPr>
    </w:p>
    <w:p>
      <w:pPr>
        <w:ind w:right="40" w:firstLine="644"/>
        <w:spacing w:after="0" w:line="342" w:lineRule="auto"/>
        <w:tabs>
          <w:tab w:leader="none" w:pos="130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If, pursuant to this Article XIV, this Lease shall continue in full force and effect following a Casualty or Condemnation,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of the Administrative Agent and the Participants releases and remits to Lessee all award, compensation or insurance proceeds held by the Administrative</w:t>
      </w:r>
    </w:p>
    <w:p>
      <w:pPr>
        <w:sectPr>
          <w:pgSz w:w="11900" w:h="16975" w:orient="portrait"/>
          <w:cols w:equalWidth="0" w:num="1">
            <w:col w:w="11420"/>
          </w:cols>
          <w:pgMar w:left="240" w:top="125" w:right="239" w:bottom="0" w:gutter="0" w:footer="0" w:header="0"/>
        </w:sectPr>
      </w:pPr>
    </w:p>
    <w:bookmarkStart w:id="98" w:name="page99"/>
    <w:bookmarkEnd w:id="98"/>
    <w:p>
      <w:pPr>
        <w:ind w:right="100"/>
        <w:spacing w:after="0" w:line="289" w:lineRule="auto"/>
        <w:rPr>
          <w:sz w:val="20"/>
          <w:szCs w:val="20"/>
          <w:color w:val="auto"/>
        </w:rPr>
      </w:pPr>
      <w:r>
        <w:rPr>
          <w:rFonts w:ascii="Arial" w:cs="Arial" w:eastAsia="Arial" w:hAnsi="Arial"/>
          <w:sz w:val="16"/>
          <w:szCs w:val="16"/>
          <w:color w:val="auto"/>
        </w:rPr>
        <w:t xml:space="preserve">Agent or Lessor, as applicable, the Lessee shall, at its sole cost and expense (and, without limitation, if any award, compensation or insurance payment is not sufficient to restore the Leased Property in accordance with this clause (d), Lessee shall pay the shortfall), promptly and diligently repair any damage to the Leased Property caused by such Casualty or Condemnation in conformity with the requirements of Sections 9.1 and 10.1 so as to restore, to the extent practicable, the Leased Property to at least substantially the same condition and value, in each case in all material respects, as existed immediately prior to such Casualty or Condemnation or to another use permitted under Section 8.1;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following completion of such changes and restorations, the value of the Leased Property is not substantially less than the value of the Leased Property immediately prior to such Casualty or Condemnation. In such event, title to the Leased Property shall remain with Lessor subject to the terms of this Lease. Upon completion of restorations with costs in excess of $5,000,000, upon the request of Lessor, the Lessee shall furnish to Lessor a Responsible Officer’s Certificate confirming that such restoration has been completed pursuant to this Lease. Any proceeds remaining after completion of such restoration shall be paid to, or retained by, as applicable, the Lessee.</w:t>
      </w:r>
    </w:p>
    <w:p>
      <w:pPr>
        <w:spacing w:after="0" w:line="167" w:lineRule="exact"/>
        <w:rPr>
          <w:sz w:val="20"/>
          <w:szCs w:val="20"/>
          <w:color w:val="auto"/>
        </w:rPr>
      </w:pPr>
    </w:p>
    <w:p>
      <w:pPr>
        <w:ind w:firstLine="594"/>
        <w:spacing w:after="0" w:line="279" w:lineRule="auto"/>
        <w:rPr>
          <w:sz w:val="20"/>
          <w:szCs w:val="20"/>
          <w:color w:val="auto"/>
        </w:rPr>
      </w:pPr>
      <w:r>
        <w:rPr>
          <w:rFonts w:ascii="Arial" w:cs="Arial" w:eastAsia="Arial" w:hAnsi="Arial"/>
          <w:sz w:val="17"/>
          <w:szCs w:val="17"/>
          <w:i w:val="1"/>
          <w:iCs w:val="1"/>
          <w:color w:val="auto"/>
        </w:rPr>
        <w:t>Section 14.2. Environmental Matters</w:t>
      </w:r>
      <w:r>
        <w:rPr>
          <w:rFonts w:ascii="Arial" w:cs="Arial" w:eastAsia="Arial" w:hAnsi="Arial"/>
          <w:sz w:val="17"/>
          <w:szCs w:val="17"/>
          <w:color w:val="auto"/>
        </w:rPr>
        <w:t>. During the Term, at Lessee’s sole cost and expense, Lessee shall in a reasonably prompt and diligent manner</w:t>
      </w:r>
      <w:r>
        <w:rPr>
          <w:rFonts w:ascii="Arial" w:cs="Arial" w:eastAsia="Arial" w:hAnsi="Arial"/>
          <w:sz w:val="17"/>
          <w:szCs w:val="17"/>
          <w:i w:val="1"/>
          <w:iCs w:val="1"/>
          <w:color w:val="auto"/>
        </w:rPr>
        <w:t xml:space="preserve"> </w:t>
      </w:r>
      <w:r>
        <w:rPr>
          <w:rFonts w:ascii="Arial" w:cs="Arial" w:eastAsia="Arial" w:hAnsi="Arial"/>
          <w:sz w:val="17"/>
          <w:szCs w:val="17"/>
          <w:color w:val="auto"/>
        </w:rPr>
        <w:t>undertake or cause to be undertaken any investigation, response, clean up, remedial restoration or other action necessary to investigate, remove, clean up, remediate or otherwise address any Environmental Violation to the extent required by Applicable Laws with respect to the Leased Property or at any off-site location impacted by any environmental condition or activities at, on or from the Leased Property.</w:t>
      </w:r>
    </w:p>
    <w:p>
      <w:pPr>
        <w:spacing w:after="0" w:line="171" w:lineRule="exact"/>
        <w:rPr>
          <w:sz w:val="20"/>
          <w:szCs w:val="20"/>
          <w:color w:val="auto"/>
        </w:rPr>
      </w:pPr>
    </w:p>
    <w:p>
      <w:pPr>
        <w:ind w:right="120" w:firstLine="594"/>
        <w:spacing w:after="0" w:line="255" w:lineRule="auto"/>
        <w:rPr>
          <w:sz w:val="20"/>
          <w:szCs w:val="20"/>
          <w:color w:val="auto"/>
        </w:rPr>
      </w:pPr>
      <w:r>
        <w:rPr>
          <w:rFonts w:ascii="Arial" w:cs="Arial" w:eastAsia="Arial" w:hAnsi="Arial"/>
          <w:sz w:val="18"/>
          <w:szCs w:val="18"/>
          <w:i w:val="1"/>
          <w:iCs w:val="1"/>
          <w:color w:val="auto"/>
        </w:rPr>
        <w:t>Section 14.3. Notice of Environmental Matters</w:t>
      </w:r>
      <w:r>
        <w:rPr>
          <w:rFonts w:ascii="Arial" w:cs="Arial" w:eastAsia="Arial" w:hAnsi="Arial"/>
          <w:sz w:val="18"/>
          <w:szCs w:val="18"/>
          <w:color w:val="auto"/>
        </w:rPr>
        <w:t>. (a) Lessee shall provide to Lessor written notice of any pending or threatened (in writing)</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Claim, action or proceeding involving any Environmental Violation or any Release on, at, under or from the Leased Property, from which violation or Release could reasonably be expected to require in excess of $500,000 in remediation costs, or which could reasonably be expected to result in the imposition of material civil liability or criminal penalties upon Lessor, the Administrative Agent or any Participant (any such Environmental Violation or Release, a “</w:t>
      </w:r>
      <w:r>
        <w:rPr>
          <w:rFonts w:ascii="Arial" w:cs="Arial" w:eastAsia="Arial" w:hAnsi="Arial"/>
          <w:sz w:val="18"/>
          <w:szCs w:val="18"/>
          <w:i w:val="1"/>
          <w:iCs w:val="1"/>
          <w:color w:val="auto"/>
        </w:rPr>
        <w:t>Material Environmental Violation</w:t>
      </w:r>
      <w:r>
        <w:rPr>
          <w:rFonts w:ascii="Arial" w:cs="Arial" w:eastAsia="Arial" w:hAnsi="Arial"/>
          <w:sz w:val="18"/>
          <w:szCs w:val="18"/>
          <w:color w:val="auto"/>
        </w:rPr>
        <w:t>”), as promptly as reasonably practicable after becoming aware of such pending or threatened Environmental Claims. All such notices shall describe in reasonable detail the nature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of the Material Environmental Violation, including any Environmental Claims, actions or proceedings in respect thereof, and Lessee’s proposed response thereto. In addition, Lessee shall provide to Lessor and Administrative Agent, within ten (10) Business Days of receipt, copies of all material communications with any Governmental Authority relating to any such Material Environmental Violation. Lessee shall also as promptly as reasonably practicable provide such detailed reports of any such Material Environmental Violations as may reasonably be requested by Lessor or Administrative Agent.</w:t>
      </w:r>
    </w:p>
    <w:p>
      <w:pPr>
        <w:spacing w:after="0" w:line="154" w:lineRule="exact"/>
        <w:rPr>
          <w:sz w:val="20"/>
          <w:szCs w:val="20"/>
          <w:color w:val="auto"/>
        </w:rPr>
      </w:pPr>
    </w:p>
    <w:p>
      <w:pPr>
        <w:ind w:firstLine="644"/>
        <w:spacing w:after="0" w:line="282" w:lineRule="auto"/>
        <w:tabs>
          <w:tab w:leader="none" w:pos="1305" w:val="left"/>
        </w:tabs>
        <w:numPr>
          <w:ilvl w:val="1"/>
          <w:numId w:val="217"/>
        </w:numPr>
        <w:rPr>
          <w:rFonts w:ascii="Arial" w:cs="Arial" w:eastAsia="Arial" w:hAnsi="Arial"/>
          <w:sz w:val="16"/>
          <w:szCs w:val="16"/>
          <w:color w:val="auto"/>
        </w:rPr>
      </w:pPr>
      <w:r>
        <w:rPr>
          <w:rFonts w:ascii="Arial" w:cs="Arial" w:eastAsia="Arial" w:hAnsi="Arial"/>
          <w:sz w:val="16"/>
          <w:szCs w:val="16"/>
          <w:color w:val="auto"/>
        </w:rPr>
        <w:t>In the event that any Material Environmental Violation (x) could reasonably be expected to require remediation costs of $1,000,000 or more as determined by Lessor acting in its reasonable discretion, or (y) could reasonably be expected to result in the imposition of material civil liability or criminal penalties upon Lessor, the Administrative Agent or any Participant, of $1,000,000 or more, as determined by such party acting in its reasonable discretion (such a Material Environmental Violation shall be referred to herein as a “</w:t>
      </w:r>
      <w:r>
        <w:rPr>
          <w:rFonts w:ascii="Arial" w:cs="Arial" w:eastAsia="Arial" w:hAnsi="Arial"/>
          <w:sz w:val="16"/>
          <w:szCs w:val="16"/>
          <w:i w:val="1"/>
          <w:iCs w:val="1"/>
          <w:color w:val="auto"/>
        </w:rPr>
        <w:t>Specified Material Environmental Violation</w:t>
      </w:r>
      <w:r>
        <w:rPr>
          <w:rFonts w:ascii="Arial" w:cs="Arial" w:eastAsia="Arial" w:hAnsi="Arial"/>
          <w:sz w:val="16"/>
          <w:szCs w:val="16"/>
          <w:color w:val="auto"/>
        </w:rPr>
        <w:t>”), Lessee shall (1) promptly cause a report by an environmental consultant selected by Lessee and reasonably acceptable to Lessor to be delivered to Lessor, which report shall (i) describe the Specified Material Environmental Violation and the remedial actions to be taken by Lessee (or its agents) in response to such Specified Material Environmental Violation (and including the anticipated time period in which such Specified Material Environmental Violation is capable of being remedied assuming Lessee (or its agents) are diligently performing such remediation), (ii) contain an estimate for all remediation expenses (including any fines and/or related costs) and the duration of such remedial actions and (iii) contain a statement by such consultant that such Specified Material Environmental Violation would be remedied in compliance in all material respects with applicable Environmental Law after the completion of such remedial actions described in such report and (2) provide evidence, reasonably satisfactory to Lessor, of sufficient financial means to pay for (i) all remediation expenses (including any fines and/or related costs) in the amounts set forth in such consultant’s report and (ii) all indemnification obligations of Lessee arising under this Lease or any other Operative Documents (including, without limitation, any legal defense costs of a pending, threatened, and/or anticipated civil or criminal proceeding), or, if not reasonably satisfactory to Lessor, Lessee shall post collateral in such amount as reasonably determined by the Lessor. Lessor shall have the right to terminate this Lease due to such Specified Material Environmental Violation, pursuant to the terms of Article XV hereof, if (x) Lessor reasonably determines that such environmental consultant’s report delivered in connection with such Specified Material Environmental Violation contains manifest error and based upon such error, Lessor determines that the remedial actions described in such report would not result in such Specified Material Environmental Violation being remedied (1) in compliance in all material respects with applicable Environmental Law, (2) for the costs set forth in such consultant’s report or</w:t>
      </w:r>
    </w:p>
    <w:p>
      <w:pPr>
        <w:spacing w:after="0" w:line="12" w:lineRule="exact"/>
        <w:rPr>
          <w:rFonts w:ascii="Arial" w:cs="Arial" w:eastAsia="Arial" w:hAnsi="Arial"/>
          <w:sz w:val="16"/>
          <w:szCs w:val="16"/>
          <w:color w:val="auto"/>
        </w:rPr>
      </w:pPr>
    </w:p>
    <w:p>
      <w:pPr>
        <w:ind w:right="80" w:firstLine="8"/>
        <w:spacing w:after="0" w:line="292" w:lineRule="auto"/>
        <w:tabs>
          <w:tab w:leader="none" w:pos="25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within the time period set forth in such consultant’s report or (y) the Lessee has failed to provide evidence (or, in the alternative, the posting of collateral), reasonably satisfactory to Lessor, of sufficient financial means to pay for (i) all remediation expenses (including any fines and/or related costs) and (ii) all indemnification obligations of Lessee arising under this Lease or any other Operative Documents (including, without limitation, any legal defense costs of a pending, threatened, and/or anticipated civil or criminal proceeding), in each case, in such amounts as have been reasonably determined by the Required Participants, after consultation, at Lessee’s sole cost and expense, with such environmental consultant;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this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subclause (y), only if such failure continues beyond a period to be agreed after written notification to the Lessee of such amounts so determined by the Required Participants and, if applicable, that previously delivered evidence is not reasonably satisfactory to Lessor.</w:t>
      </w:r>
    </w:p>
    <w:p>
      <w:pPr>
        <w:spacing w:after="0" w:line="170" w:lineRule="exact"/>
        <w:rPr>
          <w:sz w:val="20"/>
          <w:szCs w:val="20"/>
          <w:color w:val="auto"/>
        </w:rPr>
      </w:pPr>
    </w:p>
    <w:p>
      <w:pPr>
        <w:ind w:right="60" w:firstLine="644"/>
        <w:spacing w:after="0" w:line="255" w:lineRule="auto"/>
        <w:tabs>
          <w:tab w:leader="none" w:pos="1308" w:val="left"/>
        </w:tabs>
        <w:numPr>
          <w:ilvl w:val="0"/>
          <w:numId w:val="219"/>
        </w:numPr>
        <w:rPr>
          <w:rFonts w:ascii="Arial" w:cs="Arial" w:eastAsia="Arial" w:hAnsi="Arial"/>
          <w:sz w:val="18"/>
          <w:szCs w:val="18"/>
          <w:color w:val="auto"/>
        </w:rPr>
      </w:pPr>
      <w:r>
        <w:rPr>
          <w:rFonts w:ascii="Arial" w:cs="Arial" w:eastAsia="Arial" w:hAnsi="Arial"/>
          <w:sz w:val="18"/>
          <w:szCs w:val="18"/>
          <w:color w:val="auto"/>
        </w:rPr>
        <w:t>Lessee shall diligently perform, or cause to be diligently performed, all investigative and remedial actions to cause any Material Environmental Violation to be remediated in compliance in all material respects with applicable Environmental Law and, upon completion of remedial action of any Material Environmental Violation by Lessee, Lessee shall cause to be prepared by an environmental consultant reasonably acceptable to Lessor a report describing the Material Environmental Violation and the actions taken by Lessee (or its agents) in response to such Material Environmental Violation, and a statement by the consultant that the Material Environmental Violation has been remedied in compliance in all material respects with applicable Environmental Law.</w:t>
      </w:r>
    </w:p>
    <w:p>
      <w:pPr>
        <w:spacing w:after="0" w:line="193" w:lineRule="exact"/>
        <w:rPr>
          <w:rFonts w:ascii="Arial" w:cs="Arial" w:eastAsia="Arial" w:hAnsi="Arial"/>
          <w:sz w:val="18"/>
          <w:szCs w:val="18"/>
          <w:color w:val="auto"/>
        </w:rPr>
      </w:pPr>
    </w:p>
    <w:p>
      <w:pPr>
        <w:ind w:right="280" w:firstLine="644"/>
        <w:spacing w:after="0" w:line="264" w:lineRule="auto"/>
        <w:tabs>
          <w:tab w:leader="none" w:pos="130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Each such Material Environmental Violation shall be remedied prior to the Expiration Date unless all, but not less than all, of the Leased Property has been purchased by Lessee in accordance with Article XV or Article XVIII. Nothing in this Article XIV shall reduce or limit Lessee’s obligations elsewhere in this Lease or under the Participation Agreement.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OF LEASE</w:t>
      </w:r>
    </w:p>
    <w:p>
      <w:pPr>
        <w:sectPr>
          <w:pgSz w:w="11900" w:h="16838" w:orient="portrait"/>
          <w:cols w:equalWidth="0" w:num="1">
            <w:col w:w="11420"/>
          </w:cols>
          <w:pgMar w:left="240" w:top="125" w:right="239" w:bottom="0" w:gutter="0" w:footer="0" w:header="0"/>
        </w:sectPr>
      </w:pPr>
    </w:p>
    <w:bookmarkStart w:id="99" w:name="page100"/>
    <w:bookmarkEnd w:id="99"/>
    <w:p>
      <w:pPr>
        <w:spacing w:after="0" w:line="95" w:lineRule="exact"/>
        <w:rPr>
          <w:sz w:val="20"/>
          <w:szCs w:val="20"/>
          <w:color w:val="auto"/>
        </w:rPr>
      </w:pPr>
    </w:p>
    <w:p>
      <w:pPr>
        <w:ind w:right="40" w:firstLine="594"/>
        <w:spacing w:after="0" w:line="291" w:lineRule="auto"/>
        <w:rPr>
          <w:sz w:val="20"/>
          <w:szCs w:val="20"/>
          <w:color w:val="auto"/>
        </w:rPr>
      </w:pPr>
      <w:r>
        <w:rPr>
          <w:rFonts w:ascii="Arial" w:cs="Arial" w:eastAsia="Arial" w:hAnsi="Arial"/>
          <w:sz w:val="16"/>
          <w:szCs w:val="16"/>
          <w:i w:val="1"/>
          <w:iCs w:val="1"/>
          <w:color w:val="auto"/>
        </w:rPr>
        <w:t>Section 15.1. Termination upon Certain Events</w:t>
      </w:r>
      <w:r>
        <w:rPr>
          <w:rFonts w:ascii="Arial" w:cs="Arial" w:eastAsia="Arial" w:hAnsi="Arial"/>
          <w:sz w:val="16"/>
          <w:szCs w:val="16"/>
          <w:color w:val="auto"/>
        </w:rPr>
        <w:t>. (a) If an Event of Loss or Specified Significant Environmental Event occurs during the Term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the Leased Property, then Lessor may elect to terminate this Lease by giving written notice (a “</w:t>
      </w:r>
      <w:r>
        <w:rPr>
          <w:rFonts w:ascii="Arial" w:cs="Arial" w:eastAsia="Arial" w:hAnsi="Arial"/>
          <w:sz w:val="16"/>
          <w:szCs w:val="16"/>
          <w:i w:val="1"/>
          <w:iCs w:val="1"/>
          <w:color w:val="auto"/>
        </w:rPr>
        <w:t>Termination Notice</w:t>
      </w:r>
      <w:r>
        <w:rPr>
          <w:rFonts w:ascii="Arial" w:cs="Arial" w:eastAsia="Arial" w:hAnsi="Arial"/>
          <w:sz w:val="16"/>
          <w:szCs w:val="16"/>
          <w:color w:val="auto"/>
        </w:rPr>
        <w:t>”) to the Lessee (within sixty</w:t>
      </w:r>
    </w:p>
    <w:p>
      <w:pPr>
        <w:ind w:right="40" w:firstLine="8"/>
        <w:spacing w:after="0" w:line="254" w:lineRule="auto"/>
        <w:tabs>
          <w:tab w:leader="none" w:pos="34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days of Lessor obtaining actual knowledge of the Event of Loss or Specified Significant Environmental Event), with such termination to be effective on the Payment Date specified in Section 15.1(b). If Lessor fails to elect to terminate this Lease as provided in this Section 15.1(a), Lessor shall be deemed to have elected to require Lessee to restore, rebuild or remediate the Leased Property pursuant to Section 14.1(d) or Section 14.3, as applicable, and Lessee shall undertake and diligently pursue such restoration, rebuilding or remediation.</w:t>
      </w:r>
    </w:p>
    <w:p>
      <w:pPr>
        <w:spacing w:after="0" w:line="189" w:lineRule="exact"/>
        <w:rPr>
          <w:rFonts w:ascii="Arial" w:cs="Arial" w:eastAsia="Arial" w:hAnsi="Arial"/>
          <w:sz w:val="18"/>
          <w:szCs w:val="18"/>
          <w:color w:val="auto"/>
        </w:rPr>
      </w:pPr>
    </w:p>
    <w:p>
      <w:pPr>
        <w:ind w:right="60" w:firstLine="644"/>
        <w:spacing w:after="0" w:line="264" w:lineRule="auto"/>
        <w:tabs>
          <w:tab w:leader="none" w:pos="1305" w:val="left"/>
        </w:tabs>
        <w:numPr>
          <w:ilvl w:val="1"/>
          <w:numId w:val="220"/>
        </w:numPr>
        <w:rPr>
          <w:rFonts w:ascii="Arial" w:cs="Arial" w:eastAsia="Arial" w:hAnsi="Arial"/>
          <w:sz w:val="18"/>
          <w:szCs w:val="18"/>
          <w:color w:val="auto"/>
        </w:rPr>
      </w:pPr>
      <w:r>
        <w:rPr>
          <w:rFonts w:ascii="Arial" w:cs="Arial" w:eastAsia="Arial" w:hAnsi="Arial"/>
          <w:sz w:val="18"/>
          <w:szCs w:val="18"/>
          <w:color w:val="auto"/>
        </w:rPr>
        <w:t>Following Lessee’s receipt of the Termination Notice, the Lessee shall be obligated to purchase Lessor’s interest in all, but not less than all, of the Leased Property on the date occurring ninety (90) days from the date Lessee receives the Termination Notice (or the next occurring Business Day) by paying an amount equal to the Purchase Amount to the Administrative Agent.</w:t>
      </w:r>
    </w:p>
    <w:p>
      <w:pPr>
        <w:spacing w:after="0" w:line="181"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18"/>
          <w:szCs w:val="18"/>
          <w:i w:val="1"/>
          <w:iCs w:val="1"/>
          <w:color w:val="auto"/>
        </w:rPr>
        <w:t>Section 15.2.</w:t>
      </w:r>
      <w:r>
        <w:rPr>
          <w:sz w:val="20"/>
          <w:szCs w:val="20"/>
          <w:color w:val="auto"/>
        </w:rPr>
        <w:tab/>
      </w:r>
      <w:r>
        <w:rPr>
          <w:rFonts w:ascii="Arial" w:cs="Arial" w:eastAsia="Arial" w:hAnsi="Arial"/>
          <w:sz w:val="16"/>
          <w:szCs w:val="16"/>
          <w:i w:val="1"/>
          <w:iCs w:val="1"/>
          <w:color w:val="auto"/>
        </w:rPr>
        <w:t>Termination Procedures</w:t>
      </w:r>
      <w:r>
        <w:rPr>
          <w:rFonts w:ascii="Arial" w:cs="Arial" w:eastAsia="Arial" w:hAnsi="Arial"/>
          <w:sz w:val="16"/>
          <w:szCs w:val="16"/>
          <w:color w:val="auto"/>
        </w:rPr>
        <w:t>. On the date of the payment by the Lessee of the Purchase Amount in accordance with</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Section 15.1(b) (such date, the “</w:t>
      </w:r>
      <w:r>
        <w:rPr>
          <w:rFonts w:ascii="Arial" w:cs="Arial" w:eastAsia="Arial" w:hAnsi="Arial"/>
          <w:sz w:val="16"/>
          <w:szCs w:val="16"/>
          <w:i w:val="1"/>
          <w:iCs w:val="1"/>
          <w:color w:val="auto"/>
        </w:rPr>
        <w:t>Termination Date</w:t>
      </w:r>
      <w:r>
        <w:rPr>
          <w:rFonts w:ascii="Arial" w:cs="Arial" w:eastAsia="Arial" w:hAnsi="Arial"/>
          <w:sz w:val="16"/>
          <w:szCs w:val="16"/>
          <w:color w:val="auto"/>
        </w:rPr>
        <w:t>”), this Lease shall terminate and, concurrent with the Administrative Agent’s (or, as applicable, Lessor’s)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receipt of such payment:</w:t>
      </w:r>
    </w:p>
    <w:p>
      <w:pPr>
        <w:spacing w:after="0" w:line="211" w:lineRule="exact"/>
        <w:rPr>
          <w:sz w:val="20"/>
          <w:szCs w:val="20"/>
          <w:color w:val="auto"/>
        </w:rPr>
      </w:pPr>
    </w:p>
    <w:p>
      <w:pPr>
        <w:ind w:left="5620" w:right="2760" w:hanging="4167"/>
        <w:spacing w:after="0" w:line="528" w:lineRule="auto"/>
        <w:tabs>
          <w:tab w:leader="none" w:pos="197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Lessor and Lessee shall comply with the provisions of Sections 21.1(i) through 21.1(iv); and 24</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660" w:right="20" w:firstLine="753"/>
        <w:spacing w:after="0" w:line="255" w:lineRule="auto"/>
        <w:tabs>
          <w:tab w:leader="none" w:pos="198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Lessor, the Administrative Agent and each of the Participants shall convey to the Lessee any net proceeds (that is, after deducting all reasonable and documented costs and expenses incurred by Lessor, Administrative Agent or any Participant incident to collecting any such proceeds of the Event of Loss or Specified Significant Environmental Event, including, without limitation, reasonable fees and expenses for counsel, subject to the limitations set forth in Section 15.17 of the Participation Agreement) with respect to the Event of Loss or Specified Significant Environmental Event giving rise to the termination of this Lease theretofore received by Lessor, the Administrative Agent or such Participant, as applicable, or, at the request of the Lessee, to the extent actually received and if acceptable to Lessor in its sole judgment, Lessor shall apply such amounts against sums due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-1355725</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EVENTS OF DEFAULT</w:t>
      </w:r>
    </w:p>
    <w:p>
      <w:pPr>
        <w:spacing w:after="0" w:line="211" w:lineRule="exact"/>
        <w:rPr>
          <w:sz w:val="20"/>
          <w:szCs w:val="20"/>
          <w:color w:val="auto"/>
        </w:rPr>
      </w:pPr>
    </w:p>
    <w:p>
      <w:pPr>
        <w:ind w:right="80" w:firstLine="594"/>
        <w:spacing w:after="0" w:line="264" w:lineRule="auto"/>
        <w:rPr>
          <w:sz w:val="20"/>
          <w:szCs w:val="20"/>
          <w:color w:val="auto"/>
        </w:rPr>
      </w:pPr>
      <w:r>
        <w:rPr>
          <w:rFonts w:ascii="Arial" w:cs="Arial" w:eastAsia="Arial" w:hAnsi="Arial"/>
          <w:sz w:val="18"/>
          <w:szCs w:val="18"/>
          <w:i w:val="1"/>
          <w:iCs w:val="1"/>
          <w:color w:val="auto"/>
        </w:rPr>
        <w:t>Section 16.1. Events of Default</w:t>
      </w:r>
      <w:r>
        <w:rPr>
          <w:rFonts w:ascii="Arial" w:cs="Arial" w:eastAsia="Arial" w:hAnsi="Arial"/>
          <w:sz w:val="18"/>
          <w:szCs w:val="18"/>
          <w:color w:val="auto"/>
        </w:rPr>
        <w:t>. The occurrence of any one or more of the following events (whether such event shall be voluntary or involuntary</w:t>
      </w:r>
      <w:r>
        <w:rPr>
          <w:rFonts w:ascii="Arial" w:cs="Arial" w:eastAsia="Arial" w:hAnsi="Arial"/>
          <w:sz w:val="18"/>
          <w:szCs w:val="18"/>
          <w:i w:val="1"/>
          <w:iCs w:val="1"/>
          <w:color w:val="auto"/>
        </w:rPr>
        <w:t xml:space="preserve"> </w:t>
      </w:r>
      <w:r>
        <w:rPr>
          <w:rFonts w:ascii="Arial" w:cs="Arial" w:eastAsia="Arial" w:hAnsi="Arial"/>
          <w:sz w:val="18"/>
          <w:szCs w:val="18"/>
          <w:color w:val="auto"/>
        </w:rPr>
        <w:t>or come about or be effected by operation of law or pursuant to or in compliance with any judgment, decree or order of any court or any order, rule or regulation of any administrative or governmental body) shall constitute an “</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p>
      <w:pPr>
        <w:spacing w:after="0" w:line="181" w:lineRule="exact"/>
        <w:rPr>
          <w:sz w:val="20"/>
          <w:szCs w:val="20"/>
          <w:color w:val="auto"/>
        </w:rPr>
      </w:pPr>
    </w:p>
    <w:p>
      <w:pPr>
        <w:ind w:left="1940" w:hanging="514"/>
        <w:spacing w:after="0"/>
        <w:tabs>
          <w:tab w:leader="none" w:pos="1940" w:val="left"/>
        </w:tabs>
        <w:numPr>
          <w:ilvl w:val="2"/>
          <w:numId w:val="222"/>
        </w:numPr>
        <w:rPr>
          <w:rFonts w:ascii="Arial" w:cs="Arial" w:eastAsia="Arial" w:hAnsi="Arial"/>
          <w:sz w:val="18"/>
          <w:szCs w:val="18"/>
          <w:color w:val="auto"/>
        </w:rPr>
      </w:pPr>
      <w:r>
        <w:rPr>
          <w:rFonts w:ascii="Arial" w:cs="Arial" w:eastAsia="Arial" w:hAnsi="Arial"/>
          <w:sz w:val="18"/>
          <w:szCs w:val="18"/>
          <w:color w:val="auto"/>
        </w:rPr>
        <w:t>the occurrence of a Payment Default;</w:t>
      </w:r>
    </w:p>
    <w:p>
      <w:pPr>
        <w:spacing w:after="0" w:line="225" w:lineRule="exact"/>
        <w:rPr>
          <w:rFonts w:ascii="Arial" w:cs="Arial" w:eastAsia="Arial" w:hAnsi="Arial"/>
          <w:sz w:val="18"/>
          <w:szCs w:val="18"/>
          <w:color w:val="auto"/>
        </w:rPr>
      </w:pPr>
    </w:p>
    <w:p>
      <w:pPr>
        <w:ind w:left="1960" w:hanging="547"/>
        <w:spacing w:after="0"/>
        <w:tabs>
          <w:tab w:leader="none" w:pos="1960" w:val="left"/>
        </w:tabs>
        <w:numPr>
          <w:ilvl w:val="2"/>
          <w:numId w:val="222"/>
        </w:numPr>
        <w:rPr>
          <w:rFonts w:ascii="Arial" w:cs="Arial" w:eastAsia="Arial" w:hAnsi="Arial"/>
          <w:sz w:val="18"/>
          <w:szCs w:val="18"/>
          <w:color w:val="auto"/>
        </w:rPr>
      </w:pPr>
      <w:r>
        <w:rPr>
          <w:rFonts w:ascii="Arial" w:cs="Arial" w:eastAsia="Arial" w:hAnsi="Arial"/>
          <w:sz w:val="18"/>
          <w:szCs w:val="18"/>
          <w:color w:val="auto"/>
        </w:rPr>
        <w:t>the Lessee shall fail to maintain insurance as required by Section 13.1 and Section 13.2 of this Lease;</w:t>
      </w:r>
    </w:p>
    <w:p>
      <w:pPr>
        <w:spacing w:after="0" w:line="225" w:lineRule="exact"/>
        <w:rPr>
          <w:rFonts w:ascii="Arial" w:cs="Arial" w:eastAsia="Arial" w:hAnsi="Arial"/>
          <w:sz w:val="18"/>
          <w:szCs w:val="18"/>
          <w:color w:val="auto"/>
        </w:rPr>
      </w:pPr>
    </w:p>
    <w:p>
      <w:pPr>
        <w:ind w:left="660" w:right="60" w:firstLine="753"/>
        <w:spacing w:after="0" w:line="288" w:lineRule="auto"/>
        <w:tabs>
          <w:tab w:leader="none" w:pos="1967" w:val="left"/>
        </w:tabs>
        <w:numPr>
          <w:ilvl w:val="1"/>
          <w:numId w:val="223"/>
        </w:numPr>
        <w:rPr>
          <w:rFonts w:ascii="Arial" w:cs="Arial" w:eastAsia="Arial" w:hAnsi="Arial"/>
          <w:sz w:val="16"/>
          <w:szCs w:val="16"/>
          <w:color w:val="auto"/>
        </w:rPr>
      </w:pPr>
      <w:r>
        <w:rPr>
          <w:rFonts w:ascii="Arial" w:cs="Arial" w:eastAsia="Arial" w:hAnsi="Arial"/>
          <w:sz w:val="16"/>
          <w:szCs w:val="16"/>
          <w:color w:val="auto"/>
        </w:rPr>
        <w:t>(i) the Lessee shall fail to observe or perform any covenant, condition or agreement applicable to it (or its Subsidiaries, to the extent applicable) contained in Sections 9.1 of the Participation Agreement (solely with respect to Lessee’s existence) or (ii) any Guarantor shall fail to observe or perform any covenant, condition or agreement applicable to it (or its Subsidiaries, to the extent applicable) contained in Sections 8(b)</w:t>
      </w:r>
    </w:p>
    <w:p>
      <w:pPr>
        <w:ind w:left="660" w:right="60" w:hanging="4"/>
        <w:spacing w:after="0" w:line="261" w:lineRule="auto"/>
        <w:tabs>
          <w:tab w:leader="none" w:pos="87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of the Guaranty, 8(c) of the Guaranty (solely with respect to Guarantors’ existence), 8(h) of the Guaranty or Section 9 of the Guaranty (other than clause (y) of Section 9(b) of the Guaranty);</w:t>
      </w:r>
    </w:p>
    <w:p>
      <w:pPr>
        <w:spacing w:after="0" w:line="183" w:lineRule="exact"/>
        <w:rPr>
          <w:rFonts w:ascii="Arial" w:cs="Arial" w:eastAsia="Arial" w:hAnsi="Arial"/>
          <w:sz w:val="18"/>
          <w:szCs w:val="18"/>
          <w:color w:val="auto"/>
        </w:rPr>
      </w:pPr>
    </w:p>
    <w:p>
      <w:pPr>
        <w:ind w:left="660" w:firstLine="753"/>
        <w:spacing w:after="0" w:line="259" w:lineRule="auto"/>
        <w:tabs>
          <w:tab w:leader="none" w:pos="1964" w:val="left"/>
        </w:tabs>
        <w:numPr>
          <w:ilvl w:val="1"/>
          <w:numId w:val="224"/>
        </w:numPr>
        <w:rPr>
          <w:rFonts w:ascii="Arial" w:cs="Arial" w:eastAsia="Arial" w:hAnsi="Arial"/>
          <w:sz w:val="18"/>
          <w:szCs w:val="18"/>
          <w:color w:val="auto"/>
        </w:rPr>
      </w:pPr>
      <w:r>
        <w:rPr>
          <w:rFonts w:ascii="Arial" w:cs="Arial" w:eastAsia="Arial" w:hAnsi="Arial"/>
          <w:sz w:val="18"/>
          <w:szCs w:val="18"/>
          <w:color w:val="auto"/>
        </w:rPr>
        <w:t>any representation, warranty or statement made or deemed to be made by or on behalf of Lessee or any Guarantor, as applicable, in or in connection with any Operative Document to which it is a party or in any report, certificate, financial statement or other document furnished pursuant to or in connection with this Lease or any other Operative Document (including any amendment or modification thereof or waiver thereunder) shall prove to have been incorrect in any material respect when made or deemed made;</w:t>
      </w:r>
    </w:p>
    <w:p>
      <w:pPr>
        <w:spacing w:after="0" w:line="186" w:lineRule="exact"/>
        <w:rPr>
          <w:rFonts w:ascii="Arial" w:cs="Arial" w:eastAsia="Arial" w:hAnsi="Arial"/>
          <w:sz w:val="18"/>
          <w:szCs w:val="18"/>
          <w:color w:val="auto"/>
        </w:rPr>
      </w:pPr>
    </w:p>
    <w:p>
      <w:pPr>
        <w:ind w:left="660" w:right="460" w:firstLine="753"/>
        <w:spacing w:after="0" w:line="308" w:lineRule="auto"/>
        <w:tabs>
          <w:tab w:leader="none" w:pos="1967" w:val="left"/>
        </w:tabs>
        <w:numPr>
          <w:ilvl w:val="1"/>
          <w:numId w:val="224"/>
        </w:numPr>
        <w:rPr>
          <w:rFonts w:ascii="Arial" w:cs="Arial" w:eastAsia="Arial" w:hAnsi="Arial"/>
          <w:sz w:val="17"/>
          <w:szCs w:val="17"/>
          <w:color w:val="auto"/>
        </w:rPr>
      </w:pPr>
      <w:r>
        <w:rPr>
          <w:rFonts w:ascii="Arial" w:cs="Arial" w:eastAsia="Arial" w:hAnsi="Arial"/>
          <w:sz w:val="17"/>
          <w:szCs w:val="17"/>
          <w:color w:val="auto"/>
        </w:rPr>
        <w:t>Lessee or any Guarantor, as applicable, shall fail to observe or perform any covenant, condition or agreement applicable to it contained in the Operative Documents (other than those specified in clause (a), (b) or (c) of this Section 16.1) or any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91" w:lineRule="auto"/>
        <w:rPr>
          <w:sz w:val="20"/>
          <w:szCs w:val="20"/>
          <w:color w:val="auto"/>
        </w:rPr>
      </w:pPr>
      <w:r>
        <w:rPr>
          <w:rFonts w:ascii="Arial" w:cs="Arial" w:eastAsia="Arial" w:hAnsi="Arial"/>
          <w:sz w:val="16"/>
          <w:szCs w:val="16"/>
          <w:color w:val="auto"/>
        </w:rPr>
        <w:t xml:space="preserve">other Operative Document, and such failure shall continue unremedied for a period of thirty (30) days after notice thereof from the Administrative Agent or the Lessor to the Lessee;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failure is capable of cure but cannot be cured by diligent efforts within such thirty</w:t>
      </w:r>
    </w:p>
    <w:p>
      <w:pPr>
        <w:ind w:left="660" w:right="60" w:hanging="4"/>
        <w:spacing w:after="0" w:line="255" w:lineRule="auto"/>
        <w:tabs>
          <w:tab w:leader="none" w:pos="100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day period but such diligent efforts shall be properly commenced within such thirty (30) day cure period and the Lessee is diligently pursuing, and shall continue to pursue diligently, remedy of such failure, the cure period shall be extended for an additional ninety (90) days, but not to extend beyond the Expiration Date;</w:t>
      </w:r>
    </w:p>
    <w:p>
      <w:pPr>
        <w:spacing w:after="0" w:line="190" w:lineRule="exact"/>
        <w:rPr>
          <w:rFonts w:ascii="Arial" w:cs="Arial" w:eastAsia="Arial" w:hAnsi="Arial"/>
          <w:sz w:val="18"/>
          <w:szCs w:val="18"/>
          <w:color w:val="auto"/>
        </w:rPr>
      </w:pPr>
    </w:p>
    <w:p>
      <w:pPr>
        <w:jc w:val="both"/>
        <w:ind w:left="660" w:firstLine="791"/>
        <w:spacing w:after="0" w:line="264" w:lineRule="auto"/>
        <w:tabs>
          <w:tab w:leader="none" w:pos="1959" w:val="left"/>
        </w:tabs>
        <w:numPr>
          <w:ilvl w:val="2"/>
          <w:numId w:val="225"/>
        </w:numPr>
        <w:rPr>
          <w:rFonts w:ascii="Arial" w:cs="Arial" w:eastAsia="Arial" w:hAnsi="Arial"/>
          <w:sz w:val="18"/>
          <w:szCs w:val="18"/>
          <w:color w:val="auto"/>
        </w:rPr>
      </w:pPr>
      <w:r>
        <w:rPr>
          <w:rFonts w:ascii="Arial" w:cs="Arial" w:eastAsia="Arial" w:hAnsi="Arial"/>
          <w:sz w:val="18"/>
          <w:szCs w:val="18"/>
          <w:color w:val="auto"/>
        </w:rPr>
        <w:t>Lessee, any Guarantor or any Material Subsidiary shall fail to make any payment (whether of principal or interest and regardless of amount) in respect of any Material Indebtedness of Lessee, such Guarantor or Material Subsidiary, as applicable, when and as the same shall become due and payable, which is not cured within any applicable grace period therefor;</w:t>
      </w:r>
    </w:p>
    <w:p>
      <w:pPr>
        <w:spacing w:after="0" w:line="181" w:lineRule="exact"/>
        <w:rPr>
          <w:rFonts w:ascii="Arial" w:cs="Arial" w:eastAsia="Arial" w:hAnsi="Arial"/>
          <w:sz w:val="18"/>
          <w:szCs w:val="18"/>
          <w:color w:val="auto"/>
        </w:rPr>
      </w:pPr>
    </w:p>
    <w:p>
      <w:pPr>
        <w:ind w:left="660" w:right="80" w:firstLine="748"/>
        <w:spacing w:after="0" w:line="290" w:lineRule="auto"/>
        <w:tabs>
          <w:tab w:leader="none" w:pos="1973" w:val="left"/>
        </w:tabs>
        <w:numPr>
          <w:ilvl w:val="1"/>
          <w:numId w:val="225"/>
        </w:numPr>
        <w:rPr>
          <w:rFonts w:ascii="Arial" w:cs="Arial" w:eastAsia="Arial" w:hAnsi="Arial"/>
          <w:sz w:val="16"/>
          <w:szCs w:val="16"/>
          <w:color w:val="auto"/>
        </w:rPr>
      </w:pPr>
      <w:r>
        <w:rPr>
          <w:rFonts w:ascii="Arial" w:cs="Arial" w:eastAsia="Arial" w:hAnsi="Arial"/>
          <w:sz w:val="16"/>
          <w:szCs w:val="16"/>
          <w:color w:val="auto"/>
        </w:rPr>
        <w:t xml:space="preserve">any event or condition occurs that results in any Material Indebtedness becoming due prior to its scheduled maturity or that enables or permits, after the expiration of any applicable grace period, and delivery of any applicable required notice, provided in the applicable agreement or instrument under which such Indebtedness was created,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(g) shall not apply to (i) secured Material Indebtedness that becomes due as a result of the sale, transfer or other disposition (including as a result of a casualty or condemnation event) of the property or assets securing such Indebtedness (to the extent such sale, transfer or other disposition is not prohibited under the Operative Documents), (ii) any Material Indebtedness that becomes due as a result of a refinancing thereof permitted by Section 9(a) of the Guaranty, (iii) any reimbursement obligation in respect of a letter of credit,</w:t>
      </w:r>
    </w:p>
    <w:p>
      <w:pPr>
        <w:sectPr>
          <w:pgSz w:w="11900" w:h="16933" w:orient="portrait"/>
          <w:cols w:equalWidth="0" w:num="1">
            <w:col w:w="11400"/>
          </w:cols>
          <w:pgMar w:left="240" w:top="125" w:right="259" w:bottom="0" w:gutter="0" w:footer="0" w:header="0"/>
        </w:sectPr>
      </w:pPr>
    </w:p>
    <w:bookmarkStart w:id="100" w:name="page101"/>
    <w:bookmarkEnd w:id="100"/>
    <w:p>
      <w:pPr>
        <w:ind w:left="660"/>
        <w:spacing w:after="0" w:line="271" w:lineRule="auto"/>
        <w:rPr>
          <w:sz w:val="20"/>
          <w:szCs w:val="20"/>
          <w:color w:val="auto"/>
        </w:rPr>
      </w:pPr>
      <w:r>
        <w:rPr>
          <w:rFonts w:ascii="Arial" w:cs="Arial" w:eastAsia="Arial" w:hAnsi="Arial"/>
          <w:sz w:val="17"/>
          <w:szCs w:val="17"/>
          <w:color w:val="auto"/>
        </w:rPr>
        <w:t>bankers acceptance or similar obligation as a result of a drawing thereunder by a beneficiary thereunder in accordance with its terms, (iv) any such Material Indebtedness that is mandatorily prepayable prior to the scheduled maturity thereof with the proceeds of the issuance of capital stock, the incurrence of other Indebtedness or the sale or other disposition of any assets, so long as such Material Indebtedness that has become due is so prepaid in full with such net proceeds required to be used to prepay such Material Indebtedness when due (or within any applicable grace period) and such event shall not have otherwise resulted in an event of default with respect to such Material Indebtedness, (v) any redemption, repurchase, conversion or settlement with respect to any Permitted Convertible Notes pursuant to their terms unless such redemption, repurchase, conversion or settlement results from a default thereunder or an event of the type that constitutes an Event of Default and (vi) any early payment requirement or unwinding or termination with respect to any Permitted Call Spread Swap Agreement;</w:t>
      </w:r>
    </w:p>
    <w:p>
      <w:pPr>
        <w:spacing w:after="0" w:line="179" w:lineRule="exact"/>
        <w:rPr>
          <w:sz w:val="20"/>
          <w:szCs w:val="20"/>
          <w:color w:val="auto"/>
        </w:rPr>
      </w:pPr>
    </w:p>
    <w:p>
      <w:pPr>
        <w:ind w:left="660" w:right="460" w:firstLine="754"/>
        <w:spacing w:after="0" w:line="308" w:lineRule="auto"/>
        <w:tabs>
          <w:tab w:leader="none" w:pos="1965" w:val="left"/>
        </w:tabs>
        <w:numPr>
          <w:ilvl w:val="0"/>
          <w:numId w:val="226"/>
        </w:numPr>
        <w:rPr>
          <w:rFonts w:ascii="Arial" w:cs="Arial" w:eastAsia="Arial" w:hAnsi="Arial"/>
          <w:sz w:val="17"/>
          <w:szCs w:val="17"/>
          <w:color w:val="auto"/>
        </w:rPr>
      </w:pPr>
      <w:r>
        <w:rPr>
          <w:rFonts w:ascii="Arial" w:cs="Arial" w:eastAsia="Arial" w:hAnsi="Arial"/>
          <w:sz w:val="17"/>
          <w:szCs w:val="17"/>
          <w:color w:val="auto"/>
        </w:rPr>
        <w:t>an involuntary proceeding shall be commenced or an involuntary petition shall be filed seeking (i) liquidation, examinership, reorganization or other relief in respect of Lessee, any Guarantor or any Material Subsidiary or any of their debts, or of a</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80"/>
        <w:spacing w:after="0" w:line="302" w:lineRule="auto"/>
        <w:rPr>
          <w:sz w:val="20"/>
          <w:szCs w:val="20"/>
          <w:color w:val="auto"/>
        </w:rPr>
      </w:pPr>
      <w:r>
        <w:rPr>
          <w:rFonts w:ascii="Arial" w:cs="Arial" w:eastAsia="Arial" w:hAnsi="Arial"/>
          <w:sz w:val="16"/>
          <w:szCs w:val="16"/>
          <w:color w:val="auto"/>
        </w:rPr>
        <w:t>substantial part of any of their assets, under any federal, state or foreign bankruptcy, insolvency, examinership, receivership or similar law now or hereafter in effect or (ii) the appointment of a receiver, trustee, custodian, examiner, sequestrator, conservator or similar official for Lessee, any Guarantor or any Material Subsidiary or for a substantial part of its assets, and, in any such case, such proceeding or petition shall continue undismissed, undischarged or unstayed for sixty (60) days or an order or decree approving or ordering any of the foregoing shall be entered;</w:t>
      </w:r>
    </w:p>
    <w:p>
      <w:pPr>
        <w:spacing w:after="0" w:line="154" w:lineRule="exact"/>
        <w:rPr>
          <w:sz w:val="20"/>
          <w:szCs w:val="20"/>
          <w:color w:val="auto"/>
        </w:rPr>
      </w:pPr>
    </w:p>
    <w:p>
      <w:pPr>
        <w:ind w:left="660" w:right="20" w:firstLine="748"/>
        <w:spacing w:after="0" w:line="255" w:lineRule="auto"/>
        <w:tabs>
          <w:tab w:leader="none" w:pos="197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Lessee, any Guarantor or any Material Subsidiary shall (i) voluntarily commence any proceeding or file any petition seeking liquidation, reorganization or other relief under any federal, state or foreign bankruptcy, insolvency, examinership, receivership or similar law now or hereafter in effect, (ii) consent to the institution of, or fail to contest in a timely and appropriate manner, any proceeding or petition described in Section 16.1(h), (iii) apply for or consent to the appointment of a receiver, trustee, custodian, examiner, sequestrator, conservator or similar official for Lessee, any Subsidiary or any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89" w:lineRule="exact"/>
        <w:rPr>
          <w:rFonts w:ascii="Arial" w:cs="Arial" w:eastAsia="Arial" w:hAnsi="Arial"/>
          <w:sz w:val="18"/>
          <w:szCs w:val="18"/>
          <w:color w:val="auto"/>
        </w:rPr>
      </w:pPr>
    </w:p>
    <w:p>
      <w:pPr>
        <w:ind w:left="660" w:right="360" w:firstLine="748"/>
        <w:spacing w:after="0" w:line="277" w:lineRule="auto"/>
        <w:tabs>
          <w:tab w:leader="none" w:pos="19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Lessee, any Guarantor or any Material Subsidiary shall become unable, admit in writing its inability or fail generally to pay its debts as they become due;</w:t>
      </w:r>
    </w:p>
    <w:p>
      <w:pPr>
        <w:spacing w:after="0" w:line="170" w:lineRule="exact"/>
        <w:rPr>
          <w:rFonts w:ascii="Arial" w:cs="Arial" w:eastAsia="Arial" w:hAnsi="Arial"/>
          <w:sz w:val="18"/>
          <w:szCs w:val="18"/>
          <w:color w:val="auto"/>
        </w:rPr>
      </w:pPr>
    </w:p>
    <w:p>
      <w:pPr>
        <w:ind w:left="660" w:right="40" w:firstLine="748"/>
        <w:spacing w:after="0" w:line="255" w:lineRule="auto"/>
        <w:tabs>
          <w:tab w:leader="none" w:pos="1959" w:val="left"/>
        </w:tabs>
        <w:numPr>
          <w:ilvl w:val="0"/>
          <w:numId w:val="227"/>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$75,000,000 (to the extent not paid, fully bonded or covered by a solvent and unaffiliated insurer that has not denied coverage) shall be rendered against Lessee, any Guarantor, any Material Subsidiary or any combination thereof and the same shall remain undischarged, unvacated or undismissed for a period of sixty (60) consecutive days during which execution shall not be effectively stayed (by reason of pending appeal or otherwise), or any action shall be legally taken by a judgment creditor to attach or levy upon any assets of Lessee, any Guarantor or any Material Subsidiary to enforce any such judgment and such action shall not have been stayed;</w:t>
      </w:r>
    </w:p>
    <w:p>
      <w:pPr>
        <w:spacing w:after="0" w:line="193" w:lineRule="exact"/>
        <w:rPr>
          <w:rFonts w:ascii="Arial" w:cs="Arial" w:eastAsia="Arial" w:hAnsi="Arial"/>
          <w:sz w:val="18"/>
          <w:szCs w:val="18"/>
          <w:color w:val="auto"/>
        </w:rPr>
      </w:pPr>
    </w:p>
    <w:p>
      <w:pPr>
        <w:ind w:left="660" w:right="140" w:firstLine="748"/>
        <w:spacing w:after="0" w:line="277" w:lineRule="auto"/>
        <w:tabs>
          <w:tab w:leader="none" w:pos="197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an ERISA Event shall have occurred that, when taken together with all other ERISA Events that have occurred, could reasonably be expected to result in a Material Adverse Effect;</w:t>
      </w:r>
    </w:p>
    <w:p>
      <w:pPr>
        <w:spacing w:after="0" w:line="170" w:lineRule="exact"/>
        <w:rPr>
          <w:rFonts w:ascii="Arial" w:cs="Arial" w:eastAsia="Arial" w:hAnsi="Arial"/>
          <w:sz w:val="18"/>
          <w:szCs w:val="18"/>
          <w:color w:val="auto"/>
        </w:rPr>
      </w:pPr>
    </w:p>
    <w:p>
      <w:pPr>
        <w:ind w:left="1960" w:hanging="552"/>
        <w:spacing w:after="0"/>
        <w:tabs>
          <w:tab w:leader="none" w:pos="19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225" w:lineRule="exact"/>
        <w:rPr>
          <w:rFonts w:ascii="Arial" w:cs="Arial" w:eastAsia="Arial" w:hAnsi="Arial"/>
          <w:sz w:val="18"/>
          <w:szCs w:val="18"/>
          <w:color w:val="auto"/>
        </w:rPr>
      </w:pPr>
    </w:p>
    <w:p>
      <w:pPr>
        <w:ind w:left="660" w:right="360" w:firstLine="748"/>
        <w:spacing w:after="0" w:line="257" w:lineRule="auto"/>
        <w:tabs>
          <w:tab w:leader="none" w:pos="1959"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 any Operative Document to which Lessee or a Guarantor is a party, after execution thereof and for any reason other than as expressly permitted hereunder or thereunder or in satisfaction in full of the Obligations, ceases to be valid, binding and enforceable against the Lessee or any Guarantors party thereto in accordance with its terms in all material respects (or Lessee, any Guarantor or any Material Subsidiary shall challenge the enforceability of any Operative Document or shall assert in writing, or engage in any action or inaction based on any such assertion, that any provision of any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spacing w:after="0" w:line="259" w:lineRule="auto"/>
        <w:rPr>
          <w:sz w:val="20"/>
          <w:szCs w:val="20"/>
          <w:color w:val="auto"/>
        </w:rPr>
      </w:pPr>
      <w:r>
        <w:rPr>
          <w:rFonts w:ascii="Arial" w:cs="Arial" w:eastAsia="Arial" w:hAnsi="Arial"/>
          <w:sz w:val="18"/>
          <w:szCs w:val="18"/>
          <w:color w:val="auto"/>
        </w:rPr>
        <w:t>the Operative Documents has ceased to be or otherwise is not valid, binding and enforceable in accordance with its terms, other than as expressly permitted thereunder or in satisfaction in full in cash of the Obligations then due and payable) or (ii) the security interest and lien securing Lessee’s obligations under the Operative Documents, in whole or in part, ceases to be a perfected first priority security interest and lien (subject only to Permitted Liens);</w:t>
      </w:r>
    </w:p>
    <w:p>
      <w:pPr>
        <w:spacing w:after="0" w:line="187" w:lineRule="exact"/>
        <w:rPr>
          <w:sz w:val="20"/>
          <w:szCs w:val="20"/>
          <w:color w:val="auto"/>
        </w:rPr>
      </w:pPr>
    </w:p>
    <w:p>
      <w:pPr>
        <w:ind w:left="660" w:right="140" w:firstLine="748"/>
        <w:spacing w:after="0" w:line="259" w:lineRule="auto"/>
        <w:tabs>
          <w:tab w:leader="none" w:pos="1959"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any authorization or approval or other action by any Governmental Authority or regulatory body required for the execution, delivery or performance of the Participation Agreement or any other Operative Document by Lessee or any Guarantor shall fail to have been obtained or be terminated, revoked or rescinded or shall otherwise no longer be in full force and effect, to the extent the foregoing could reasonably be expected to have a Material Adverse Effect; or</w:t>
      </w:r>
    </w:p>
    <w:p>
      <w:pPr>
        <w:spacing w:after="0" w:line="186" w:lineRule="exact"/>
        <w:rPr>
          <w:rFonts w:ascii="Arial" w:cs="Arial" w:eastAsia="Arial" w:hAnsi="Arial"/>
          <w:sz w:val="18"/>
          <w:szCs w:val="18"/>
          <w:color w:val="auto"/>
        </w:rPr>
      </w:pPr>
    </w:p>
    <w:p>
      <w:pPr>
        <w:ind w:left="660" w:right="40" w:firstLine="748"/>
        <w:spacing w:after="0" w:line="293" w:lineRule="auto"/>
        <w:tabs>
          <w:tab w:leader="none" w:pos="1959"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a judicial or nonjudicial forfeiture or seizure proceeding is commenced by a Governmental Authority and remains pending with respect to the Leased Property, on the grounds that the Leased Property or any part thereof had been used to commit or facilitate the commission of a criminal offense by any Person, including any tenant, pursuant to any Law, including under the Controlled Substances Act or the Civil Asset Forfeiture Reform Act, regardless of whether or not the Leased Property or the Assignment of Leases shall become subject to forfeiture or seizure in connection therewith;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Event of Default shall occur under this Section 16.1(p) unless Lessee fails to have the enforcement action stayed (so long as such stay is not lifted) or resolved within sixty (60) days after the commencement of such proceedings.</w:t>
      </w:r>
    </w:p>
    <w:p>
      <w:pPr>
        <w:spacing w:after="0" w:line="165" w:lineRule="exact"/>
        <w:rPr>
          <w:sz w:val="20"/>
          <w:szCs w:val="20"/>
          <w:color w:val="auto"/>
        </w:rPr>
      </w:pPr>
    </w:p>
    <w:p>
      <w:pPr>
        <w:ind w:right="140" w:firstLine="600"/>
        <w:spacing w:after="0" w:line="259" w:lineRule="auto"/>
        <w:rPr>
          <w:sz w:val="20"/>
          <w:szCs w:val="20"/>
          <w:color w:val="auto"/>
        </w:rPr>
      </w:pPr>
      <w:r>
        <w:rPr>
          <w:rFonts w:ascii="Arial" w:cs="Arial" w:eastAsia="Arial" w:hAnsi="Arial"/>
          <w:sz w:val="18"/>
          <w:szCs w:val="18"/>
          <w:i w:val="1"/>
          <w:iCs w:val="1"/>
          <w:color w:val="auto"/>
        </w:rPr>
        <w:t>Section 16.2. Remedies</w:t>
      </w:r>
      <w:r>
        <w:rPr>
          <w:rFonts w:ascii="Arial" w:cs="Arial" w:eastAsia="Arial" w:hAnsi="Arial"/>
          <w:sz w:val="18"/>
          <w:szCs w:val="18"/>
          <w:color w:val="auto"/>
        </w:rPr>
        <w:t>. Upon the occurrence of any Event of Default and at any time thereafter, Lessor may, so long as such Event of Default is</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do one or more of the following as Lessor in its sole discretion shall determine, without limiting any other right or remedy Lessor may have on account of such Event of Default, but subject to the rights of the Lessee to purchase the Leased Property pursuant to the terms and within the time periods as set forth in Section 18.1:</w:t>
      </w:r>
    </w:p>
    <w:p>
      <w:pPr>
        <w:sectPr>
          <w:pgSz w:w="11900" w:h="16838" w:orient="portrait"/>
          <w:cols w:equalWidth="0" w:num="1">
            <w:col w:w="11420"/>
          </w:cols>
          <w:pgMar w:left="240" w:top="125" w:right="239" w:bottom="0" w:gutter="0" w:footer="0" w:header="0"/>
        </w:sectPr>
      </w:pPr>
    </w:p>
    <w:bookmarkStart w:id="101" w:name="page102"/>
    <w:bookmarkEnd w:id="101"/>
    <w:p>
      <w:pPr>
        <w:spacing w:after="0" w:line="137" w:lineRule="exact"/>
        <w:rPr>
          <w:sz w:val="20"/>
          <w:szCs w:val="20"/>
          <w:color w:val="auto"/>
        </w:rPr>
      </w:pPr>
    </w:p>
    <w:p>
      <w:pPr>
        <w:ind w:right="60" w:firstLine="748"/>
        <w:spacing w:after="0" w:line="255" w:lineRule="auto"/>
        <w:tabs>
          <w:tab w:leader="none" w:pos="128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Lessor may, by notice to the Lessee, rescind or terminate this Lease as to any or all of the Leased Property as of the date specified in such notice;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(i) no reletting or taking of possession of the Leased Property (or any portion thereof) by Lessor will be construed as an election on Lessor’s part to terminate this Lease unless a written notice of such intention is given to the Lessee, (ii) notwithstanding any reletting or taking of possession, Lessor may at any time thereafter elect to terminate this Lease for a continuing Event of Default and (iii) no act or thing done by Lessor or any of its agents, representatives or employees and no agreement accepting a surrender of the Leased Property shall be valid unless the same be made in writing and executed by Lessor;</w:t>
      </w:r>
    </w:p>
    <w:p>
      <w:pPr>
        <w:spacing w:after="0" w:line="193" w:lineRule="exact"/>
        <w:rPr>
          <w:rFonts w:ascii="Arial" w:cs="Arial" w:eastAsia="Arial" w:hAnsi="Arial"/>
          <w:sz w:val="18"/>
          <w:szCs w:val="18"/>
          <w:color w:val="auto"/>
        </w:rPr>
      </w:pPr>
    </w:p>
    <w:p>
      <w:pPr>
        <w:ind w:right="600" w:firstLine="748"/>
        <w:spacing w:after="0" w:line="277" w:lineRule="auto"/>
        <w:tabs>
          <w:tab w:leader="none" w:pos="129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Lessor may (i) demand that the Lessee, and the Lessee shall upon the written demand of Lessor, return the Leased Property promptly to Lessor in the manner</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and condition required by, and otherwise in accordance with all of the provisions of the Participation Agreement and Article IX and Sections 8.2 and 14.2 hereof, and Lessee shall comply with the requirements of Section 15.2 to the extent requested by Lessor, as if the Leased Property were being returned at the end of the Term, and Lessor shall not be liable for the reimbursement of the Lessee for any costs and expenses incurred by the Lessee in connection therewith and (ii) without prejudice to any other remedy which Lessor may have for possession of the Leased Property, and to the extent and in the manner permitted by Applicable Laws, enter upon the Site and take immediate possession of (to the exclusion of the Lessee) the Leased Property or any part thereof and expel or remove the Lessee, by summary proceedings or otherwise, all without liability to the Lessee for or by reason of such entry or taking of possession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Lessor shall remain liable for actual damages caused by its gross negligence or willful misconduct), whether for the restoration of damage to property caused by such taking or otherwise and, in addition to Lessor’s other damages, the Lessee shall be responsible for all actual and documented costs and expenses (which costs and expenses shall be reasonable if within the control of Lessor) incurred by Lessor and the Participants in connection with any reletting, including, without limitation, reasonable brokers’ fees and all actual costs of any reasonable alterations or repairs made by Lessor that are required to maintain the Leased Property in the condition required by this Lease;</w:t>
      </w:r>
    </w:p>
    <w:p>
      <w:pPr>
        <w:spacing w:after="0" w:line="180" w:lineRule="exact"/>
        <w:rPr>
          <w:sz w:val="20"/>
          <w:szCs w:val="20"/>
          <w:color w:val="auto"/>
        </w:rPr>
      </w:pPr>
    </w:p>
    <w:p>
      <w:pPr>
        <w:ind w:right="80" w:firstLine="748"/>
        <w:spacing w:after="0" w:line="286" w:lineRule="auto"/>
        <w:tabs>
          <w:tab w:leader="none" w:pos="1303" w:val="left"/>
        </w:tabs>
        <w:numPr>
          <w:ilvl w:val="0"/>
          <w:numId w:val="230"/>
        </w:numPr>
        <w:rPr>
          <w:rFonts w:ascii="Arial" w:cs="Arial" w:eastAsia="Arial" w:hAnsi="Arial"/>
          <w:sz w:val="17"/>
          <w:szCs w:val="17"/>
          <w:color w:val="auto"/>
        </w:rPr>
      </w:pPr>
      <w:r>
        <w:rPr>
          <w:rFonts w:ascii="Arial" w:cs="Arial" w:eastAsia="Arial" w:hAnsi="Arial"/>
          <w:sz w:val="17"/>
          <w:szCs w:val="17"/>
          <w:color w:val="auto"/>
        </w:rPr>
        <w:t>Lessor may sell all or any part of the Leased Property at public or private sale, as Lessor may determine, free and clear of any rights of the Lessee with respect thereto (except to the extent required below if Lessor shall elect to exercise its rights thereunder) in which event the Lessee’s obligation to pay Basic Rent hereunder for periods commencing after the date of such sale shall be terminated;</w:t>
      </w:r>
    </w:p>
    <w:p>
      <w:pPr>
        <w:spacing w:after="0" w:line="165" w:lineRule="exact"/>
        <w:rPr>
          <w:rFonts w:ascii="Arial" w:cs="Arial" w:eastAsia="Arial" w:hAnsi="Arial"/>
          <w:sz w:val="17"/>
          <w:szCs w:val="17"/>
          <w:color w:val="auto"/>
        </w:rPr>
      </w:pPr>
    </w:p>
    <w:p>
      <w:pPr>
        <w:ind w:firstLine="748"/>
        <w:spacing w:after="0" w:line="269" w:lineRule="auto"/>
        <w:tabs>
          <w:tab w:leader="none" w:pos="1299" w:val="left"/>
        </w:tabs>
        <w:numPr>
          <w:ilvl w:val="0"/>
          <w:numId w:val="230"/>
        </w:numPr>
        <w:rPr>
          <w:rFonts w:ascii="Arial" w:cs="Arial" w:eastAsia="Arial" w:hAnsi="Arial"/>
          <w:sz w:val="17"/>
          <w:szCs w:val="17"/>
          <w:color w:val="auto"/>
        </w:rPr>
      </w:pPr>
      <w:r>
        <w:rPr>
          <w:rFonts w:ascii="Arial" w:cs="Arial" w:eastAsia="Arial" w:hAnsi="Arial"/>
          <w:sz w:val="17"/>
          <w:szCs w:val="17"/>
          <w:color w:val="auto"/>
        </w:rPr>
        <w:t>Lessor may, at its option, (i) elect not to terminate this Lease with respect to the Leased Property and continue to collect all Basic Rent, Supplemental Rent and all other amounts due Lessor (together with all costs of collection) and enforce the Lessee’s obligations under this Lease as and when the same become due, or are to be performed, and (ii) upon any abandonment of the Leased Property by the Lessee, Lessor may, in its sole and absolute discretion, elect not to terminate this Lease and may make the necessary repairs (and the Lessee shall pay the reasonable costs of such repairs) in order to relet the Leased Property, and relet the Leased Property or any part thereof (in place, if so elected by Lessor) for such term or terms (which may be for a term extending beyond the Term of this Lease) and at such rental or rentals and upon such other terms and conditions as Lessor in its reasonable discretion may deem advisable; and upon each such reletting all rentals actually received by Lessor from such reletting shall be applied to the Lessee’s obligations hereunder and the other Operative Documents in such order, proportion and priority as Lessor may elect in Lessor’s sole and absolute discretion. If such rentals received from such reletting during any period are less than the Rent with respect to the Leased Property to be paid during that period by the Lessee hereunder, the Lessee shall pay any deficiency, as calculated by Lessor, to Lessor on the next Payment Date;</w:t>
      </w:r>
    </w:p>
    <w:p>
      <w:pPr>
        <w:spacing w:after="0" w:line="18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748"/>
        <w:spacing w:after="0" w:line="254" w:lineRule="auto"/>
        <w:tabs>
          <w:tab w:leader="none" w:pos="130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Lessor may demand, by written notice to the Lessee, that the Lessee pay to Lessor within ten (10) Business Days after receipt of such notice an amount equal to the Lease Balance and all other amounts owing by Lessee to the Administrative Agent, if any, and/or the Participants under the Operative Documents (including, but without duplication, accrued and unpaid Rent), then upon Lessor’s receipt of the Lease Balance and all other amounts owing by Lessee to the Administrative Agent, if any, and/or the Participants under the Operative Documents (including, but without duplication, accrued and unpaid Rent), Lessor shall convey the Leased Property to the Lessee in accordance with Article XXI. Lessor acknowledges and agrees that upon the declaration of an Event of Default, to the maximum extent permitted by law, the Lessee waives any right to contest that the payment of the amount described in the preceding sentence constitutes the correct liquidated recourse sum due upon acceleration of this instrument;</w:t>
      </w:r>
    </w:p>
    <w:p>
      <w:pPr>
        <w:spacing w:after="0" w:line="192" w:lineRule="exact"/>
        <w:rPr>
          <w:rFonts w:ascii="Arial" w:cs="Arial" w:eastAsia="Arial" w:hAnsi="Arial"/>
          <w:sz w:val="18"/>
          <w:szCs w:val="18"/>
          <w:color w:val="auto"/>
        </w:rPr>
      </w:pPr>
    </w:p>
    <w:p>
      <w:pPr>
        <w:ind w:right="40" w:firstLine="748"/>
        <w:spacing w:after="0" w:line="257" w:lineRule="auto"/>
        <w:tabs>
          <w:tab w:leader="none" w:pos="1296" w:val="left"/>
        </w:tabs>
        <w:numPr>
          <w:ilvl w:val="0"/>
          <w:numId w:val="231"/>
        </w:numPr>
        <w:rPr>
          <w:rFonts w:ascii="Arial" w:cs="Arial" w:eastAsia="Arial" w:hAnsi="Arial"/>
          <w:sz w:val="18"/>
          <w:szCs w:val="18"/>
          <w:color w:val="auto"/>
        </w:rPr>
      </w:pPr>
      <w:r>
        <w:rPr>
          <w:rFonts w:ascii="Arial" w:cs="Arial" w:eastAsia="Arial" w:hAnsi="Arial"/>
          <w:sz w:val="18"/>
          <w:szCs w:val="18"/>
          <w:color w:val="auto"/>
        </w:rPr>
        <w:t>Lessor may exercise any other right or remedy that may be available to it under Applicable Laws, or proceed by appropriate court action (legal or equitable) to enforce the terms hereof or to recover damages for the breach hereof. Separate suits may be brought to collect any such damages for any period(s), and such suits shall not in any manner prejudice Lessor’s right to collect any such damages for any subsequent period(s), or Lessor may defer any such suit until after the expiration of the Term, in which event such suit shall be deemed not to have accrued until the expiration of the Term;</w:t>
      </w:r>
    </w:p>
    <w:p>
      <w:pPr>
        <w:spacing w:after="0" w:line="188" w:lineRule="exact"/>
        <w:rPr>
          <w:rFonts w:ascii="Arial" w:cs="Arial" w:eastAsia="Arial" w:hAnsi="Arial"/>
          <w:sz w:val="18"/>
          <w:szCs w:val="18"/>
          <w:color w:val="auto"/>
        </w:rPr>
      </w:pPr>
    </w:p>
    <w:p>
      <w:pPr>
        <w:ind w:right="100" w:firstLine="748"/>
        <w:spacing w:after="0" w:line="257" w:lineRule="auto"/>
        <w:tabs>
          <w:tab w:leader="none" w:pos="131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Lessor may retain and apply against the Lease Balance and all other amounts due and owing by the Lessee under the Operative Documents, in accordance with Section 5.3 of the Participation Agreement, all sums which Lessor would, absent such Event of Default, be required to pay to, or turn over to, the Lessee pursuant to the terms of this Lease and upon payment in full of the Lease Balance and all such amounts described above in this clause (g), the Leased Property shall be conveyed to Lessee in accordance with Section 21.1 of this Lease (except to the extent the Leased Property has been sold pursuant to this Section 16.2);</w:t>
      </w:r>
    </w:p>
    <w:p>
      <w:pPr>
        <w:spacing w:after="0" w:line="188" w:lineRule="exact"/>
        <w:rPr>
          <w:rFonts w:ascii="Arial" w:cs="Arial" w:eastAsia="Arial" w:hAnsi="Arial"/>
          <w:sz w:val="18"/>
          <w:szCs w:val="18"/>
          <w:color w:val="auto"/>
        </w:rPr>
      </w:pPr>
    </w:p>
    <w:p>
      <w:pPr>
        <w:ind w:right="20" w:firstLine="748"/>
        <w:spacing w:after="0" w:line="297" w:lineRule="auto"/>
        <w:tabs>
          <w:tab w:leader="none" w:pos="1299" w:val="left"/>
        </w:tabs>
        <w:numPr>
          <w:ilvl w:val="0"/>
          <w:numId w:val="231"/>
        </w:numPr>
        <w:rPr>
          <w:rFonts w:ascii="Arial" w:cs="Arial" w:eastAsia="Arial" w:hAnsi="Arial"/>
          <w:sz w:val="16"/>
          <w:szCs w:val="16"/>
          <w:color w:val="auto"/>
        </w:rPr>
      </w:pPr>
      <w:r>
        <w:rPr>
          <w:rFonts w:ascii="Arial" w:cs="Arial" w:eastAsia="Arial" w:hAnsi="Arial"/>
          <w:sz w:val="16"/>
          <w:szCs w:val="16"/>
          <w:color w:val="auto"/>
        </w:rPr>
        <w:t>if an Event of Default pursuant to Section 16.1(h) or (i) shall have occurred and be continuing, Lessor, as a matter of right and with notice to the Lessee, shall have the right to apply to any court having jurisdiction to appoint a receiver or receivers of the Leased Property, and the Lessee hereby irrevocably consents to any such appointment. Any such receiver(s) shall have all of the usual powers and duties of receivers in like or similar cases and all of the powers and duties of Lessor in case of entry onto the Site, and shall continue as such and exercise such powers until the date of confirmation of the sale of the Leased Property or the other Collateral unless such receivership is sooner terminated; or</w:t>
      </w:r>
    </w:p>
    <w:p>
      <w:pPr>
        <w:spacing w:after="0" w:line="158" w:lineRule="exact"/>
        <w:rPr>
          <w:rFonts w:ascii="Arial" w:cs="Arial" w:eastAsia="Arial" w:hAnsi="Arial"/>
          <w:sz w:val="16"/>
          <w:szCs w:val="16"/>
          <w:color w:val="auto"/>
        </w:rPr>
      </w:pPr>
    </w:p>
    <w:p>
      <w:pPr>
        <w:ind w:right="100" w:firstLine="748"/>
        <w:spacing w:after="0" w:line="342" w:lineRule="auto"/>
        <w:tabs>
          <w:tab w:leader="none" w:pos="1313" w:val="left"/>
        </w:tabs>
        <w:numPr>
          <w:ilvl w:val="0"/>
          <w:numId w:val="231"/>
        </w:numPr>
        <w:rPr>
          <w:rFonts w:ascii="Arial" w:cs="Arial" w:eastAsia="Arial" w:hAnsi="Arial"/>
          <w:sz w:val="16"/>
          <w:szCs w:val="16"/>
          <w:color w:val="auto"/>
        </w:rPr>
      </w:pPr>
      <w:r>
        <w:rPr>
          <w:rFonts w:ascii="Arial" w:cs="Arial" w:eastAsia="Arial" w:hAnsi="Arial"/>
          <w:sz w:val="16"/>
          <w:szCs w:val="16"/>
          <w:color w:val="auto"/>
        </w:rPr>
        <w:t>upon the occurrence of the Event of Default described in Section 16.1(h) or (i), whether or not another Event of Default described in one or more other clauses of Section 16.1 shall have been or thereafter is declared, this Lease shall terminate immediately without notice and</w:t>
      </w:r>
    </w:p>
    <w:p>
      <w:pPr>
        <w:sectPr>
          <w:pgSz w:w="11900" w:h="16975" w:orient="portrait"/>
          <w:cols w:equalWidth="0" w:num="1">
            <w:col w:w="10760"/>
          </w:cols>
          <w:pgMar w:left="900" w:top="125" w:right="239" w:bottom="0" w:gutter="0" w:footer="0" w:header="0"/>
        </w:sectPr>
      </w:pPr>
    </w:p>
    <w:bookmarkStart w:id="102" w:name="page103"/>
    <w:bookmarkEnd w:id="102"/>
    <w:p>
      <w:pPr>
        <w:jc w:val="center"/>
        <w:ind w:right="40"/>
        <w:spacing w:after="0"/>
        <w:rPr>
          <w:sz w:val="20"/>
          <w:szCs w:val="20"/>
          <w:color w:val="auto"/>
        </w:rPr>
      </w:pPr>
      <w:r>
        <w:rPr>
          <w:rFonts w:ascii="Arial" w:cs="Arial" w:eastAsia="Arial" w:hAnsi="Arial"/>
          <w:sz w:val="18"/>
          <w:szCs w:val="18"/>
          <w:color w:val="auto"/>
        </w:rPr>
        <w:t>Lessee shall immediately pay to the Administrative Agent, on behalf of Lessor, as and for liquidated damages and without limitation on 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40"/>
        <w:spacing w:after="0" w:line="308" w:lineRule="auto"/>
        <w:rPr>
          <w:sz w:val="20"/>
          <w:szCs w:val="20"/>
          <w:color w:val="auto"/>
        </w:rPr>
      </w:pPr>
      <w:r>
        <w:rPr>
          <w:rFonts w:ascii="Arial" w:cs="Arial" w:eastAsia="Arial" w:hAnsi="Arial"/>
          <w:sz w:val="17"/>
          <w:szCs w:val="17"/>
          <w:color w:val="auto"/>
        </w:rPr>
        <w:t>other remedies provided for herein, an amount equal to the Lease Balance and all other amounts owing by Lessee to the Administrative Agent, if any, and/or the Participants under the Operative Documents (including, but without duplication, accrued and unpaid Rent).</w:t>
      </w:r>
    </w:p>
    <w:p>
      <w:pPr>
        <w:spacing w:after="0" w:line="14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To the maximum extent permitted by law, the Lessee hereby waives (x) the benefit of any appraisement, valuation, stay, extension, reinstatement and redemption laws now or hereafter in force and all rights of marshaling in the event of any sale of the Leased Property or the other Collateral or any interest therein and (y) any rights now or in the future conferred by statute or otherwise which may require Lessor to sell, lease or otherwise use the Leased Property in mitigation of Lessor’s damages or which may otherwise limit or modify any remedy of damages.</w:t>
      </w:r>
    </w:p>
    <w:p>
      <w:pPr>
        <w:spacing w:after="0" w:line="17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Lessor shall be entitled to enforce payment and the performance of the obligations secured hereby and to exercise all rights and powers under this instrument or under any of the other Operative Documents or other agreements or any laws now or hereafter in force, notwithstanding some or all of the obligations secured hereby may now or hereafter be otherwise secured, whether by mortgage, security agreement, pledge, lien, assignment or otherwise. Neither the acceptance of this instrument nor its enforcement, shall prejudice or in any manner affect Lessor’s right to realize upon or enforce any other security now or hereafter held by Lessor, it being agreed that Lessor shall be entitled to enforce this instrument and any other security now or hereafter held by Lessor in such order and manner as Lessor may determine in its absolute discretion. No remedy herein conferred upon or reserved to Lessor is intended to be exclusive of any other remedy herein or by law provided or permitted, but each shall be cumulative and shall be in addition to every other remedy given hereunder or now or hereafter existing at law or in equity or by statute. Every power or remedy given by any of the Operative Documents to Lessor or to which it may otherwise be entitled, may be exercised, concurrently or independently, from time to time and as often as may be deemed expedient by Lessor. Without limiting the foregoing, each of the powers, rights and remedies as set forth or otherwise permitted pursuant to this Article XVI are independent of the provisions of Article XIII of the Participation Agreement and shall not be affected by any exclusion set forth in Section 13.1(b) of the Participation Agreement.</w:t>
      </w:r>
    </w:p>
    <w:p>
      <w:pPr>
        <w:spacing w:after="0" w:line="180"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proceeds derived from any sale of Leased Property and other amounts recovered pursuant to the foregoing remedies after an Event of Default shall be distributed pursuant to Section 5.3(f) of the Participation Agreement. The amount realized by Lessor upon a sale of the Leased Property shall be net of Lessor’s sale expenses and other expenses reasonably and customarily incurred by Lessor in connection with Lessor holding and owning such Leased Property until such time as the Leased Property is sold. The obligations in Section 5.3(f) of the Participation Agreement shall survive the termination of this Lease.</w:t>
      </w:r>
    </w:p>
    <w:p>
      <w:pPr>
        <w:spacing w:after="0" w:line="18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 xml:space="preserve">Notwithstanding anything herein to the contrary, and except for Lessee’s obligation to pay Nonconformance Amounts, there shall not be any personal recourse against the Lessee (and Lessor shall have recourse only against the Leased Property) pursuant to this Section 16.2 for any amount in excess of the Lease Balance and all other amounts owing by Lessee to the Administrative Agent, if any, and/or the Participants under the Operative Documents (including, but without duplication, accrued and unpaid Rent);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Lessee does not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pay the Lease Balance and all other amounts owing by Lessee to the Administrative Agent, if any, and/or the Participants under the Operative Documents (including, but without duplication, accrued and unpaid Rent) in full, Lessee shall not be entitled to the Leased Property and Lessor shall be entitled to receive the outstanding Lease Balance and all other amounts owing by Lessee to the Administrative Agent, if any, and/or the Participants under the Operative Documents (including, but without duplication, accrued and unpaid Rent) from the sale, lease or other disposition of the Leased Property.</w:t>
      </w:r>
    </w:p>
    <w:p>
      <w:pPr>
        <w:spacing w:after="0" w:line="154" w:lineRule="exact"/>
        <w:rPr>
          <w:sz w:val="20"/>
          <w:szCs w:val="20"/>
          <w:color w:val="auto"/>
        </w:rPr>
      </w:pPr>
    </w:p>
    <w:p>
      <w:pPr>
        <w:ind w:firstLine="600"/>
        <w:spacing w:after="0" w:line="259" w:lineRule="auto"/>
        <w:rPr>
          <w:sz w:val="20"/>
          <w:szCs w:val="20"/>
          <w:color w:val="auto"/>
        </w:rPr>
      </w:pPr>
      <w:r>
        <w:rPr>
          <w:rFonts w:ascii="Arial" w:cs="Arial" w:eastAsia="Arial" w:hAnsi="Arial"/>
          <w:sz w:val="18"/>
          <w:szCs w:val="18"/>
          <w:i w:val="1"/>
          <w:iCs w:val="1"/>
          <w:color w:val="auto"/>
        </w:rPr>
        <w:t>Section 16.3. Waiver of Certain Rights</w:t>
      </w:r>
      <w:r>
        <w:rPr>
          <w:rFonts w:ascii="Arial" w:cs="Arial" w:eastAsia="Arial" w:hAnsi="Arial"/>
          <w:sz w:val="18"/>
          <w:szCs w:val="18"/>
          <w:color w:val="auto"/>
        </w:rPr>
        <w:t>. If this Lease shall be terminated pursuant to Section 16.2, the Lessee waives, to the fullest extent permitted</w:t>
      </w:r>
      <w:r>
        <w:rPr>
          <w:rFonts w:ascii="Arial" w:cs="Arial" w:eastAsia="Arial" w:hAnsi="Arial"/>
          <w:sz w:val="18"/>
          <w:szCs w:val="18"/>
          <w:i w:val="1"/>
          <w:iCs w:val="1"/>
          <w:color w:val="auto"/>
        </w:rPr>
        <w:t xml:space="preserve"> </w:t>
      </w:r>
      <w:r>
        <w:rPr>
          <w:rFonts w:ascii="Arial" w:cs="Arial" w:eastAsia="Arial" w:hAnsi="Arial"/>
          <w:sz w:val="18"/>
          <w:szCs w:val="18"/>
          <w:color w:val="auto"/>
        </w:rPr>
        <w:t>by law, (a) any notice of legal proceedings to obtain possession; (b) any right of redemption or repossession; (c) the benefit of any laws now or hereafter in force exempting property from liability for rent or for debt or limiting Lessor with respect to the election of remedies; and (d) any other rights which might otherwise limit or modify any of Lessor’s rights or remedies under this Article XVI.</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LESSOR’S RIGHT TO CURE</w:t>
      </w:r>
    </w:p>
    <w:p>
      <w:pPr>
        <w:spacing w:after="0" w:line="211" w:lineRule="exact"/>
        <w:rPr>
          <w:sz w:val="20"/>
          <w:szCs w:val="20"/>
          <w:color w:val="auto"/>
        </w:rPr>
      </w:pPr>
    </w:p>
    <w:p>
      <w:pPr>
        <w:ind w:right="80" w:firstLine="600"/>
        <w:spacing w:after="0" w:line="291" w:lineRule="auto"/>
        <w:rPr>
          <w:sz w:val="20"/>
          <w:szCs w:val="20"/>
          <w:color w:val="auto"/>
        </w:rPr>
      </w:pPr>
      <w:r>
        <w:rPr>
          <w:rFonts w:ascii="Arial" w:cs="Arial" w:eastAsia="Arial" w:hAnsi="Arial"/>
          <w:sz w:val="16"/>
          <w:szCs w:val="16"/>
          <w:i w:val="1"/>
          <w:iCs w:val="1"/>
          <w:color w:val="auto"/>
        </w:rPr>
        <w:t>Section 17.1. The Lessor’s Right to Cure the Lessee’s Defaults</w:t>
      </w:r>
      <w:r>
        <w:rPr>
          <w:rFonts w:ascii="Arial" w:cs="Arial" w:eastAsia="Arial" w:hAnsi="Arial"/>
          <w:sz w:val="16"/>
          <w:szCs w:val="16"/>
          <w:color w:val="auto"/>
        </w:rPr>
        <w:t>. Lessor, without waiving or releasing any obligation or Event of Default, may (but</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under no obligation to), upon five (5) Business Days’ prior notice to the Lessee, remedy any Event of Default for the account and at the sole cost and expense of the Lessee, including the failure by the Lessee to maintain the insurance required by Article XIII, and may, to the fullest extent permitted by law, and notwithstanding any right of quiet enjoyment in favor of the Lessee, enter upon the Leased Property and the Site, for such purpose and take all such action thereon as may be necessary or appropriate therefor. No such entry shall be deemed an eviction of Lessee. All reasonable out-of-pocket costs and expenses so incurred by the Lessor (including reasonable and documented fees and expenses of counsel), together with interest thereon at the Overdue Rate from the date on which such sums or expenses are paid by Lessor, shall be paid by the Lessee to Lessor on demand as Supplemental Rent.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PROVISIONS</w:t>
      </w:r>
    </w:p>
    <w:p>
      <w:pPr>
        <w:spacing w:after="0" w:line="211" w:lineRule="exact"/>
        <w:rPr>
          <w:sz w:val="20"/>
          <w:szCs w:val="20"/>
          <w:color w:val="auto"/>
        </w:rPr>
      </w:pPr>
    </w:p>
    <w:p>
      <w:pPr>
        <w:ind w:right="60" w:firstLine="600"/>
        <w:spacing w:after="0" w:line="272" w:lineRule="auto"/>
        <w:rPr>
          <w:sz w:val="20"/>
          <w:szCs w:val="20"/>
          <w:color w:val="auto"/>
        </w:rPr>
      </w:pPr>
      <w:r>
        <w:rPr>
          <w:rFonts w:ascii="Arial" w:cs="Arial" w:eastAsia="Arial" w:hAnsi="Arial"/>
          <w:sz w:val="17"/>
          <w:szCs w:val="17"/>
          <w:i w:val="1"/>
          <w:iCs w:val="1"/>
          <w:color w:val="auto"/>
        </w:rPr>
        <w:t>Section 18.1. Early and End of Term Purchase Options</w:t>
      </w:r>
      <w:r>
        <w:rPr>
          <w:rFonts w:ascii="Arial" w:cs="Arial" w:eastAsia="Arial" w:hAnsi="Arial"/>
          <w:sz w:val="17"/>
          <w:szCs w:val="17"/>
          <w:color w:val="auto"/>
        </w:rPr>
        <w:t>. Subject to the conditions contained herein, on (a) (i) any Business Day during the Term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(ii) on the Expiration Date in accordance with Section 19.1(b);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Lessee has not elected the Sale Option, or (b) any Business Day after the occurrence of an Event of Default (other than an Insolvency Event), Lessee may, at its option, purchase (or cause a designee to purchase) all, but not less than all, of the Leased Property (the “</w:t>
      </w:r>
      <w:r>
        <w:rPr>
          <w:rFonts w:ascii="Arial" w:cs="Arial" w:eastAsia="Arial" w:hAnsi="Arial"/>
          <w:sz w:val="17"/>
          <w:szCs w:val="17"/>
          <w:i w:val="1"/>
          <w:iCs w:val="1"/>
          <w:color w:val="auto"/>
        </w:rPr>
        <w:t>Early Termination Option</w:t>
      </w:r>
      <w:r>
        <w:rPr>
          <w:rFonts w:ascii="Arial" w:cs="Arial" w:eastAsia="Arial" w:hAnsi="Arial"/>
          <w:sz w:val="17"/>
          <w:szCs w:val="17"/>
          <w:color w:val="auto"/>
        </w:rPr>
        <w:t>”) at a price equal to the Purchase Amount. Lessee’s right to purchase all of the Leased Property pursuant to this Section 18.1 shall terminate automatically and without notice upon the occurrence of an Event of Default arising as a result of an Insolvency Event. After the occurrence and during the continuance of any other Event of Default, unless the Leased Property has been sold, or is subject to a binding commitment to be sold, in its entirety pursuant to Section 16.2, Lessee shall be permitted to purchase the Leased</w:t>
      </w:r>
    </w:p>
    <w:p>
      <w:pPr>
        <w:sectPr>
          <w:pgSz w:w="11900" w:h="16838" w:orient="portrait"/>
          <w:cols w:equalWidth="0" w:num="1">
            <w:col w:w="11420"/>
          </w:cols>
          <w:pgMar w:left="240" w:top="125" w:right="239" w:bottom="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03" w:name="page104"/>
    <w:bookmarkEnd w:id="103"/>
    <w:p>
      <w:pPr>
        <w:spacing w:after="0" w:line="270" w:lineRule="auto"/>
        <w:rPr>
          <w:sz w:val="20"/>
          <w:szCs w:val="20"/>
          <w:color w:val="auto"/>
        </w:rPr>
      </w:pPr>
      <w:r>
        <w:rPr>
          <w:rFonts w:ascii="Arial" w:cs="Arial" w:eastAsia="Arial" w:hAnsi="Arial"/>
          <w:sz w:val="17"/>
          <w:szCs w:val="17"/>
          <w:color w:val="auto"/>
        </w:rPr>
        <w:t>Property (or, as applicable, all remaining Leased Property not yet sold pursuant to Section 16.2(c)), so long as Lessee (i) delivers a written Purchase Notice irrevocably electing to exercise the Early Termination Option not more than thirty (30) days after the occurrence of such Event of Default and (ii) pays the Administrative Agent or Lessor the Purchase Amount and executes such documents as are necessary to consummate such purchase within ten (10) Business Days after the date of such Purchase Notice. In order to exercise its option to purchase the Leased Property pursuant to this Section 18.1 and except as otherwise provided above in connection with an Event of Default, Lessee shall give to Lessor not less than thirty (30) days’ prior written notice of such election to exercise, which election shall be irrevocable when made. If the Lessee exercises its option pursuant to this Section 18.1, then, upon Administrative Agent’s (or if the Loans are no longer outstanding, Lessor’s) receipt of all amounts due in connection therewith, Lessor shall transfer to the Lessee all of Lessor’s right, title and interest in and to the Leased Property in accordance with the procedures set forth in Section 21.1, such transfer to be effective as of the date specified in the Purchase Notice. Lessor agrees that it shall cooperate with the Lessee in effecting any transfer to a designee of the Lessee pursuant to this Section 18.1.</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 OF TERM OPTIONS</w:t>
      </w:r>
    </w:p>
    <w:p>
      <w:pPr>
        <w:spacing w:after="0" w:line="211" w:lineRule="exact"/>
        <w:rPr>
          <w:sz w:val="20"/>
          <w:szCs w:val="20"/>
          <w:color w:val="auto"/>
        </w:rPr>
      </w:pPr>
    </w:p>
    <w:p>
      <w:pPr>
        <w:ind w:right="20" w:firstLine="600"/>
        <w:spacing w:after="0" w:line="264" w:lineRule="auto"/>
        <w:rPr>
          <w:sz w:val="20"/>
          <w:szCs w:val="20"/>
          <w:color w:val="auto"/>
        </w:rPr>
      </w:pPr>
      <w:r>
        <w:rPr>
          <w:rFonts w:ascii="Arial" w:cs="Arial" w:eastAsia="Arial" w:hAnsi="Arial"/>
          <w:sz w:val="18"/>
          <w:szCs w:val="18"/>
          <w:i w:val="1"/>
          <w:iCs w:val="1"/>
          <w:color w:val="auto"/>
        </w:rPr>
        <w:t>Section 19.1. End of Term Options</w:t>
      </w:r>
      <w:r>
        <w:rPr>
          <w:rFonts w:ascii="Arial" w:cs="Arial" w:eastAsia="Arial" w:hAnsi="Arial"/>
          <w:sz w:val="18"/>
          <w:szCs w:val="18"/>
          <w:color w:val="auto"/>
        </w:rPr>
        <w:t>. At least one hundred eighty (180) days before the Expiration Date of the Term, but not more than three</w:t>
      </w:r>
      <w:r>
        <w:rPr>
          <w:rFonts w:ascii="Arial" w:cs="Arial" w:eastAsia="Arial" w:hAnsi="Arial"/>
          <w:sz w:val="18"/>
          <w:szCs w:val="18"/>
          <w:i w:val="1"/>
          <w:iCs w:val="1"/>
          <w:color w:val="auto"/>
        </w:rPr>
        <w:t xml:space="preserve"> </w:t>
      </w:r>
      <w:r>
        <w:rPr>
          <w:rFonts w:ascii="Arial" w:cs="Arial" w:eastAsia="Arial" w:hAnsi="Arial"/>
          <w:sz w:val="18"/>
          <w:szCs w:val="18"/>
          <w:color w:val="auto"/>
        </w:rPr>
        <w:t>hundred and sixty-five (365) days prior to the Expiration Date of the Term, Lessee shall, by delivery of written notice to Lessor and the Administrative Agent, exercise one of the following options:</w:t>
      </w:r>
    </w:p>
    <w:p>
      <w:pPr>
        <w:spacing w:after="0" w:line="181" w:lineRule="exact"/>
        <w:rPr>
          <w:sz w:val="20"/>
          <w:szCs w:val="20"/>
          <w:color w:val="auto"/>
        </w:rPr>
      </w:pPr>
    </w:p>
    <w:p>
      <w:pPr>
        <w:ind w:left="660" w:right="220" w:firstLine="767"/>
        <w:spacing w:after="0" w:line="257" w:lineRule="auto"/>
        <w:tabs>
          <w:tab w:leader="none" w:pos="195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Request to renew this Lease with respect to the Leased Property for an additional five-year Lease Renewal Term (the </w:t>
      </w:r>
      <w:r>
        <w:rPr>
          <w:rFonts w:ascii="Arial" w:cs="Arial" w:eastAsia="Arial" w:hAnsi="Arial"/>
          <w:sz w:val="18"/>
          <w:szCs w:val="18"/>
          <w:i w:val="1"/>
          <w:iCs w:val="1"/>
          <w:color w:val="auto"/>
        </w:rPr>
        <w:t>“Renewal</w:t>
      </w:r>
      <w:r>
        <w:rPr>
          <w:rFonts w:ascii="Arial" w:cs="Arial" w:eastAsia="Arial" w:hAnsi="Arial"/>
          <w:sz w:val="18"/>
          <w:szCs w:val="18"/>
          <w:color w:val="auto"/>
        </w:rPr>
        <w:t xml:space="preserve"> </w:t>
      </w:r>
      <w:r>
        <w:rPr>
          <w:rFonts w:ascii="Arial" w:cs="Arial" w:eastAsia="Arial" w:hAnsi="Arial"/>
          <w:sz w:val="18"/>
          <w:szCs w:val="18"/>
          <w:i w:val="1"/>
          <w:iCs w:val="1"/>
          <w:color w:val="auto"/>
        </w:rPr>
        <w:t>Option”</w:t>
      </w:r>
      <w:r>
        <w:rPr>
          <w:rFonts w:ascii="Arial" w:cs="Arial" w:eastAsia="Arial" w:hAnsi="Arial"/>
          <w:sz w:val="18"/>
          <w:szCs w:val="18"/>
          <w:color w:val="auto"/>
        </w:rPr>
        <w:t>) on the terms and conditions set forth herein and in the other Operative Documents to which Lessee or an Affiliate of Lessee is a party;</w:t>
      </w:r>
      <w:r>
        <w:rPr>
          <w:rFonts w:ascii="Arial" w:cs="Arial" w:eastAsia="Arial" w:hAnsi="Arial"/>
          <w:sz w:val="18"/>
          <w:szCs w:val="18"/>
          <w:i w:val="1"/>
          <w:iCs w:val="1"/>
          <w:color w:val="auto"/>
        </w:rPr>
        <w:t xml:space="preserve"> 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Renewal Option shall be available at the end of the Base Term only if the conditions to the Renewal Option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herein and in Section 4.7 of the Participation Agreement are satisfied;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the Renewal Option shall not be exercisable for a total of more than one (1) Lease Renewal Term;</w:t>
      </w:r>
    </w:p>
    <w:p>
      <w:pPr>
        <w:spacing w:after="0" w:line="188" w:lineRule="exact"/>
        <w:rPr>
          <w:rFonts w:ascii="Arial" w:cs="Arial" w:eastAsia="Arial" w:hAnsi="Arial"/>
          <w:sz w:val="18"/>
          <w:szCs w:val="18"/>
          <w:color w:val="auto"/>
        </w:rPr>
      </w:pPr>
    </w:p>
    <w:p>
      <w:pPr>
        <w:ind w:left="660" w:right="120" w:firstLine="754"/>
        <w:spacing w:after="0" w:line="290" w:lineRule="auto"/>
        <w:tabs>
          <w:tab w:leader="none" w:pos="1965" w:val="left"/>
        </w:tabs>
        <w:numPr>
          <w:ilvl w:val="0"/>
          <w:numId w:val="232"/>
        </w:numPr>
        <w:rPr>
          <w:rFonts w:ascii="Arial" w:cs="Arial" w:eastAsia="Arial" w:hAnsi="Arial"/>
          <w:sz w:val="16"/>
          <w:szCs w:val="16"/>
          <w:color w:val="auto"/>
        </w:rPr>
      </w:pPr>
      <w:r>
        <w:rPr>
          <w:rFonts w:ascii="Arial" w:cs="Arial" w:eastAsia="Arial" w:hAnsi="Arial"/>
          <w:sz w:val="16"/>
          <w:szCs w:val="16"/>
          <w:color w:val="auto"/>
        </w:rPr>
        <w:t>Purchase for an amount in immediately available funds equal to the Purchase Amount all, but not less than all, of the Leased Property on or before the last day of the Term (the “</w:t>
      </w:r>
      <w:r>
        <w:rPr>
          <w:rFonts w:ascii="Arial" w:cs="Arial" w:eastAsia="Arial" w:hAnsi="Arial"/>
          <w:sz w:val="16"/>
          <w:szCs w:val="16"/>
          <w:i w:val="1"/>
          <w:iCs w:val="1"/>
          <w:color w:val="auto"/>
        </w:rPr>
        <w:t>Purchase Option</w:t>
      </w:r>
      <w:r>
        <w:rPr>
          <w:rFonts w:ascii="Arial" w:cs="Arial" w:eastAsia="Arial" w:hAnsi="Arial"/>
          <w:sz w:val="16"/>
          <w:szCs w:val="16"/>
          <w:color w:val="auto"/>
        </w:rPr>
        <w:t xml:space="preserve">”); and if Lessee shall have elected to purchase the Leased Property, (1) Lessee may (A) assign its right to purchase the Leased Property hereunder to a third party, in which case such third party shall consummate the purchase of the Leased Property on or before the last day of the Term;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third party fails to consummate the purchase of the Leased Property on or before the last day of the Term, Lessee shall consummate the purchase of the Leased Property on the last day of the Term or (B) designate a third party to acquire title to the Leased Property, without assigning Lessee’s rights to purchase the Leased Property hereunder and (2) Lessor shall, upon the payment to Administrative Agent (or if the Loans are no longer outstanding, Lessor) of the Purchase Amount then due and payable by Lessee under the Operative Documents, transfer all of Lessor’s right, title and interest in and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Leased Property to Lessee or such other party designated by Lessee pursuant to Section 21.1; or</w:t>
      </w:r>
    </w:p>
    <w:p>
      <w:pPr>
        <w:spacing w:after="0" w:line="225" w:lineRule="exact"/>
        <w:rPr>
          <w:sz w:val="20"/>
          <w:szCs w:val="20"/>
          <w:color w:val="auto"/>
        </w:rPr>
      </w:pPr>
    </w:p>
    <w:p>
      <w:pPr>
        <w:ind w:left="660" w:firstLine="767"/>
        <w:spacing w:after="0" w:line="270" w:lineRule="auto"/>
        <w:tabs>
          <w:tab w:leader="none" w:pos="1968" w:val="left"/>
        </w:tabs>
        <w:numPr>
          <w:ilvl w:val="0"/>
          <w:numId w:val="233"/>
        </w:numPr>
        <w:rPr>
          <w:rFonts w:ascii="Arial" w:cs="Arial" w:eastAsia="Arial" w:hAnsi="Arial"/>
          <w:sz w:val="17"/>
          <w:szCs w:val="17"/>
          <w:color w:val="auto"/>
        </w:rPr>
      </w:pPr>
      <w:r>
        <w:rPr>
          <w:rFonts w:ascii="Arial" w:cs="Arial" w:eastAsia="Arial" w:hAnsi="Arial"/>
          <w:sz w:val="17"/>
          <w:szCs w:val="17"/>
          <w:color w:val="auto"/>
        </w:rPr>
        <w:t>Commit to sell on behalf of Lessor for cash to a single purchaser not in any way affiliated with Lessee or any of its Subsidiaries all, but not less than all, of the Leased Property on the last day of the Term (the “</w:t>
      </w:r>
      <w:r>
        <w:rPr>
          <w:rFonts w:ascii="Arial" w:cs="Arial" w:eastAsia="Arial" w:hAnsi="Arial"/>
          <w:sz w:val="17"/>
          <w:szCs w:val="17"/>
          <w:i w:val="1"/>
          <w:iCs w:val="1"/>
          <w:color w:val="auto"/>
        </w:rPr>
        <w:t>Sale Option</w:t>
      </w:r>
      <w:r>
        <w:rPr>
          <w:rFonts w:ascii="Arial" w:cs="Arial" w:eastAsia="Arial" w:hAnsi="Arial"/>
          <w:sz w:val="17"/>
          <w:szCs w:val="17"/>
          <w:color w:val="auto"/>
        </w:rPr>
        <w:t>”). Lessee’s right to sell the Leased Property pursuant to the Sale Option shall be conditioned upon and subject to the fulfillment by Lessee of each of the terms and conditions applicable to Lessee set forth in Article XX (unless waived in accordance with the terms set forth therein). In addition, such sale shall be subject to all subleases with respect to the Leased Property to Persons who are not Affiliates or Subsidiaries of Parent Guarantor. Lessee shall not enter into any additional subleases or renew any subleases (other than on market terms or otherwise pursuant to express rights therefor under the existing subleases) with respect to the Leased Property following Lessee’s election of the Sale Option. Following Lessee’s election of the Sale Option, Lessee shall not remove any Modifications or commence any voluntary Modifications under Section 10.1(a)(ii) (other than Required Modifications) without the consent of the Required Participants (which consent shall not be unreasonably withheld, conditioned or delayed) unless required to comply with Applicable Laws or avoid or address an emergency.</w:t>
      </w:r>
    </w:p>
    <w:p>
      <w:pPr>
        <w:spacing w:after="0" w:line="178" w:lineRule="exact"/>
        <w:rPr>
          <w:sz w:val="20"/>
          <w:szCs w:val="20"/>
          <w:color w:val="auto"/>
        </w:rPr>
      </w:pPr>
    </w:p>
    <w:p>
      <w:pPr>
        <w:ind w:right="20" w:firstLine="600"/>
        <w:spacing w:after="0" w:line="286" w:lineRule="auto"/>
        <w:rPr>
          <w:sz w:val="20"/>
          <w:szCs w:val="20"/>
          <w:color w:val="auto"/>
        </w:rPr>
      </w:pPr>
      <w:r>
        <w:rPr>
          <w:rFonts w:ascii="Arial" w:cs="Arial" w:eastAsia="Arial" w:hAnsi="Arial"/>
          <w:sz w:val="16"/>
          <w:szCs w:val="16"/>
          <w:i w:val="1"/>
          <w:iCs w:val="1"/>
          <w:color w:val="auto"/>
        </w:rPr>
        <w:t>Section 19.2. Election of Options</w:t>
      </w:r>
      <w:r>
        <w:rPr>
          <w:rFonts w:ascii="Arial" w:cs="Arial" w:eastAsia="Arial" w:hAnsi="Arial"/>
          <w:sz w:val="16"/>
          <w:szCs w:val="16"/>
          <w:color w:val="auto"/>
        </w:rPr>
        <w:t>. Unless (i) Lessee shall have affirmatively elected the Sale Option within the time period provided for in</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19.1 and satisfied each of the requirements in Articles XX and XXI (unless waived in accordance with the terms set forth therein), (ii) Lessee shall have elected to purchase all, but not less than all, of the Leased Property pursuant to Article XVIII or (iii) Lessee shall have elected the Renewal Option and a renewal pursuant to such Renewal Option shall have become effective in accordance with Section 4.7 of the Participation Agreement and all other conditions to such renewal set forth in Section 4.7 of the Participation Agreement and Section 19.3 hereof have been satisfied, Lessee shall be deemed to have elected the Purchase Option. In addition, the Sale Option shall automatically be revoked if there exists an Event of Default, Significant Environmental Event or an Event of Loss at any time after the Sale Option is properly elected or the Lessee fails to pay the Sale Option Recourse Amount to the Administrative Agent by not later than the last day of the Base Term (unless the Lease is renewed for the Lease Renewal Term in accordance with the terms hereof). In the event of any such automatic revocation of the Sale Option (i) as a result of an Event of Default, Lessor shall be entitled to exercise all rights and remedies provided in Article XVI (subject to the Lessee’s rights set forth in Section 18.1), and (ii) as a result of an Event of Loss or Specified Significant Environmental Event, Lessor shall be entitled to exercise all rights and remedies provided in Article XV. Lessee may not elect the Sale Option or the Renewal Option if there exists on the date the election is made an Event of Default, Significant Environmental Event or an Event of Loss. Any election by Lessee of the Purchase Option pursuant to Section 19.1(b) shall be irrevocable at the time made. The election of the Sale Option shall not limit any remedies of Lessor under Article XVI.</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0"/>
        <w:spacing w:after="0"/>
        <w:tabs>
          <w:tab w:leader="none" w:pos="1920" w:val="left"/>
        </w:tabs>
        <w:rPr>
          <w:sz w:val="20"/>
          <w:szCs w:val="20"/>
          <w:color w:val="auto"/>
        </w:rPr>
      </w:pPr>
      <w:r>
        <w:rPr>
          <w:rFonts w:ascii="Arial" w:cs="Arial" w:eastAsia="Arial" w:hAnsi="Arial"/>
          <w:sz w:val="18"/>
          <w:szCs w:val="18"/>
          <w:i w:val="1"/>
          <w:iCs w:val="1"/>
          <w:color w:val="auto"/>
        </w:rPr>
        <w:t>Section 19.3.</w:t>
      </w:r>
      <w:r>
        <w:rPr>
          <w:sz w:val="20"/>
          <w:szCs w:val="20"/>
          <w:color w:val="auto"/>
        </w:rPr>
        <w:tab/>
      </w:r>
      <w:r>
        <w:rPr>
          <w:rFonts w:ascii="Arial" w:cs="Arial" w:eastAsia="Arial" w:hAnsi="Arial"/>
          <w:sz w:val="16"/>
          <w:szCs w:val="16"/>
          <w:i w:val="1"/>
          <w:iCs w:val="1"/>
          <w:color w:val="auto"/>
        </w:rPr>
        <w:t>Renewal Options</w:t>
      </w:r>
      <w:r>
        <w:rPr>
          <w:rFonts w:ascii="Arial" w:cs="Arial" w:eastAsia="Arial" w:hAnsi="Arial"/>
          <w:sz w:val="16"/>
          <w:szCs w:val="16"/>
          <w:color w:val="auto"/>
        </w:rPr>
        <w:t>. The exercise of any Renewal Option by Lessee shall be subject to satisfaction of the following conditions:</w:t>
      </w:r>
    </w:p>
    <w:p>
      <w:pPr>
        <w:spacing w:after="0" w:line="225" w:lineRule="exact"/>
        <w:rPr>
          <w:sz w:val="20"/>
          <w:szCs w:val="20"/>
          <w:color w:val="auto"/>
        </w:rPr>
      </w:pPr>
    </w:p>
    <w:p>
      <w:pPr>
        <w:ind w:left="660" w:right="80" w:firstLine="804"/>
        <w:spacing w:after="0" w:line="308" w:lineRule="auto"/>
        <w:tabs>
          <w:tab w:leader="none" w:pos="1975" w:val="left"/>
        </w:tabs>
        <w:numPr>
          <w:ilvl w:val="0"/>
          <w:numId w:val="234"/>
        </w:numPr>
        <w:rPr>
          <w:rFonts w:ascii="Arial" w:cs="Arial" w:eastAsia="Arial" w:hAnsi="Arial"/>
          <w:sz w:val="17"/>
          <w:szCs w:val="17"/>
          <w:color w:val="auto"/>
        </w:rPr>
      </w:pPr>
      <w:r>
        <w:rPr>
          <w:rFonts w:ascii="Arial" w:cs="Arial" w:eastAsia="Arial" w:hAnsi="Arial"/>
          <w:sz w:val="17"/>
          <w:szCs w:val="17"/>
          <w:color w:val="auto"/>
        </w:rPr>
        <w:t>on the Expiration Date then in effect no Default or Event of Default shall have occurred and be continuing, and on the date Lessee gives written notice of its exercise of the Renewal Option, no Default or Event of Default shall have occurred and be continuing;</w:t>
      </w:r>
    </w:p>
    <w:p>
      <w:pPr>
        <w:sectPr>
          <w:pgSz w:w="11900" w:h="16838" w:orient="portrait"/>
          <w:cols w:equalWidth="0" w:num="1">
            <w:col w:w="11420"/>
          </w:cols>
          <w:pgMar w:left="240" w:top="584" w:right="239" w:bottom="0" w:gutter="0" w:footer="0" w:header="0"/>
        </w:sectPr>
      </w:pPr>
    </w:p>
    <w:bookmarkStart w:id="104" w:name="page105"/>
    <w:bookmarkEnd w:id="104"/>
    <w:p>
      <w:pPr>
        <w:spacing w:after="0" w:line="98" w:lineRule="exact"/>
        <w:rPr>
          <w:sz w:val="20"/>
          <w:szCs w:val="20"/>
          <w:color w:val="auto"/>
        </w:rPr>
      </w:pPr>
    </w:p>
    <w:p>
      <w:pPr>
        <w:ind w:left="1980" w:hanging="516"/>
        <w:spacing w:after="0"/>
        <w:tabs>
          <w:tab w:leader="none" w:pos="19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Lessee shall not have exercised the Sale Option or the Purchase Option and</w:t>
      </w:r>
    </w:p>
    <w:p>
      <w:pPr>
        <w:spacing w:after="0" w:line="225" w:lineRule="exact"/>
        <w:rPr>
          <w:rFonts w:ascii="Arial" w:cs="Arial" w:eastAsia="Arial" w:hAnsi="Arial"/>
          <w:sz w:val="18"/>
          <w:szCs w:val="18"/>
          <w:color w:val="auto"/>
        </w:rPr>
      </w:pPr>
    </w:p>
    <w:p>
      <w:pPr>
        <w:ind w:left="660" w:right="1040" w:firstLine="804"/>
        <w:spacing w:after="0" w:line="277" w:lineRule="auto"/>
        <w:tabs>
          <w:tab w:leader="none" w:pos="1994"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each of the other conditions for the Renewal Option set forth in Section 4.7(a) of the Participation Agreement and in Section 19.2(iii) hereof have been satisfied.</w:t>
      </w:r>
    </w:p>
    <w:p>
      <w:pPr>
        <w:spacing w:after="0" w:line="17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Lessee’s exercise of a Renewal Option shall be deemed to be a representation by Lessee that on both the Expiration Date then in effect and the date Lessee gives notice of its exercise of the Renewal Option, no Default or Event of Default shall have occurred and be continuing.</w:t>
      </w:r>
    </w:p>
    <w:p>
      <w:pPr>
        <w:spacing w:after="0" w:line="14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XX</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SALE OPTION</w:t>
      </w:r>
    </w:p>
    <w:p>
      <w:pPr>
        <w:spacing w:after="0" w:line="211" w:lineRule="exact"/>
        <w:rPr>
          <w:sz w:val="20"/>
          <w:szCs w:val="20"/>
          <w:color w:val="auto"/>
        </w:rPr>
      </w:pPr>
    </w:p>
    <w:p>
      <w:pPr>
        <w:ind w:right="160" w:firstLine="600"/>
        <w:spacing w:after="0" w:line="308" w:lineRule="auto"/>
        <w:rPr>
          <w:sz w:val="20"/>
          <w:szCs w:val="20"/>
          <w:color w:val="auto"/>
        </w:rPr>
      </w:pPr>
      <w:r>
        <w:rPr>
          <w:rFonts w:ascii="Arial" w:cs="Arial" w:eastAsia="Arial" w:hAnsi="Arial"/>
          <w:sz w:val="17"/>
          <w:szCs w:val="17"/>
          <w:i w:val="1"/>
          <w:iCs w:val="1"/>
          <w:color w:val="auto"/>
        </w:rPr>
        <w:t>Section 20.1. Sale Option Procedures</w:t>
      </w:r>
      <w:r>
        <w:rPr>
          <w:rFonts w:ascii="Arial" w:cs="Arial" w:eastAsia="Arial" w:hAnsi="Arial"/>
          <w:sz w:val="17"/>
          <w:szCs w:val="17"/>
          <w:color w:val="auto"/>
        </w:rPr>
        <w:t>. The Lessee’s effective exercise and consummation of the Sale Option with respect to the Leased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subject to the due and timely fulfillment of each of the following provisions as to the Leased Property as of the dates set forth below.</w:t>
      </w:r>
    </w:p>
    <w:p>
      <w:pPr>
        <w:spacing w:after="0" w:line="147" w:lineRule="exact"/>
        <w:rPr>
          <w:sz w:val="20"/>
          <w:szCs w:val="20"/>
          <w:color w:val="auto"/>
        </w:rPr>
      </w:pPr>
    </w:p>
    <w:p>
      <w:pPr>
        <w:ind w:right="260" w:firstLine="656"/>
        <w:spacing w:after="0" w:line="277" w:lineRule="auto"/>
        <w:tabs>
          <w:tab w:leader="none" w:pos="1294"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Lessee shall have given to Lessor and Administrative Agent written notice of the Lessee’s exercise of the Sale Option in accordance with Section 19.1.</w:t>
      </w:r>
    </w:p>
    <w:p>
      <w:pPr>
        <w:spacing w:after="0" w:line="170" w:lineRule="exact"/>
        <w:rPr>
          <w:rFonts w:ascii="Arial" w:cs="Arial" w:eastAsia="Arial" w:hAnsi="Arial"/>
          <w:sz w:val="18"/>
          <w:szCs w:val="18"/>
          <w:color w:val="auto"/>
        </w:rPr>
      </w:pPr>
    </w:p>
    <w:p>
      <w:pPr>
        <w:ind w:right="60" w:firstLine="644"/>
        <w:spacing w:after="0" w:line="288" w:lineRule="auto"/>
        <w:tabs>
          <w:tab w:leader="none" w:pos="1305" w:val="left"/>
        </w:tabs>
        <w:numPr>
          <w:ilvl w:val="0"/>
          <w:numId w:val="236"/>
        </w:numPr>
        <w:rPr>
          <w:rFonts w:ascii="Arial" w:cs="Arial" w:eastAsia="Arial" w:hAnsi="Arial"/>
          <w:sz w:val="16"/>
          <w:szCs w:val="16"/>
          <w:color w:val="auto"/>
        </w:rPr>
      </w:pPr>
      <w:r>
        <w:rPr>
          <w:rFonts w:ascii="Arial" w:cs="Arial" w:eastAsia="Arial" w:hAnsi="Arial"/>
          <w:sz w:val="16"/>
          <w:szCs w:val="16"/>
          <w:color w:val="auto"/>
        </w:rPr>
        <w:t>Prior to the Expiration Date, Lessee shall furnish to Lessor and the Administrative Agent (who shall promptly distribute the same to the Lenders) and, if the Leased Property is to be sold on the Expiration Date, the independent purchaser hereunder a reasonably current Environmental Audit dated no earlier than one hundred twenty (120) days prior to the Expiration Date and addressed to the Lessor (or accompanied by a letter from the consultant performing such Environmental Audit which allows the Lessor to rely on such report). Such Environmental Audit shall be prepared by an environmental consultant selected by Lessee subject to Lessor’s reasonable approval and shall contain conclusions reasonably satisfactory to the Lessor, the Participants and such purchaser as to the environmental status of the Leased Property. If any such Environmental Audit indicates any recognized environmental conditions with respect to the Leased Property not rising to the level of a Significant Environmental Event, Lessee shall take (at Lessee’s sole cost and expense) such investigative, remedial or other actions as shall be necessary to cure any such recognized environmental condition to the extent required by Environmental Laws and this Lease, and Lessee shall cause to be delivered (at Lessee’s sole cost and expense) prior to the Expiration Date for the Leased Property a written statement by such environmental consultant detailing all such actions and indicating in his or her opinion that, to</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extent required by this Lease, all remedial actions indicated in such Environmental Audit have been undertaken and completed in compliance with Applicable Laws.</w:t>
      </w:r>
    </w:p>
    <w:p>
      <w:pPr>
        <w:spacing w:after="0" w:line="170" w:lineRule="exact"/>
        <w:rPr>
          <w:sz w:val="20"/>
          <w:szCs w:val="20"/>
          <w:color w:val="auto"/>
        </w:rPr>
      </w:pPr>
    </w:p>
    <w:p>
      <w:pPr>
        <w:ind w:right="140" w:firstLine="656"/>
        <w:spacing w:after="0" w:line="277" w:lineRule="auto"/>
        <w:tabs>
          <w:tab w:leader="none" w:pos="1307"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No Event of Default, Significant Environmental Event or Event of Loss shall have occurred and be continuing on or at any time following the date of Lessee’s notice of exercise of the Sale Option.</w:t>
      </w:r>
    </w:p>
    <w:p>
      <w:pPr>
        <w:spacing w:after="0" w:line="170" w:lineRule="exact"/>
        <w:rPr>
          <w:rFonts w:ascii="Arial" w:cs="Arial" w:eastAsia="Arial" w:hAnsi="Arial"/>
          <w:sz w:val="18"/>
          <w:szCs w:val="18"/>
          <w:color w:val="auto"/>
        </w:rPr>
      </w:pPr>
    </w:p>
    <w:p>
      <w:pPr>
        <w:jc w:val="both"/>
        <w:ind w:right="200" w:firstLine="644"/>
        <w:spacing w:after="0" w:line="259" w:lineRule="auto"/>
        <w:tabs>
          <w:tab w:leader="none" w:pos="130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Upon surrender of the Leased Property, (i) the Leased Property shall be in the condition required by Section 9.1, (ii) there shall be no deferred maintenance in respect of the Leased Property, and (iii) Lessee shall have remediated any Environmental Violation, and taken all other actions necessary to fully address any outstanding Environmental Claim with respect to the Leased Property, each in accordance with the terms of this Lease and at Lessee’s sole cost and expense.</w:t>
      </w:r>
    </w:p>
    <w:p>
      <w:pPr>
        <w:spacing w:after="0" w:line="186" w:lineRule="exact"/>
        <w:rPr>
          <w:rFonts w:ascii="Arial" w:cs="Arial" w:eastAsia="Arial" w:hAnsi="Arial"/>
          <w:sz w:val="18"/>
          <w:szCs w:val="18"/>
          <w:color w:val="auto"/>
        </w:rPr>
      </w:pPr>
    </w:p>
    <w:p>
      <w:pPr>
        <w:ind w:right="120" w:firstLine="656"/>
        <w:spacing w:after="0" w:line="273" w:lineRule="auto"/>
        <w:tabs>
          <w:tab w:leader="none" w:pos="1307" w:val="left"/>
        </w:tabs>
        <w:numPr>
          <w:ilvl w:val="0"/>
          <w:numId w:val="237"/>
        </w:numPr>
        <w:rPr>
          <w:rFonts w:ascii="Arial" w:cs="Arial" w:eastAsia="Arial" w:hAnsi="Arial"/>
          <w:sz w:val="17"/>
          <w:szCs w:val="17"/>
          <w:color w:val="auto"/>
        </w:rPr>
      </w:pPr>
      <w:r>
        <w:rPr>
          <w:rFonts w:ascii="Arial" w:cs="Arial" w:eastAsia="Arial" w:hAnsi="Arial"/>
          <w:sz w:val="17"/>
          <w:szCs w:val="17"/>
          <w:color w:val="auto"/>
        </w:rPr>
        <w:t xml:space="preserve">The Lessee shall, as nonexclusive agent for Lessor, use commercially reasonable efforts to obtain the highest cash purchase price for the Leased Property. The Lessee will be responsible for hiring brokers and making the Leased Property available for inspection by prospective purchasers. The Lessee shall (i) upon reasonable notice during normal business hours (subject to Lessee’s customary security and safety measures), upon request, permit inspection of the Leased Property and any Leased Property Records by Lessor, the Administrative Agent and any potential purchasers;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limitations on inspections and the rights of the Lessee set forth in Section 4.2 shall apply to this Section 20.1, </w:t>
      </w:r>
      <w:r>
        <w:rPr>
          <w:rFonts w:ascii="Arial" w:cs="Arial" w:eastAsia="Arial" w:hAnsi="Arial"/>
          <w:sz w:val="17"/>
          <w:szCs w:val="17"/>
          <w:i w:val="1"/>
          <w:iCs w:val="1"/>
          <w:color w:val="auto"/>
        </w:rPr>
        <w:t>mutatis mutandis</w:t>
      </w:r>
      <w:r>
        <w:rPr>
          <w:rFonts w:ascii="Arial" w:cs="Arial" w:eastAsia="Arial" w:hAnsi="Arial"/>
          <w:sz w:val="17"/>
          <w:szCs w:val="17"/>
          <w:color w:val="auto"/>
        </w:rPr>
        <w:t>, and (ii) otherwise do all things reasonably necessary to sell and deliver possession of the Leased Property to any purchaser.</w:t>
      </w:r>
    </w:p>
    <w:p>
      <w:pPr>
        <w:spacing w:after="0" w:line="178" w:lineRule="exact"/>
        <w:rPr>
          <w:rFonts w:ascii="Arial" w:cs="Arial" w:eastAsia="Arial" w:hAnsi="Arial"/>
          <w:sz w:val="17"/>
          <w:szCs w:val="17"/>
          <w:color w:val="auto"/>
        </w:rPr>
      </w:pPr>
    </w:p>
    <w:p>
      <w:pPr>
        <w:ind w:right="200" w:firstLine="669"/>
        <w:spacing w:after="0" w:line="264" w:lineRule="auto"/>
        <w:tabs>
          <w:tab w:leader="none" w:pos="13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Lessee shall use commercially reasonable efforts to procure bids from one or more bona fide prospective purchasers to purchase the Leased Property, which shall include Lessor and its Affiliates. No such purchaser shall be the Lessee or any Subsidiary of the Lessee (except as set forth in the last paragraph of this Section 20.1).</w:t>
      </w:r>
    </w:p>
    <w:p>
      <w:pPr>
        <w:spacing w:after="0" w:line="181" w:lineRule="exact"/>
        <w:rPr>
          <w:rFonts w:ascii="Arial" w:cs="Arial" w:eastAsia="Arial" w:hAnsi="Arial"/>
          <w:sz w:val="18"/>
          <w:szCs w:val="18"/>
          <w:color w:val="auto"/>
        </w:rPr>
      </w:pPr>
    </w:p>
    <w:p>
      <w:pPr>
        <w:ind w:firstLine="669"/>
        <w:spacing w:after="0" w:line="288" w:lineRule="auto"/>
        <w:tabs>
          <w:tab w:leader="none" w:pos="1316" w:val="left"/>
        </w:tabs>
        <w:numPr>
          <w:ilvl w:val="1"/>
          <w:numId w:val="237"/>
        </w:numPr>
        <w:rPr>
          <w:rFonts w:ascii="Arial" w:cs="Arial" w:eastAsia="Arial" w:hAnsi="Arial"/>
          <w:sz w:val="16"/>
          <w:szCs w:val="16"/>
          <w:color w:val="auto"/>
        </w:rPr>
      </w:pPr>
      <w:r>
        <w:rPr>
          <w:rFonts w:ascii="Arial" w:cs="Arial" w:eastAsia="Arial" w:hAnsi="Arial"/>
          <w:sz w:val="16"/>
          <w:szCs w:val="16"/>
          <w:color w:val="auto"/>
        </w:rPr>
        <w:t>The Lessee shall submit all bids to Lessor and the Administrative Agent (who shall promptly distribute the same to the Lenders), and Lessor will have the right to review the same and to submit any one or more bids. All bids shall be on an all-cash basis unless Lessor and the Participants shall otherwise agree in their sole discretion. The Lessee shall use commercially reasonable efforts to deliver to Lessor and the Required Participants not less than ninety (90) days prior to the Expiration Date a binding written unconditional (except as set forth below), irrevocable offer by such purchaser or purchasers offering the highest all-cash bid to purchase all, but not less than all, of the Leased Property (unless otherwise agreed to by Lessor and the Required Participants). If Lessor in the exercise of its reasonable judgment believes that the Gross Proceeds to be paid to Lessor pursuant to clause (l) below from a proposed bid which the Lessee desires to accept is less than the Fair Market Value, then Lessor shall promptly provide written notice thereof to Lessee and Lessee’s rights hereunder shall be further conditioned upon Lessor’s receipt of an appraisal demonstrating that such proposed bid is for an amount at least equal to the Fair Market Value of the Leased Property as established by such Appraisal. In such case then Lessor shall, promptly following the receipt of such notice from Lessor, engage an appraiser, reasonably satisfactory to Lessor and Lessee, at Lessee’s expense, to determine (by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appraisal methods reasonably satisfactory to Lessor and the Required Participants) the Fair Market Value of the Leased Property as of the Expiration Date. A copy of such appraisal shall be delivered to Lessor and the Administrative Agent (who shall promptly distribute the same to the Lenders) not later than five</w:t>
      </w:r>
    </w:p>
    <w:p>
      <w:pPr>
        <w:ind w:firstLine="8"/>
        <w:spacing w:after="0" w:line="292" w:lineRule="auto"/>
        <w:tabs>
          <w:tab w:leader="none" w:pos="255" w:val="left"/>
        </w:tabs>
        <w:numPr>
          <w:ilvl w:val="0"/>
          <w:numId w:val="238"/>
        </w:numPr>
        <w:rPr>
          <w:rFonts w:ascii="Arial" w:cs="Arial" w:eastAsia="Arial" w:hAnsi="Arial"/>
          <w:sz w:val="16"/>
          <w:szCs w:val="16"/>
          <w:color w:val="auto"/>
        </w:rPr>
      </w:pPr>
      <w:r>
        <w:rPr>
          <w:rFonts w:ascii="Arial" w:cs="Arial" w:eastAsia="Arial" w:hAnsi="Arial"/>
          <w:sz w:val="16"/>
          <w:szCs w:val="16"/>
          <w:color w:val="auto"/>
        </w:rPr>
        <w:t>Business Days prior to the Expiration Date. The appraiser will be instructed to assume that the Leased Property is in the condition required by and has been maintained in accordance with this Lease. Notwithstanding anything contained in this clause (g) to the contrary, in the event Lessor received a bona fide all cash offer which the Lessee desires to accept from a credit worthy offeror (which shall include Lessor and any Affiliate thereof) for an amount equal to the Lease Balance and all other amounts owing by Lessee to the Administrative Agent, if any, and/or the Participants under the Operative Documents (including, but without duplication, accrued and unpaid Rent) (after deduction of all sales costs, expenses and related taxes), Lessor must sell the Leased Property for</w:t>
      </w:r>
    </w:p>
    <w:p>
      <w:pPr>
        <w:sectPr>
          <w:pgSz w:w="11900" w:h="16936" w:orient="portrait"/>
          <w:cols w:equalWidth="0" w:num="1">
            <w:col w:w="11400"/>
          </w:cols>
          <w:pgMar w:left="240" w:top="125" w:right="259" w:bottom="0" w:gutter="0" w:footer="0" w:header="0"/>
        </w:sectPr>
      </w:pPr>
    </w:p>
    <w:bookmarkStart w:id="105" w:name="page106"/>
    <w:bookmarkEnd w:id="105"/>
    <w:p>
      <w:pPr>
        <w:spacing w:after="0" w:line="1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such amount to the extent the conditions therefor are satisfied and Lessor shall have no right to require an appraisal demonstrating that such proposed bid is for an amount at least equal to the Fair Market Value of the Leased Property.</w:t>
      </w:r>
    </w:p>
    <w:p>
      <w:pPr>
        <w:spacing w:after="0" w:line="170" w:lineRule="exact"/>
        <w:rPr>
          <w:sz w:val="20"/>
          <w:szCs w:val="20"/>
          <w:color w:val="auto"/>
        </w:rPr>
      </w:pPr>
    </w:p>
    <w:p>
      <w:pPr>
        <w:ind w:firstLine="644"/>
        <w:spacing w:after="0" w:line="272" w:lineRule="auto"/>
        <w:tabs>
          <w:tab w:leader="none" w:pos="1305" w:val="left"/>
        </w:tabs>
        <w:numPr>
          <w:ilvl w:val="0"/>
          <w:numId w:val="239"/>
        </w:numPr>
        <w:rPr>
          <w:rFonts w:ascii="Arial" w:cs="Arial" w:eastAsia="Arial" w:hAnsi="Arial"/>
          <w:sz w:val="17"/>
          <w:szCs w:val="17"/>
          <w:color w:val="auto"/>
        </w:rPr>
      </w:pPr>
      <w:r>
        <w:rPr>
          <w:rFonts w:ascii="Arial" w:cs="Arial" w:eastAsia="Arial" w:hAnsi="Arial"/>
          <w:sz w:val="17"/>
          <w:szCs w:val="17"/>
          <w:color w:val="auto"/>
        </w:rPr>
        <w:t>In connection with any such sale of the Leased Property, the Lessee will provide to the purchaser all customary “seller’s” indemnities, representations and warranties, customary representations and warranties regarding title and the absence of Liens (except Lessor Liens and Permitted Liens of the type described in clauses (a) (excluding Liens relating to the interest or rights of Lessee), (b), (c), (f), (g), (h), (i), (j), (k) or (m) of the definition of “Permitted Liens”) and the condition of such Leased Property. The Lessee shall have obtained, at its cost and expense, all required governmental and regulatory consents and approvals and shall have made all filings as required by Applicable Laws in order to carry out and complete the transfer of the Leased Property. As to Lessor, any such sale shall be made on an “as is, where is, with all faults” basis without representation or warranty by Lessor, other than the absence of Lessor Liens. Any agreement as to such sale shall be in form and substance satisfactory to Lessor.</w:t>
      </w:r>
    </w:p>
    <w:p>
      <w:pPr>
        <w:spacing w:after="0" w:line="177" w:lineRule="exact"/>
        <w:rPr>
          <w:rFonts w:ascii="Arial" w:cs="Arial" w:eastAsia="Arial" w:hAnsi="Arial"/>
          <w:sz w:val="17"/>
          <w:szCs w:val="17"/>
          <w:color w:val="auto"/>
        </w:rPr>
      </w:pPr>
    </w:p>
    <w:p>
      <w:pPr>
        <w:ind w:firstLine="681"/>
        <w:spacing w:after="0" w:line="276" w:lineRule="auto"/>
        <w:tabs>
          <w:tab w:leader="none" w:pos="1315" w:val="left"/>
        </w:tabs>
        <w:numPr>
          <w:ilvl w:val="0"/>
          <w:numId w:val="239"/>
        </w:numPr>
        <w:rPr>
          <w:rFonts w:ascii="Arial" w:cs="Arial" w:eastAsia="Arial" w:hAnsi="Arial"/>
          <w:sz w:val="17"/>
          <w:szCs w:val="17"/>
          <w:color w:val="auto"/>
        </w:rPr>
      </w:pPr>
      <w:r>
        <w:rPr>
          <w:rFonts w:ascii="Arial" w:cs="Arial" w:eastAsia="Arial" w:hAnsi="Arial"/>
          <w:sz w:val="17"/>
          <w:szCs w:val="17"/>
          <w:color w:val="auto"/>
        </w:rPr>
        <w:t xml:space="preserve">All costs, Impositions and expenses of or arising from the sale of the Leased Property, incurred by the Participants, Administrative Agent or the Lessee, including the cost of all title searches, surveys, environmental audits, appraisals, transfer taxes, Lessor’s reasonable attorneys’ fees, the Lessee’s attorneys’ fees, commissions, escrow fees, recording fees, and all applicable documentary and other transfer and document taxes and Impositions shall be paid out of the sale proceeds as set forth in Section 5.3 of the Participation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Lessee shall pay directly any such amounts incurred by Lessee in excess of amounts Lessor, acting in good faith, deems reasonable.</w:t>
      </w:r>
    </w:p>
    <w:p>
      <w:pPr>
        <w:spacing w:after="0" w:line="172" w:lineRule="exact"/>
        <w:rPr>
          <w:rFonts w:ascii="Arial" w:cs="Arial" w:eastAsia="Arial" w:hAnsi="Arial"/>
          <w:sz w:val="17"/>
          <w:szCs w:val="17"/>
          <w:color w:val="auto"/>
        </w:rPr>
      </w:pPr>
    </w:p>
    <w:p>
      <w:pPr>
        <w:ind w:right="360" w:firstLine="681"/>
        <w:spacing w:after="0" w:line="257" w:lineRule="auto"/>
        <w:tabs>
          <w:tab w:leader="none" w:pos="130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Whether or not a sale of the Leased Property is completed on the Expiration Date, Lessee shall pay, or cause to be paid, to Lessor on or prior to the Expiration Date (or, if earlier, the date on which a sale of the Leased Property is consummated), (or in the case of Supplemental Rent, to the Person entitled thereto) an amount equal to, without duplication, (i) the Sale Option Recourse Amount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all accrued and unpaid Rent (including Supplemental Rent, if any) and all other amounts hereunder which have accrued or will accrue prior to or as of the Expiration Date in the type of funds specified in Section 3.4 hereof.</w:t>
      </w:r>
    </w:p>
    <w:p>
      <w:pPr>
        <w:spacing w:after="0" w:line="188" w:lineRule="exact"/>
        <w:rPr>
          <w:rFonts w:ascii="Arial" w:cs="Arial" w:eastAsia="Arial" w:hAnsi="Arial"/>
          <w:sz w:val="18"/>
          <w:szCs w:val="18"/>
          <w:color w:val="auto"/>
        </w:rPr>
      </w:pPr>
    </w:p>
    <w:p>
      <w:pPr>
        <w:ind w:right="360" w:firstLine="644"/>
        <w:spacing w:after="0" w:line="277" w:lineRule="auto"/>
        <w:tabs>
          <w:tab w:leader="none" w:pos="130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Lessee shall pay to Lessor on or prior to the Expiration Date the amounts, if any, required to be paid pursuant to Article XIII of the Participation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681"/>
        <w:spacing w:after="0" w:line="286" w:lineRule="auto"/>
        <w:tabs>
          <w:tab w:leader="none" w:pos="1315" w:val="left"/>
        </w:tabs>
        <w:numPr>
          <w:ilvl w:val="0"/>
          <w:numId w:val="240"/>
        </w:numPr>
        <w:rPr>
          <w:rFonts w:ascii="Arial" w:cs="Arial" w:eastAsia="Arial" w:hAnsi="Arial"/>
          <w:sz w:val="17"/>
          <w:szCs w:val="17"/>
          <w:color w:val="auto"/>
        </w:rPr>
      </w:pPr>
      <w:r>
        <w:rPr>
          <w:rFonts w:ascii="Arial" w:cs="Arial" w:eastAsia="Arial" w:hAnsi="Arial"/>
          <w:sz w:val="17"/>
          <w:szCs w:val="17"/>
          <w:color w:val="auto"/>
        </w:rPr>
        <w:t>If a sale of the Leased Property is consummated on or before the Expiration Date, Lessee shall pay, or cause to be paid, directly to Lessor the gross proceeds (the “</w:t>
      </w:r>
      <w:r>
        <w:rPr>
          <w:rFonts w:ascii="Arial" w:cs="Arial" w:eastAsia="Arial" w:hAnsi="Arial"/>
          <w:sz w:val="17"/>
          <w:szCs w:val="17"/>
          <w:i w:val="1"/>
          <w:iCs w:val="1"/>
          <w:color w:val="auto"/>
        </w:rPr>
        <w:t>Gross Proceeds</w:t>
      </w:r>
      <w:r>
        <w:rPr>
          <w:rFonts w:ascii="Arial" w:cs="Arial" w:eastAsia="Arial" w:hAnsi="Arial"/>
          <w:sz w:val="17"/>
          <w:szCs w:val="17"/>
          <w:color w:val="auto"/>
        </w:rPr>
        <w:t>”) of such sale (</w:t>
      </w:r>
      <w:r>
        <w:rPr>
          <w:rFonts w:ascii="Arial" w:cs="Arial" w:eastAsia="Arial" w:hAnsi="Arial"/>
          <w:sz w:val="17"/>
          <w:szCs w:val="17"/>
          <w:i w:val="1"/>
          <w:iCs w:val="1"/>
          <w:color w:val="auto"/>
        </w:rPr>
        <w:t>i.e.</w:t>
      </w:r>
      <w:r>
        <w:rPr>
          <w:rFonts w:ascii="Arial" w:cs="Arial" w:eastAsia="Arial" w:hAnsi="Arial"/>
          <w:sz w:val="17"/>
          <w:szCs w:val="17"/>
          <w:color w:val="auto"/>
        </w:rPr>
        <w:t>, without deduction for any marketing, closing or other costs, prorations or commissions); and such Gross Proceeds shall be applied as set forth in Section 5.3(d) of the Participation Agreement and Section 20.1(i) above.</w:t>
      </w:r>
    </w:p>
    <w:p>
      <w:pPr>
        <w:spacing w:after="0" w:line="165" w:lineRule="exact"/>
        <w:rPr>
          <w:rFonts w:ascii="Arial" w:cs="Arial" w:eastAsia="Arial" w:hAnsi="Arial"/>
          <w:sz w:val="17"/>
          <w:szCs w:val="17"/>
          <w:color w:val="auto"/>
        </w:rPr>
      </w:pPr>
    </w:p>
    <w:p>
      <w:pPr>
        <w:ind w:right="80" w:firstLine="595"/>
        <w:spacing w:after="0" w:line="259" w:lineRule="auto"/>
        <w:tabs>
          <w:tab w:leader="none" w:pos="1306"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Lessee shall, to the extent permitted by Applicable Laws, assign, and shall cooperate with all reasonable requests of Lessor or the purchaser for obtaining any and all licenses, permits, approvals and consents of any Governmental Authorities or other Persons that are or will be required to be obtained by Lessor or such purchaser in connection with its use, operation, control or maintenance of the Leased Property in compliance with Applicable Laws.</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If, after the exercise by the Lessee of the Sale Option, one or more of the foregoing provisions of this Section 20.1 shall not be fulfilled as of the date set forth therein (and, other than in the case of Section 20.1(c) and any provision required to be fulfilled on the Expiration Date or on the date of a consummation of a sale, Lessor or the Administrative Agent shall have delivered written notice thereof to the Lessee and any such provision is not fulfilled within five (5) Business Days of such notice), then Lessor shall declare by written notice to the Lessee the exercise of the Sale Option to be null and void, in which event all of the Lessee’s rights under this Section 20.1 shall immediately terminate and the Lessee shall be obligated to purchase the Leased Property pursuant to Section 19.1(b) on the Expiration Date.</w:t>
      </w:r>
    </w:p>
    <w:p>
      <w:pPr>
        <w:spacing w:after="0" w:line="19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Except as expressly set forth herein, the Lessee shall have no right, power or authority to bind Lessor in connection with any proposed sale of the Leased Property or the other Collateral.</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Notwithstanding anything contained herein to the contrary, if the Leased Property has not been sold to a third party purchaser by the Expiration Date, then the Lessee shall pay to the Administrative Agent on or before the Expiration Date the Sale Option Recourse Amount, the Lessee shall have been deemed to have purchased the Leased Property, and Lessor shall transfer title to the Leased Property to the Lessee pursuant to Section 21.1(iv) of this Lease and the Lessee shall accept title to the Leased Property as a result of such deemed purchase. Lessor agrees that it shall cooperate with the Lessee in effecting any transfer to a designee of the Lessee pursuant to this paragraph.</w:t>
      </w:r>
    </w:p>
    <w:p>
      <w:pPr>
        <w:spacing w:after="0" w:line="188" w:lineRule="exact"/>
        <w:rPr>
          <w:sz w:val="20"/>
          <w:szCs w:val="20"/>
          <w:color w:val="auto"/>
        </w:rPr>
      </w:pPr>
    </w:p>
    <w:p>
      <w:pPr>
        <w:ind w:right="120" w:firstLine="600"/>
        <w:spacing w:after="0" w:line="257" w:lineRule="auto"/>
        <w:rPr>
          <w:sz w:val="20"/>
          <w:szCs w:val="20"/>
          <w:color w:val="auto"/>
        </w:rPr>
      </w:pPr>
      <w:r>
        <w:rPr>
          <w:rFonts w:ascii="Arial" w:cs="Arial" w:eastAsia="Arial" w:hAnsi="Arial"/>
          <w:sz w:val="18"/>
          <w:szCs w:val="18"/>
          <w:i w:val="1"/>
          <w:iCs w:val="1"/>
          <w:color w:val="auto"/>
        </w:rPr>
        <w:t>Section 20.2. Certain Obligations Continue</w:t>
      </w:r>
      <w:r>
        <w:rPr>
          <w:rFonts w:ascii="Arial" w:cs="Arial" w:eastAsia="Arial" w:hAnsi="Arial"/>
          <w:sz w:val="18"/>
          <w:szCs w:val="18"/>
          <w:color w:val="auto"/>
        </w:rPr>
        <w:t>. During the period following Lessee’s exercise of the Sale Option and until and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Expiration Date (or, if earlier, the date on which a sale is consummated), the obligation of the Lessee to pay Rent with respect to the Leased Property (including the installment of Rent due on the Expiration Date (or, if earlier, the date on which a sale is consummated)) shall continue undiminished. Lessor shall have the right, but shall be under no duty, to solicit bids, to inquire into the efforts of the Lessee to obtain bids or otherwise to take action in connection with any such sale, other than as expressly provided in this Article XX.</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PROCEDURES RELATING TO PURCHASE OR SALE OPTION</w:t>
      </w:r>
    </w:p>
    <w:p>
      <w:pPr>
        <w:spacing w:after="0" w:line="211" w:lineRule="exact"/>
        <w:rPr>
          <w:sz w:val="20"/>
          <w:szCs w:val="20"/>
          <w:color w:val="auto"/>
        </w:rPr>
      </w:pPr>
    </w:p>
    <w:p>
      <w:pPr>
        <w:ind w:firstLine="594"/>
        <w:spacing w:after="0" w:line="276" w:lineRule="auto"/>
        <w:rPr>
          <w:sz w:val="20"/>
          <w:szCs w:val="20"/>
          <w:color w:val="auto"/>
        </w:rPr>
      </w:pPr>
      <w:r>
        <w:rPr>
          <w:rFonts w:ascii="Arial" w:cs="Arial" w:eastAsia="Arial" w:hAnsi="Arial"/>
          <w:sz w:val="17"/>
          <w:szCs w:val="17"/>
          <w:i w:val="1"/>
          <w:iCs w:val="1"/>
          <w:color w:val="auto"/>
        </w:rPr>
        <w:t>Section 21.1. Provisions Relating to Conveyance of the Leased Property Upon Purchase by the Lessee, Sales or Certain Other Events</w:t>
      </w:r>
      <w:r>
        <w:rPr>
          <w:rFonts w:ascii="Arial" w:cs="Arial" w:eastAsia="Arial" w:hAnsi="Arial"/>
          <w:sz w:val="17"/>
          <w:szCs w:val="17"/>
          <w:color w:val="auto"/>
        </w:rPr>
        <w:t>.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any termination of this Lease pursuant to the terms of Article XV, any purchase of all, but not less than all, of the Leased Property in accordance with Article XVIII or in connection with the Lessee’s obligations under Section 16.2(e) or any other conveyance or purchase of the Leased Property made pursuant to the terms of this Lease, then, upon the date on which this Lease is to terminate with respect to the Leased Property and upon tender by the Lessee of the amounts set forth in Article XV, Sections 16.2(e) or Article XVIII as applicable:</w:t>
      </w:r>
    </w:p>
    <w:p>
      <w:pPr>
        <w:spacing w:after="0" w:line="173" w:lineRule="exact"/>
        <w:rPr>
          <w:sz w:val="20"/>
          <w:szCs w:val="20"/>
          <w:color w:val="auto"/>
        </w:rPr>
      </w:pPr>
    </w:p>
    <w:p>
      <w:pPr>
        <w:jc w:val="both"/>
        <w:ind w:left="660" w:right="40" w:firstLine="793"/>
        <w:spacing w:after="0" w:line="342" w:lineRule="auto"/>
        <w:tabs>
          <w:tab w:leader="none" w:pos="2032" w:val="left"/>
        </w:tabs>
        <w:numPr>
          <w:ilvl w:val="0"/>
          <w:numId w:val="241"/>
        </w:numPr>
        <w:rPr>
          <w:rFonts w:ascii="Arial" w:cs="Arial" w:eastAsia="Arial" w:hAnsi="Arial"/>
          <w:sz w:val="16"/>
          <w:szCs w:val="16"/>
          <w:color w:val="auto"/>
        </w:rPr>
      </w:pPr>
      <w:r>
        <w:rPr>
          <w:rFonts w:ascii="Arial" w:cs="Arial" w:eastAsia="Arial" w:hAnsi="Arial"/>
          <w:sz w:val="16"/>
          <w:szCs w:val="16"/>
          <w:color w:val="auto"/>
        </w:rPr>
        <w:t>Except in connection with the Sale Option, Lessor shall, at Lessee’s cost and expense, execute and deliver to the Lessee (or to the Lessee’s designee) a FIRPTA affidavit, a bill of sale and a special warranty deed (in recordable form and otherwise in conformity with local custom)</w:t>
      </w:r>
    </w:p>
    <w:p>
      <w:pPr>
        <w:sectPr>
          <w:pgSz w:w="11900" w:h="16975" w:orient="portrait"/>
          <w:cols w:equalWidth="0" w:num="1">
            <w:col w:w="11400"/>
          </w:cols>
          <w:pgMar w:left="240" w:top="125" w:right="259" w:bottom="0" w:gutter="0" w:footer="0" w:header="0"/>
        </w:sectPr>
      </w:pPr>
    </w:p>
    <w:bookmarkStart w:id="106" w:name="page107"/>
    <w:bookmarkEnd w:id="106"/>
    <w:p>
      <w:pPr>
        <w:spacing w:after="0" w:line="82"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in respect of Lessor’s interest in the Leased Property without representation and warranty except as to the absence of any Lessor Liens attributable to Lessor;</w:t>
      </w:r>
    </w:p>
    <w:p>
      <w:pPr>
        <w:spacing w:after="0" w:line="170" w:lineRule="exact"/>
        <w:rPr>
          <w:sz w:val="20"/>
          <w:szCs w:val="20"/>
          <w:color w:val="auto"/>
        </w:rPr>
      </w:pPr>
    </w:p>
    <w:p>
      <w:pPr>
        <w:ind w:left="660" w:right="40" w:firstLine="753"/>
        <w:spacing w:after="0" w:line="277" w:lineRule="auto"/>
        <w:tabs>
          <w:tab w:leader="none" w:pos="204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Except in connection with the Sale Option, the Leased Property shall be conveyed to the Lessee (or to the Lessee’s designee) “AS IS, WHERE IS” and in its then present physical condition;</w:t>
      </w:r>
    </w:p>
    <w:p>
      <w:pPr>
        <w:spacing w:after="0" w:line="170" w:lineRule="exact"/>
        <w:rPr>
          <w:rFonts w:ascii="Arial" w:cs="Arial" w:eastAsia="Arial" w:hAnsi="Arial"/>
          <w:sz w:val="18"/>
          <w:szCs w:val="18"/>
          <w:color w:val="auto"/>
        </w:rPr>
      </w:pPr>
    </w:p>
    <w:p>
      <w:pPr>
        <w:jc w:val="both"/>
        <w:ind w:left="660" w:right="240" w:firstLine="699"/>
        <w:spacing w:after="0" w:line="302" w:lineRule="auto"/>
        <w:tabs>
          <w:tab w:leader="none" w:pos="2037" w:val="left"/>
        </w:tabs>
        <w:numPr>
          <w:ilvl w:val="0"/>
          <w:numId w:val="242"/>
        </w:numPr>
        <w:rPr>
          <w:rFonts w:ascii="Arial" w:cs="Arial" w:eastAsia="Arial" w:hAnsi="Arial"/>
          <w:sz w:val="16"/>
          <w:szCs w:val="16"/>
          <w:color w:val="auto"/>
        </w:rPr>
      </w:pPr>
      <w:r>
        <w:rPr>
          <w:rFonts w:ascii="Arial" w:cs="Arial" w:eastAsia="Arial" w:hAnsi="Arial"/>
          <w:sz w:val="16"/>
          <w:szCs w:val="16"/>
          <w:color w:val="auto"/>
        </w:rPr>
        <w:t>Lessor shall cause all Lessor Liens to be released and execute and deliver to Lessee (or to the Lessee’s designee) a statement of termination of this Lease and shall use its best efforts to cause the Administrative Agent to execute and deliver releases of any Liens created by or pursuant to the Operative Documents attributable to the Administrative Agent, and termination statements for any financing statements which are then of record naming the Administrative Agent or Lessor as the secured party, all at Lessee’s sole cost and expense;</w:t>
      </w:r>
    </w:p>
    <w:p>
      <w:pPr>
        <w:spacing w:after="0" w:line="154" w:lineRule="exact"/>
        <w:rPr>
          <w:rFonts w:ascii="Arial" w:cs="Arial" w:eastAsia="Arial" w:hAnsi="Arial"/>
          <w:sz w:val="16"/>
          <w:szCs w:val="16"/>
          <w:color w:val="auto"/>
        </w:rPr>
      </w:pPr>
    </w:p>
    <w:p>
      <w:pPr>
        <w:ind w:left="660" w:right="60" w:firstLine="712"/>
        <w:spacing w:after="0" w:line="289" w:lineRule="auto"/>
        <w:tabs>
          <w:tab w:leader="none" w:pos="1996" w:val="left"/>
        </w:tabs>
        <w:numPr>
          <w:ilvl w:val="0"/>
          <w:numId w:val="242"/>
        </w:numPr>
        <w:rPr>
          <w:rFonts w:ascii="Arial" w:cs="Arial" w:eastAsia="Arial" w:hAnsi="Arial"/>
          <w:sz w:val="16"/>
          <w:szCs w:val="16"/>
          <w:color w:val="auto"/>
        </w:rPr>
      </w:pPr>
      <w:r>
        <w:rPr>
          <w:rFonts w:ascii="Arial" w:cs="Arial" w:eastAsia="Arial" w:hAnsi="Arial"/>
          <w:sz w:val="16"/>
          <w:szCs w:val="16"/>
          <w:color w:val="auto"/>
        </w:rPr>
        <w:t>If the Lessee properly exercises the Sale Option, then the Lessee shall, upon a sale thereunder, transfer or cause to be transferred possession of the Leased Property to the purchaser(s) thereof, in each case by surrendering the same into the possession of Lessor or such purchaser, as the case may be, free and clear of all Liens (except Lessor Liens and Permitted Liens of the type described in clauses (a) (excluding Liens relating to the interest or rights of Lessee), (b), (c), (f), (g), (h), (i), (j), (k) or (m) of the definition of “Permitted Liens”), in good condition (as modified by Modifications permitted by this Lease), ordinary wear and tear excepted, and in compliance in all material respects with Applicable Laws and the provisions of this Lease, and the Lessee shall execute and deliver to the purchaser a bill of sale and deed with respect to its interest in the Leased Property, in each case in recordable form and otherwise in conformity with local custom and Section 20.1(h); the Lessee shall execute and deliver to the purchaser and the purchaser’s title insurance company an affidavit as to the absence of any Liens (other than Permitted Liens), and such other affidavits and certificates reasonably requested by any title insurance company insuring title to the Leased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70" w:lineRule="auto"/>
        <w:rPr>
          <w:sz w:val="20"/>
          <w:szCs w:val="20"/>
          <w:color w:val="auto"/>
        </w:rPr>
      </w:pPr>
      <w:r>
        <w:rPr>
          <w:rFonts w:ascii="Arial" w:cs="Arial" w:eastAsia="Arial" w:hAnsi="Arial"/>
          <w:sz w:val="17"/>
          <w:szCs w:val="17"/>
          <w:color w:val="auto"/>
        </w:rPr>
        <w:t xml:space="preserve">Property, as well as a FIRPTA affidavit, and an instrument in recordable form declaring this Lease to be terminated on the date of closing of the sale of the Leased Property and Lessor shall execute and deliver to purchaser a FIRPTA affidavit and a special warranty deed in recordable form, without recourse, representation or warranty, except as to the absence of Lessor Liens. The Lessee shall cooperate reasonably with Lessor and the purchaser of the Leased Property in order to facilitate the purchase and use by such purchaser of the Leased Property, which cooperation shall include the following, all of which the Lessee shall do on or before the Expiration Date: providing all Leased Property Records and all know-how, data and technical information relating thereto, providing a copy of any current plans and specifications with respect to the Leased Property in Lessee’s possession, granting or assigning (to the extent assignable) all licenses necessary for the operation and maintenance of the Leased Property, and cooperating reasonably in seeking and obtaining all necessary Governmental 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unless otherwise agreed in the purchase agreement governing the sale of the Leased Property, such cooperation shall be at the expense of the purchaser. The obligations of the Lessee under this paragraph shall survive the expiration or termination of this Lease.</w:t>
      </w:r>
    </w:p>
    <w:p>
      <w:pPr>
        <w:spacing w:after="0" w:line="178" w:lineRule="exact"/>
        <w:rPr>
          <w:sz w:val="20"/>
          <w:szCs w:val="20"/>
          <w:color w:val="auto"/>
        </w:rPr>
      </w:pPr>
    </w:p>
    <w:p>
      <w:pPr>
        <w:jc w:val="both"/>
        <w:ind w:left="660" w:firstLine="753"/>
        <w:spacing w:after="0" w:line="264" w:lineRule="auto"/>
        <w:tabs>
          <w:tab w:leader="none" w:pos="1986"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reasonable costs, expenses and related taxes related to the sale of the Leased Property shall be payable through the proceeds of the sale of the Leased Property. Any such amounts incurred by Lessee in excess of what Lessor, acting in good faith, deems reasonable shall be paid by Lessee.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ACCEPTANCE OF SURRENDER</w:t>
      </w:r>
    </w:p>
    <w:p>
      <w:pPr>
        <w:spacing w:after="0" w:line="211" w:lineRule="exact"/>
        <w:rPr>
          <w:sz w:val="20"/>
          <w:szCs w:val="20"/>
          <w:color w:val="auto"/>
        </w:rPr>
      </w:pPr>
    </w:p>
    <w:p>
      <w:pPr>
        <w:ind w:right="60" w:firstLine="594"/>
        <w:spacing w:after="0" w:line="259" w:lineRule="auto"/>
        <w:rPr>
          <w:sz w:val="20"/>
          <w:szCs w:val="20"/>
          <w:color w:val="auto"/>
        </w:rPr>
      </w:pPr>
      <w:r>
        <w:rPr>
          <w:rFonts w:ascii="Arial" w:cs="Arial" w:eastAsia="Arial" w:hAnsi="Arial"/>
          <w:sz w:val="18"/>
          <w:szCs w:val="18"/>
          <w:i w:val="1"/>
          <w:iCs w:val="1"/>
          <w:color w:val="auto"/>
        </w:rPr>
        <w:t>Section 22.1. Acceptance of Surrender</w:t>
      </w:r>
      <w:r>
        <w:rPr>
          <w:rFonts w:ascii="Arial" w:cs="Arial" w:eastAsia="Arial" w:hAnsi="Arial"/>
          <w:sz w:val="18"/>
          <w:szCs w:val="18"/>
          <w:color w:val="auto"/>
        </w:rPr>
        <w:t>. No surrender to Lessor of this Lease or of the Leased Property or of any part of any thereof or of any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therein shall be valid or effective unless agreed to and accepted in writing by Lessor and, prior to the payment or performance of all obligations under the Loan Agreement and termination of the Commitments, the Lenders, and no act by Lessor or the Lenders, or any representative or agent of Lessor or the Lenders, other than a written acceptance, shall constitute an acceptance of any such surrender.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XXIII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MERGER OF TITLE</w:t>
      </w:r>
    </w:p>
    <w:p>
      <w:pPr>
        <w:spacing w:after="0" w:line="211" w:lineRule="exact"/>
        <w:rPr>
          <w:sz w:val="20"/>
          <w:szCs w:val="20"/>
          <w:color w:val="auto"/>
        </w:rPr>
      </w:pPr>
    </w:p>
    <w:p>
      <w:pPr>
        <w:jc w:val="both"/>
        <w:ind w:right="120" w:firstLine="594"/>
        <w:spacing w:after="0" w:line="286" w:lineRule="auto"/>
        <w:rPr>
          <w:sz w:val="20"/>
          <w:szCs w:val="20"/>
          <w:color w:val="auto"/>
        </w:rPr>
      </w:pPr>
      <w:r>
        <w:rPr>
          <w:rFonts w:ascii="Arial" w:cs="Arial" w:eastAsia="Arial" w:hAnsi="Arial"/>
          <w:sz w:val="17"/>
          <w:szCs w:val="17"/>
          <w:i w:val="1"/>
          <w:iCs w:val="1"/>
          <w:color w:val="auto"/>
        </w:rPr>
        <w:t>Section 23.1. No Merger of Title</w:t>
      </w:r>
      <w:r>
        <w:rPr>
          <w:rFonts w:ascii="Arial" w:cs="Arial" w:eastAsia="Arial" w:hAnsi="Arial"/>
          <w:sz w:val="17"/>
          <w:szCs w:val="17"/>
          <w:color w:val="auto"/>
        </w:rPr>
        <w:t>. There shall be no merger of this Lease or of the leasehold estate created hereby or thereby by reason of the fact</w:t>
      </w:r>
      <w:r>
        <w:rPr>
          <w:rFonts w:ascii="Arial" w:cs="Arial" w:eastAsia="Arial" w:hAnsi="Arial"/>
          <w:sz w:val="17"/>
          <w:szCs w:val="17"/>
          <w:i w:val="1"/>
          <w:iCs w:val="1"/>
          <w:color w:val="auto"/>
        </w:rPr>
        <w:t xml:space="preserve"> </w:t>
      </w:r>
      <w:r>
        <w:rPr>
          <w:rFonts w:ascii="Arial" w:cs="Arial" w:eastAsia="Arial" w:hAnsi="Arial"/>
          <w:sz w:val="17"/>
          <w:szCs w:val="17"/>
          <w:color w:val="auto"/>
        </w:rPr>
        <w:t>that the same Person may acquire, own or hold, directly or indirectly, in whole or in part, (a) this Lease or the leasehold estates created hereby or any interest in this Lease or such leasehold estate, (b) title to the Leased Property or (c) a beneficial interest in Lessor.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XXIV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INTENT OF THE PARTIES</w:t>
      </w:r>
    </w:p>
    <w:p>
      <w:pPr>
        <w:spacing w:after="0" w:line="211" w:lineRule="exact"/>
        <w:rPr>
          <w:sz w:val="20"/>
          <w:szCs w:val="20"/>
          <w:color w:val="auto"/>
        </w:rPr>
      </w:pPr>
    </w:p>
    <w:p>
      <w:pPr>
        <w:ind w:left="600"/>
        <w:spacing w:after="0"/>
        <w:tabs>
          <w:tab w:leader="none" w:pos="1780" w:val="left"/>
        </w:tabs>
        <w:rPr>
          <w:sz w:val="20"/>
          <w:szCs w:val="20"/>
          <w:color w:val="auto"/>
        </w:rPr>
      </w:pPr>
      <w:r>
        <w:rPr>
          <w:rFonts w:ascii="Arial" w:cs="Arial" w:eastAsia="Arial" w:hAnsi="Arial"/>
          <w:sz w:val="18"/>
          <w:szCs w:val="18"/>
          <w:i w:val="1"/>
          <w:iCs w:val="1"/>
          <w:color w:val="auto"/>
        </w:rPr>
        <w:t>Section 24.1.</w:t>
      </w:r>
      <w:r>
        <w:rPr>
          <w:sz w:val="20"/>
          <w:szCs w:val="20"/>
          <w:color w:val="auto"/>
        </w:rPr>
        <w:tab/>
      </w:r>
      <w:r>
        <w:rPr>
          <w:rFonts w:ascii="Arial" w:cs="Arial" w:eastAsia="Arial" w:hAnsi="Arial"/>
          <w:sz w:val="16"/>
          <w:szCs w:val="16"/>
          <w:i w:val="1"/>
          <w:iCs w:val="1"/>
          <w:color w:val="auto"/>
        </w:rPr>
        <w:t>Nature of Transaction</w:t>
      </w:r>
      <w:r>
        <w:rPr>
          <w:rFonts w:ascii="Arial" w:cs="Arial" w:eastAsia="Arial" w:hAnsi="Arial"/>
          <w:sz w:val="16"/>
          <w:szCs w:val="16"/>
          <w:color w:val="auto"/>
        </w:rPr>
        <w:t>. It is the intention of the parties that:</w:t>
      </w:r>
    </w:p>
    <w:p>
      <w:pPr>
        <w:spacing w:after="0" w:line="225" w:lineRule="exact"/>
        <w:rPr>
          <w:sz w:val="20"/>
          <w:szCs w:val="20"/>
          <w:color w:val="auto"/>
        </w:rPr>
      </w:pPr>
    </w:p>
    <w:p>
      <w:pPr>
        <w:ind w:left="660" w:right="720" w:firstLine="766"/>
        <w:spacing w:after="0" w:line="264" w:lineRule="auto"/>
        <w:tabs>
          <w:tab w:leader="none" w:pos="199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for all purposes, including GAAP, federal and all state and local income and transfer taxes, bankruptcy, insolvency, conservatorships and receiverships (including the substantive law upon which bankruptcy, conservatorship and insolvency and receivership proceedings are based), real estate and commercial law and UCC purposes:</w:t>
      </w:r>
    </w:p>
    <w:p>
      <w:pPr>
        <w:spacing w:after="0" w:line="181" w:lineRule="exact"/>
        <w:rPr>
          <w:rFonts w:ascii="Arial" w:cs="Arial" w:eastAsia="Arial" w:hAnsi="Arial"/>
          <w:sz w:val="18"/>
          <w:szCs w:val="18"/>
          <w:color w:val="auto"/>
        </w:rPr>
      </w:pPr>
    </w:p>
    <w:p>
      <w:pPr>
        <w:ind w:left="1300" w:right="40" w:firstLine="801"/>
        <w:spacing w:after="0" w:line="271" w:lineRule="auto"/>
        <w:tabs>
          <w:tab w:leader="none" w:pos="2672" w:val="left"/>
        </w:tabs>
        <w:numPr>
          <w:ilvl w:val="1"/>
          <w:numId w:val="244"/>
        </w:numPr>
        <w:rPr>
          <w:rFonts w:ascii="Arial" w:cs="Arial" w:eastAsia="Arial" w:hAnsi="Arial"/>
          <w:sz w:val="17"/>
          <w:szCs w:val="17"/>
          <w:color w:val="auto"/>
        </w:rPr>
      </w:pPr>
      <w:r>
        <w:rPr>
          <w:rFonts w:ascii="Arial" w:cs="Arial" w:eastAsia="Arial" w:hAnsi="Arial"/>
          <w:sz w:val="17"/>
          <w:szCs w:val="17"/>
          <w:color w:val="auto"/>
        </w:rPr>
        <w:t>the Overall Transaction constitutes a secured lending transaction by the Participants to Lessee and preserves beneficial ownership in the Leased Property in Lessee, Lessor holds only legal title to the Leased Property within the meaning of 11 U.S.C. Section 541(d), Lessee (and not the Lessor, the Administrative Agent or the other Participants) will be entitled to all tax benefits with respect to the Leased Property and other Collateral available to the owner of the Leased Property for tax purposes, the obligations of Lessee to pay Basic Rent shall be treated as payments of interest to the Participants, the payment by Lessee of any amounts in respect of the Lease Balance (other than Basic Rent) shall be treated as payments of principal to the Participants and, in the event Lessee purchases the Leased Property pursuant to the terms hereof and pays in full the Lease Balance and all other amounts outstanding under the Operative Documents, legal title to the Leased Property shall automatically vest in the Lessee;</w:t>
      </w:r>
    </w:p>
    <w:p>
      <w:pPr>
        <w:sectPr>
          <w:pgSz w:w="11900" w:h="16920" w:orient="portrait"/>
          <w:cols w:equalWidth="0" w:num="1">
            <w:col w:w="11420"/>
          </w:cols>
          <w:pgMar w:left="240" w:top="125" w:right="239" w:bottom="0" w:gutter="0" w:footer="0" w:header="0"/>
        </w:sectPr>
      </w:pPr>
    </w:p>
    <w:bookmarkStart w:id="107" w:name="page108"/>
    <w:bookmarkEnd w:id="107"/>
    <w:p>
      <w:pPr>
        <w:spacing w:after="0" w:line="81" w:lineRule="exact"/>
        <w:rPr>
          <w:sz w:val="20"/>
          <w:szCs w:val="20"/>
          <w:color w:val="auto"/>
        </w:rPr>
      </w:pPr>
    </w:p>
    <w:p>
      <w:pPr>
        <w:jc w:val="both"/>
        <w:ind w:left="1300" w:firstLine="761"/>
        <w:spacing w:after="0" w:line="279" w:lineRule="auto"/>
        <w:tabs>
          <w:tab w:leader="none" w:pos="2681" w:val="left"/>
        </w:tabs>
        <w:numPr>
          <w:ilvl w:val="0"/>
          <w:numId w:val="245"/>
        </w:numPr>
        <w:rPr>
          <w:rFonts w:ascii="Arial" w:cs="Arial" w:eastAsia="Arial" w:hAnsi="Arial"/>
          <w:sz w:val="17"/>
          <w:szCs w:val="17"/>
          <w:color w:val="auto"/>
        </w:rPr>
      </w:pPr>
      <w:r>
        <w:rPr>
          <w:rFonts w:ascii="Arial" w:cs="Arial" w:eastAsia="Arial" w:hAnsi="Arial"/>
          <w:sz w:val="17"/>
          <w:szCs w:val="17"/>
          <w:color w:val="auto"/>
        </w:rPr>
        <w:t>in order to secure the secured lending obligations of Lessee now existing or hereafter arising under this Lease or any of the other Operative Documents, this Lease, together with the other Security Instruments, creates a first priority (subject to Permitted Liens) security interest in or a lien on the Site, the Leased Property and the other Collateral in favor of the Administrative Agent and for the benefit of the Participants to secure Lessee’s payment and performance of the Obligations; and</w:t>
      </w:r>
    </w:p>
    <w:p>
      <w:pPr>
        <w:spacing w:after="0" w:line="171" w:lineRule="exact"/>
        <w:rPr>
          <w:rFonts w:ascii="Arial" w:cs="Arial" w:eastAsia="Arial" w:hAnsi="Arial"/>
          <w:sz w:val="17"/>
          <w:szCs w:val="17"/>
          <w:color w:val="auto"/>
        </w:rPr>
      </w:pPr>
    </w:p>
    <w:p>
      <w:pPr>
        <w:jc w:val="both"/>
        <w:ind w:left="1300" w:right="140" w:firstLine="707"/>
        <w:spacing w:after="0" w:line="286" w:lineRule="auto"/>
        <w:tabs>
          <w:tab w:leader="none" w:pos="2677"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Security Instruments create Liens and security interests in the Collateral granted by Lessor or Lessee, as applicable, in favor of the Administrative Agent for the benefit of all the Participants to secure Lessee’s and Lessor’s payment and performance of the obligations under this Lease, the Loan Agreement, the Notes and other applicable Operative Documents.</w:t>
      </w:r>
    </w:p>
    <w:p>
      <w:pPr>
        <w:spacing w:after="0" w:line="166" w:lineRule="exact"/>
        <w:rPr>
          <w:sz w:val="20"/>
          <w:szCs w:val="20"/>
          <w:color w:val="auto"/>
        </w:rPr>
      </w:pPr>
    </w:p>
    <w:p>
      <w:pPr>
        <w:ind w:left="1300" w:right="240" w:firstLine="648"/>
        <w:spacing w:after="0" w:line="302" w:lineRule="auto"/>
        <w:rPr>
          <w:sz w:val="20"/>
          <w:szCs w:val="20"/>
          <w:color w:val="auto"/>
        </w:rPr>
      </w:pPr>
      <w:r>
        <w:rPr>
          <w:rFonts w:ascii="Arial" w:cs="Arial" w:eastAsia="Arial" w:hAnsi="Arial"/>
          <w:sz w:val="16"/>
          <w:szCs w:val="16"/>
          <w:color w:val="auto"/>
        </w:rPr>
        <w:t>Nevertheless, each of the parties hereto acknowledges and agrees that none of Lessee, Lessor, the Administrative Agent, any Participant or the Arranger have made any representations or warranties concerning the tax, accounting or legal characteristics of the Operative Documents or any aspect of the Overall Transaction and that such party has obtained and relied upon such tax, accounting and legal advice concerning the Operative Documents and the Overall Transaction as such party deems appropriate.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firstLine="753"/>
        <w:spacing w:after="0" w:line="267" w:lineRule="auto"/>
        <w:tabs>
          <w:tab w:leader="none" w:pos="1986" w:val="left"/>
        </w:tabs>
        <w:numPr>
          <w:ilvl w:val="0"/>
          <w:numId w:val="246"/>
        </w:numPr>
        <w:rPr>
          <w:rFonts w:ascii="Arial" w:cs="Arial" w:eastAsia="Arial" w:hAnsi="Arial"/>
          <w:sz w:val="17"/>
          <w:szCs w:val="17"/>
          <w:color w:val="auto"/>
        </w:rPr>
      </w:pPr>
      <w:r>
        <w:rPr>
          <w:rFonts w:ascii="Arial" w:cs="Arial" w:eastAsia="Arial" w:hAnsi="Arial"/>
          <w:sz w:val="17"/>
          <w:szCs w:val="17"/>
          <w:color w:val="auto"/>
        </w:rPr>
        <w:t>Specifically, but without limiting the generality of subsection (b) of this Section 24.1 or Section 16.4, Lessor and the Lessee further intend and agree that for the purpose of securing the Lessee’s obligations for the repayment or performance of the Obligations, (i) this Lease shall also be deemed to be a security agreement and financing statement within the meaning of Article 9 of the UCC; (ii) the conveyance provided for hereby shall be deemed to be a grant by the Lessee to Lessor, for the benefit of the Participants, of a Lien on and security interest in all of the Lessee’s present and future right, title and interest in and to the Site, the Leased Property and the other Collateral, including but not limited to the Lessee’s leasehold estate therein and all proceeds of the conversion, voluntary or involuntary, of the foregoing into cash, investments, securities or other property, whether in the form of cash, investments, securities or other property to secure such loans, effective on the date hereof, to have and to hold such interests in the Site, the Leased Property and the other Collateral unto Lessor, for the benefit of the Participants; (iii) the possession by Lessor of notes and such other items of property as constitute instruments, money, negotiable documents or chattel paper shall be deemed to be “possession by the secured party” for purposes of perfecting the security interest pursuant to Section 9-313 of the UCC; and (iv) notifications to Persons holding such property, and acknowledgments, receipts or confirmations from financial intermediaries, bankers or agents (as applicable) of the Lessee shall be deemed to have been given for the purpose of perfecting such security interest under Applicable Laws. Lessor and the Lessee shall, to the extent consistent with this Lease, take such actions and execute, deliver, file and record such other documents, financing statements, mortgages and deeds of trust as may be necessary to ensure that, if this Lease were deemed to create a security interest in the Site, the Leased Property and the other Collateral in accordance with this Section, such security interest would be deemed to be a perfected security interest in the Site, the Leased Property and the other Collateral with priority over all Liens, other than Permitted Liens, under Applicable Laws and will be maintained as such throughout the Term.</w:t>
      </w:r>
    </w:p>
    <w:p>
      <w:pPr>
        <w:spacing w:after="0" w:line="193" w:lineRule="exact"/>
        <w:rPr>
          <w:sz w:val="20"/>
          <w:szCs w:val="20"/>
          <w:color w:val="auto"/>
        </w:rPr>
      </w:pPr>
    </w:p>
    <w:p>
      <w:pPr>
        <w:ind w:firstLine="594"/>
        <w:spacing w:after="0" w:line="257" w:lineRule="auto"/>
        <w:rPr>
          <w:sz w:val="20"/>
          <w:szCs w:val="20"/>
          <w:color w:val="auto"/>
        </w:rPr>
      </w:pPr>
      <w:r>
        <w:rPr>
          <w:rFonts w:ascii="Arial" w:cs="Arial" w:eastAsia="Arial" w:hAnsi="Arial"/>
          <w:sz w:val="18"/>
          <w:szCs w:val="18"/>
          <w:i w:val="1"/>
          <w:iCs w:val="1"/>
          <w:color w:val="auto"/>
        </w:rPr>
        <w:t xml:space="preserve">Section 24.2. Lessee Grant of Liens and Security Interests. </w:t>
      </w:r>
      <w:r>
        <w:rPr>
          <w:rFonts w:ascii="Arial" w:cs="Arial" w:eastAsia="Arial" w:hAnsi="Arial"/>
          <w:sz w:val="18"/>
          <w:szCs w:val="18"/>
          <w:color w:val="auto"/>
        </w:rPr>
        <w:t>(a) For the purposes of the creation and enforcement of this Lease as a mortgage and</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agreement, the Lessee hereby GRANTS, BARGAINS, SELLS, WARRANTS, CONVEYS, ALIENS, REMISES, RELEASES, ASSIGNS, SETS OVER AND CONFIRMS a security interest in the Site, the Leased Property and the other Collateral (consisting of a mortgage with respect to the Site and the Leased Property) all WITH POWER OF SALE to the Lessor and its successors and assigns to secure all loans and advances made by the Participants pursuant to the Operative Documents and the other Obligations.</w:t>
      </w:r>
    </w:p>
    <w:p>
      <w:pPr>
        <w:spacing w:after="0" w:line="188" w:lineRule="exact"/>
        <w:rPr>
          <w:sz w:val="20"/>
          <w:szCs w:val="20"/>
          <w:color w:val="auto"/>
        </w:rPr>
      </w:pPr>
    </w:p>
    <w:p>
      <w:pPr>
        <w:ind w:right="280" w:firstLine="643"/>
        <w:spacing w:after="0" w:line="273" w:lineRule="auto"/>
        <w:tabs>
          <w:tab w:leader="none" w:pos="116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Specifically, but without limiting the foregoing or the generality of Section 24.1, Lessee hereby grants, bargains, sells, warrants, conveys, aliens, remises, releases, assigns, sets over and confirms to the Lessor and its successors and assigns, all of Lessee’s right, title, and interest in and to the following (collectively, the “</w:t>
      </w:r>
      <w:r>
        <w:rPr>
          <w:rFonts w:ascii="Arial" w:cs="Arial" w:eastAsia="Arial" w:hAnsi="Arial"/>
          <w:sz w:val="17"/>
          <w:szCs w:val="17"/>
          <w:i w:val="1"/>
          <w:iCs w:val="1"/>
          <w:color w:val="auto"/>
        </w:rPr>
        <w:t>Security Property</w:t>
      </w:r>
      <w:r>
        <w:rPr>
          <w:rFonts w:ascii="Arial" w:cs="Arial" w:eastAsia="Arial" w:hAnsi="Arial"/>
          <w:sz w:val="17"/>
          <w:szCs w:val="17"/>
          <w:color w:val="auto"/>
        </w:rPr>
        <w:t>”): (i) the Site, the Leased Property and Appurtenant Rights relating thereto and all proceeds, both cash and noncash thereof; (ii) all easements, rights-of-way, strips and gores of Site, vaults, streets, ways, alleys, passages, sewer rights, waters, water courses, water rights, minerals, flowers, shrubs, crops, trees, timber and other emblements now or hereafter located on the Site or under or above the same or any part or parcel thereof, and all estates, rights, titles, interests, tenements,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hereditaments and appurtenances, reversions and remainders whatsoever, in any way belonging, relating or appertaining to the Leased Property or any part thereof, or which hereafter shall in any way belong, relate or be appurtenant thereto, whether now owned or hereafter acquired by Lessee; (iii) all right, title and interest of Lessee in all Goods which are or are to become fixtures (as such term is defined in the UCC (as defined below)) located on the real property described in Exhibit A hereto or now, heretofore or hereafter acquired with any proceeds of the Obligations and now, heretofore or hereafter (A) arising out of or related to the ownership of the Leased Property, (B) located in, on or about the Leased Property, or (C) used or intended to be used with or in connection with the use, operation or enjoyment of the Leased Property; (iv) all right, title and interest of Lessee in any and all leases, rental agreements and arrangements of any sort now or hereafter affecting the Leased Property or any portion thereof and providing for or resulting in the payment of money to Lessee for the use of the Leased Property or any portion thereof, whether the user enjoys the Leased Property or any portion thereof as tenant for years, licensee, tenant at sufferance or otherwise, and irrespective of whether such leases, rental agreements and arrangements be oral or written, and including any and all extensions, renewals and modifications thereof (the “</w:t>
      </w:r>
      <w:r>
        <w:rPr>
          <w:rFonts w:ascii="Arial" w:cs="Arial" w:eastAsia="Arial" w:hAnsi="Arial"/>
          <w:sz w:val="16"/>
          <w:szCs w:val="16"/>
          <w:i w:val="1"/>
          <w:iCs w:val="1"/>
          <w:color w:val="auto"/>
        </w:rPr>
        <w:t>Subject Leases</w:t>
      </w:r>
      <w:r>
        <w:rPr>
          <w:rFonts w:ascii="Arial" w:cs="Arial" w:eastAsia="Arial" w:hAnsi="Arial"/>
          <w:sz w:val="16"/>
          <w:szCs w:val="16"/>
          <w:color w:val="auto"/>
        </w:rPr>
        <w:t xml:space="preserve">”) and guaranties of the performance or obligations of any tenants or lessees thereunder, together with all income, rents, issues, profits and revenues from the Subject Leases (including all tenant security deposits and all other tenant deposits, whether held by Lessee or in a trust account, and all other deposits and escrow funds relating to any Subject Leases), and all the estate, right, title, interest, property, possession, claim and demand whatsoever at law, as well as in equity, of Lessee of, in and to the same;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although this Lease contains (and it is hereby agreed that this Lease contains) a present, current, unconditional and absolute assignment of all of said income, rents, issues, profits and revenues, Lessee shall collect and enjoy such rental payments and revenues as except as expressly provided otherwise in this Lease and the other Operative Documents; (v) all right, title and interest of Lessee in, to and under all franchise agreements, management contracts, consents, authorizations, certificates and other rights of every kind and character of any Governmental Authority affecting the Leased Property, to the extent the same are transferable, service contracts, utility contracts, leases of equipment, documents and agreements relating to the construction of any Modifications (including any and all construction contracts, architectural contracts, engineering contracts, designs, plans, specifications, drawings, surveys, tests, reports, bonds and governmental approvals) and all other contracts, licenses and permits now or hereafter affecting the Leased Property or any part thereof and all guaranties and warranties with respect to any of the foregoing (the “</w:t>
      </w:r>
      <w:r>
        <w:rPr>
          <w:rFonts w:ascii="Arial" w:cs="Arial" w:eastAsia="Arial" w:hAnsi="Arial"/>
          <w:sz w:val="16"/>
          <w:szCs w:val="16"/>
          <w:i w:val="1"/>
          <w:iCs w:val="1"/>
          <w:color w:val="auto"/>
        </w:rPr>
        <w:t>Subject Contracts</w:t>
      </w:r>
      <w:r>
        <w:rPr>
          <w:rFonts w:ascii="Arial" w:cs="Arial" w:eastAsia="Arial" w:hAnsi="Arial"/>
          <w:sz w:val="16"/>
          <w:szCs w:val="16"/>
          <w:color w:val="auto"/>
        </w:rPr>
        <w:t>”); (vi) all of the right, power and authority of Lessee to alter, modify or change the terms, conditions and provisions of any Subject Lease or Subject Contract, to consent to any request made by a party pursuant thereto, or to</w:t>
      </w:r>
    </w:p>
    <w:p>
      <w:pPr>
        <w:sectPr>
          <w:pgSz w:w="11900" w:h="16919" w:orient="portrait"/>
          <w:cols w:equalWidth="0" w:num="1">
            <w:col w:w="11400"/>
          </w:cols>
          <w:pgMar w:left="240" w:top="341" w:right="259" w:bottom="0" w:gutter="0" w:footer="0" w:header="0"/>
        </w:sectPr>
      </w:pPr>
    </w:p>
    <w:bookmarkStart w:id="108" w:name="page109"/>
    <w:bookmarkEnd w:id="108"/>
    <w:p>
      <w:pPr>
        <w:spacing w:after="0" w:line="13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surrender, cancel or terminate the same or to accept any surrender, cancellation or termination of the same, together with all of the options, rights, powers and privileges of Lessee under any Subject Lease or Subject Contract, whether heretofore or hereafter existing; (vii) all present and future right, title and interest of Lessee in and to (1) all refunds, tax abatement agreements, rebates, reserves, deferred payments, deposits, cost savings, awards and payments of any kind due from or payable by (a) any Governmental Authority, or (b) any insurance or utility company, in each case under clause (a) or (b) above in respect of the Site and the other Leased Property and, in the case of any insurance policy of the Lessee, to the extent such insurance policy is required to be maintained under the Operative Documents, and (2) all refunds, rebates and payments of any kind due from or payable by any Governmental Authority for any taxes, assessments, or governmental or quasi-</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governmental charges or levies imposed upon Lessee in respect of the Site and other Leased Property; (viii) all right, title and interest of Lessee in any insurance policies or binders now or hereafter relating to the Leased Property and required to be maintained under the Operative Documents, including any unearned premiums thereon, as further provided in this Lease; (ix) all right, title and interest of Lessee in any and all awards, payments, proceeds and the right to receive the same, either before or after any foreclosure hereunder, as a result of any temporary or permanent injury or damage to, taking of or decrease in the value of the Leased Property by reason of casualty, any exercise of the right of eminent domain or deed in lieu thereof, condemnation or otherwise as further provided in this Lease; (x) all right, title and interest of Lessee in all utility, escrow and all other deposits (and all letters of credit, certificates of deposit, negotiable instruments and other rights and evidence of rights to cash) now or hereafter relating to the Leased Property or the purchase, construction or operation thereof; (xi) all claims and causes of action arising from or otherwise related to any of the foregoing, and all rights and judgments related to any legal actions in connection with such claims or causes of action; (xii) all of right, title and interest of Lessee in and to the other Collateral; and (xiii) all Modifications, extensions, additions, improvements, betterments, renewals and replacements, substitutions, or proceeds of any of the foregoing, all of which foregoing items are hereby declared and shall be deemed to be a portion of the security for the indebtedness and Obligations herein described, a portion of the above described collateral being located upon the Site.</w:t>
      </w:r>
    </w:p>
    <w:p>
      <w:pPr>
        <w:spacing w:after="0" w:line="18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Notwithstanding anything to the contrary in this Article XXIV, (a) unless (i) an Event of Default (other than as set forth in Section 16.1(h) or (i)) has occurred and is continuing and Lessee receives written notice from Lessor or the Administrative Agent directing Lessee to pay to the Administrative Agent any rents, payments, issues, revenues, profits or other income (including any rents or other amounts payable under any other sublease and all deposits of money as advanced rent or for security) received by Lessee relating to the Leased Property or (ii) an Event of Default set forth in Section 16.1(h) or (i) has occurred, Lessee shall have the right to retain, use and enjoy such rents, payments, issues, revenues, profits and other income and (b) Security Property shall not include any Excluded Property (other than goods owned by the Lessee that are or are to become fixtures located on the real property described in Exhibit A).</w:t>
      </w:r>
    </w:p>
    <w:p>
      <w:pPr>
        <w:spacing w:after="0" w:line="18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Without limiting the generality of the foregoing, Lessor and the Lessee shall take such actions and execute, deliver, file and record such other documents and financing statements as may be necessary to ensure that, if this Lease was deemed to create a security interest in the Leased Property in accordance with this Section, such security interest would be deemed to be a perfected first priority security interest (subject only to Permitted Liens) and will be maintained as such throughout the Term. Lessee hereby authorizes Lessor and the Administrative Agent to file any and all financing statements covering the Security Property or any part thereof that Lessor or the Required Participants may require. Certain of the personal property covered by this Lease is or will become fixtures on the real property which is a part of the Security Property, and this Lease (or a memorandum thereof) upon being filed for record in the real estate records of the county wherein such fixtures are situated shall operate also as a financing statement filed as a fixture filing in accordance with the applicable provisions of the UCC upon such of the property which are or may become fixtures. The mailing address of Lessee (as debtor) and the address of Lessor (as secured party) from which information may be obtained are set forth in the introductory paragraph of this Lease. The Lessee has an interest of record in such real property.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85" w:lineRule="auto"/>
        <w:tabs>
          <w:tab w:leader="none" w:pos="1163" w:val="left"/>
        </w:tabs>
        <w:numPr>
          <w:ilvl w:val="0"/>
          <w:numId w:val="248"/>
        </w:numPr>
        <w:rPr>
          <w:rFonts w:ascii="Arial" w:cs="Arial" w:eastAsia="Arial" w:hAnsi="Arial"/>
          <w:sz w:val="16"/>
          <w:szCs w:val="16"/>
          <w:color w:val="auto"/>
        </w:rPr>
      </w:pPr>
      <w:r>
        <w:rPr>
          <w:rFonts w:ascii="Arial" w:cs="Arial" w:eastAsia="Arial" w:hAnsi="Arial"/>
          <w:sz w:val="16"/>
          <w:szCs w:val="16"/>
          <w:i w:val="1"/>
          <w:iCs w:val="1"/>
          <w:color w:val="auto"/>
        </w:rPr>
        <w:t xml:space="preserve">Power of Sale. </w:t>
      </w:r>
      <w:r>
        <w:rPr>
          <w:rFonts w:ascii="Arial" w:cs="Arial" w:eastAsia="Arial" w:hAnsi="Arial"/>
          <w:sz w:val="16"/>
          <w:szCs w:val="16"/>
          <w:color w:val="auto"/>
        </w:rPr>
        <w:t>Without limiting any other remedies set forth herein, in the event that a court of competent jurisdiction rules that this Lease</w:t>
      </w:r>
      <w:r>
        <w:rPr>
          <w:rFonts w:ascii="Arial" w:cs="Arial" w:eastAsia="Arial" w:hAnsi="Arial"/>
          <w:sz w:val="16"/>
          <w:szCs w:val="16"/>
          <w:i w:val="1"/>
          <w:iCs w:val="1"/>
          <w:color w:val="auto"/>
        </w:rPr>
        <w:t xml:space="preserve"> </w:t>
      </w:r>
      <w:r>
        <w:rPr>
          <w:rFonts w:ascii="Arial" w:cs="Arial" w:eastAsia="Arial" w:hAnsi="Arial"/>
          <w:sz w:val="16"/>
          <w:szCs w:val="16"/>
          <w:color w:val="auto"/>
        </w:rPr>
        <w:t>constitutes a mortgage, deed of trust or other secured financing with respect to the Leased Property as is the intent of the parties pursuant to Section 24 hereof, then Lessor and the Lessee agree that (i) the Lessee hereby grants to the Lessor and its successor and assigns a Lien against the Leased Property (including the estate therein) WITH POWER OF SALE to the extent permitted by law, and that, upon the occurrence and during the continuance of any Event of Default, Lessor may, and is hereby irrevocably empowered to, with or without entry, and to the extent permitted by Applicable Law, sell or cause the sale of the Leased Property or the other Collateral or any part or parts thereof at one or more public auctions as an entirety or in parcels as the Lessor may elect free from any equity of redemption for cash, on credit, or for other property, for immediate or future delivery, and on such terms as the Lessor shall deem advantageous and proper, such sale or sales to be made in such manner and upon such notice and advertisement as may be required by Applicable Law, or in the absence of any such requirements, as the Lessor may deem appropriate, and to make conveyance to the purchase or purchasers. Lessor may, if at the time such action may be lawful and always subject to compliance with any mandatory legal requirements, by filing its notice of election and demand for sale to enforce its mortgage and to sell the Security Property, as an entirety or in parcels, by one sale or by several sales, held at one time or at different times, all as the Lessor may elect, each sale to be held at the location set forth in the notice of such proposed sale and the Lessor shall have given notices of the proposed sale in the manner hereinafter set forth, and to make due conveyance to the purchaser or purchasers, with special warranty of title or no warranty of title to such purchaser or purchasers binding upon the Lessee and its heirs, executors, administrators, and successors. Such sale must begin at the time stated in the notice referred to below in this Section or as otherwise permitted by Applicable Law. The Lessee, for itself, its heirs and assigns, and for anyone who may claim by, through or under the Lessee, hereby expressly and specifically waives all rights to a marshaling of the assets of the Lessee, including the Security Property, or to a sale in inverse order of alienation. Lessor may bid and become the purchaser of all or any part of the Leased Property at any such sale, and the amount of Lessor’s successful bid may be credited against the Obligations.</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Lessor (or a person or persons selected by the Lessor) shall promptly comply with all notice and other requirements of the laws of New York then in force with respect to such sales, and shall give any required public notice of the time and place of such sale by advertisement weekly in some newspaper of general circulation then published in the County or City and County in which the Security Property is located. No notice of such sale or sales other than the notices hereinabove provided shall be required to be given to the Lessee (or anyone who may claim by, through or under the Lessee) or any other persons and any other notice (including, without limitation, any notice of acceleration of, or intent to accelerate, the unpaid balance of any Obligation) is expressly waived.</w:t>
      </w:r>
    </w:p>
    <w:p>
      <w:pPr>
        <w:spacing w:after="0" w:line="193"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The provisions of this Section with respect to posting, serving, filing, and giving notices of sale are intended to comply with all Applicable Laws. In the event the requirement for any notice, or the posting, serving, filing, or giving thereof, under any Applicable Law shall be eliminated or the prescribed</w:t>
      </w:r>
    </w:p>
    <w:p>
      <w:pPr>
        <w:sectPr>
          <w:pgSz w:w="11900" w:h="16975" w:orient="portrait"/>
          <w:cols w:equalWidth="0" w:num="1">
            <w:col w:w="11420"/>
          </w:cols>
          <w:pgMar w:left="240" w:top="125" w:right="239" w:bottom="0" w:gutter="0" w:footer="0" w:header="0"/>
        </w:sectPr>
      </w:pPr>
    </w:p>
    <w:bookmarkStart w:id="109" w:name="page110"/>
    <w:bookmarkEnd w:id="109"/>
    <w:p>
      <w:pPr>
        <w:spacing w:after="0" w:line="1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manner of posting, serving, filing, or giving same is modified by future amendment to such Applicable Law, the requirement for such particular notice shall be stricken from, or the manner of posting, serving, filing, or giving any notice hereunder modified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in, this Mortgage in conformity with such amendment. The manner herein prescribed for posting, serving, filing, or giving any notice, other than that to be posted and filed or caused to be posted or filed by the Lessor, shall not be deemed exclusive but such notice or notices may be posted, served, filed, or given in any other manner which may be permitted by Applicable Law. Further, in relation to this Mortgage and the exercise of any power of sale by the Lessor hereunder, if any Applicable Law shall be amended or modified to require any other notice or the posting, filing, serving, or giving thereof or any statute hereafter enacted shall require any other notice or the posting, filing, serving, or giving thereof, the Lessor or the person selected by him is hereby authorized and empowered by the Lessee to give such notice or make such posting, filing, serving, or giving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the Lessee waives such other notice or the posting, filing, serving, or giving thereof to the full extent the Lessee may lawfully so do. Any provisions of this paragraph, or any amendments to or modifications to any Applicable Law to the contrary notwithstanding, the time periods provided for in the immediately preceding paragraph in respect of which the notices provided for in said paragraph are to be given shall not be shortened or eliminated as a result of any such amendment or modification.</w:t>
      </w:r>
    </w:p>
    <w:p>
      <w:pPr>
        <w:spacing w:after="0" w:line="167"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addition to any other remedies granted to Lessor (including specifically, but not limited to, the right to proceed against all the Security Property in accordance with the rights and remedies in respect to those portions of the Collateral which are real property pursuant to Section 9-501(b) of the UCC), upon the occurrence of an Event of Default Lessor may (i) proceed by a suit or suits in equity or at law, whether for a foreclosure hereunder, or for the sale of the Leased Property, or against Lessee on a recourse basis for the Lease Balance, or for the specific performance of any covenant or agreement contained in this Lease or in aid of the execution of any power herein granted, or for the appointment of a receiver pending any foreclosure hereunder or the sale of the Leased Property, or for the enforcement of any other appropriate legal or equitable remedy and (ii) proceed under the UCC as to all or any part of the personal property (tangible or intangible) and fixtures included with the Security Property (such portion of the Security Property being referred to herein as the “</w:t>
      </w:r>
      <w:r>
        <w:rPr>
          <w:rFonts w:ascii="Arial" w:cs="Arial" w:eastAsia="Arial" w:hAnsi="Arial"/>
          <w:sz w:val="17"/>
          <w:szCs w:val="17"/>
          <w:i w:val="1"/>
          <w:iCs w:val="1"/>
          <w:color w:val="auto"/>
        </w:rPr>
        <w:t>Personalty</w:t>
      </w:r>
      <w:r>
        <w:rPr>
          <w:rFonts w:ascii="Arial" w:cs="Arial" w:eastAsia="Arial" w:hAnsi="Arial"/>
          <w:sz w:val="17"/>
          <w:szCs w:val="17"/>
          <w:color w:val="auto"/>
        </w:rPr>
        <w:t>”) and shall have and may exercise with respect to the Personalty all the rights, remedies, and powers of a secured party under the UCC, including, without limitation, the right and power to sell, at one or more public or private sales, or otherwise dispose of, lease, or utilize the Personalty and any part or parts thereof in any manner authorized or permitted under the UCC after default by a debtor, and to apply the proceeds thereof toward payment of any costs and expenses and attorney’s fees and legal expenses thereby incurred by Lessor, and toward payment of the Obligations hereby secured in such order or manner as provided herein.</w:t>
      </w:r>
    </w:p>
    <w:p>
      <w:pPr>
        <w:spacing w:after="0" w:line="18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i w:val="1"/>
          <w:iCs w:val="1"/>
          <w:color w:val="auto"/>
        </w:rPr>
        <w:t>Section 24.3.</w:t>
      </w:r>
      <w:r>
        <w:rPr>
          <w:sz w:val="20"/>
          <w:szCs w:val="20"/>
          <w:color w:val="auto"/>
        </w:rPr>
        <w:tab/>
      </w:r>
      <w:r>
        <w:rPr>
          <w:rFonts w:ascii="Arial" w:cs="Arial" w:eastAsia="Arial" w:hAnsi="Arial"/>
          <w:sz w:val="16"/>
          <w:szCs w:val="16"/>
          <w:i w:val="1"/>
          <w:iCs w:val="1"/>
          <w:color w:val="auto"/>
        </w:rPr>
        <w:t>State Specific Provisions</w:t>
      </w:r>
      <w:r>
        <w:rPr>
          <w:rFonts w:ascii="Arial" w:cs="Arial" w:eastAsia="Arial" w:hAnsi="Arial"/>
          <w:sz w:val="16"/>
          <w:szCs w:val="16"/>
          <w:color w:val="auto"/>
        </w:rPr>
        <w:t>.</w:t>
      </w:r>
    </w:p>
    <w:p>
      <w:pPr>
        <w:spacing w:after="0" w:line="225" w:lineRule="exact"/>
        <w:rPr>
          <w:sz w:val="20"/>
          <w:szCs w:val="20"/>
          <w:color w:val="auto"/>
        </w:rPr>
      </w:pPr>
    </w:p>
    <w:p>
      <w:pPr>
        <w:ind w:right="80" w:firstLine="656"/>
        <w:spacing w:after="0" w:line="297" w:lineRule="auto"/>
        <w:tabs>
          <w:tab w:leader="none" w:pos="1163"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This Mortgage is given to secure, among other things, and shall secure not only presently existing indebtedness under the Participation Agreement and this Lease. The lien of this Mortgage shall be valid as to all indebtedness hereby secured, including future advances, from the time of its filing for record in the office of the clerk of the superior court of the county in which the Leased Property is located. This Mortgage shall remain in full force and effect as to any further advances under the Participation Agreement and the other Operative Documents made after any such zero balance until the indebtedness secured by this Mortgage is paid in full and satisfied, all agreements of Lessor to make further advances have been terminated and this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Mortgage has been cancelled of record. This Mortgage shall be valid and have priority over all subsequent liens and encumbrances, including statutory liens, excepting solely taxes and assessments levied on the Leased Property, to the extent of the maximum amount secured hereby.</w:t>
      </w:r>
    </w:p>
    <w:p>
      <w:pPr>
        <w:spacing w:after="0" w:line="170" w:lineRule="exact"/>
        <w:rPr>
          <w:sz w:val="20"/>
          <w:szCs w:val="20"/>
          <w:color w:val="auto"/>
        </w:rPr>
      </w:pPr>
    </w:p>
    <w:p>
      <w:pPr>
        <w:ind w:right="620" w:firstLine="643"/>
        <w:spacing w:after="0" w:line="277" w:lineRule="auto"/>
        <w:tabs>
          <w:tab w:leader="none" w:pos="11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In the event of any inconsistencies between the terms and conditions of this Section 24.3(b) and the other terms and conditions of this Mortgage, the terms and conditions of this Section 24.3(b) shall control and be binding.</w:t>
      </w:r>
    </w:p>
    <w:p>
      <w:pPr>
        <w:spacing w:after="0" w:line="170" w:lineRule="exact"/>
        <w:rPr>
          <w:rFonts w:ascii="Arial" w:cs="Arial" w:eastAsia="Arial" w:hAnsi="Arial"/>
          <w:sz w:val="18"/>
          <w:szCs w:val="18"/>
          <w:color w:val="auto"/>
        </w:rPr>
      </w:pPr>
    </w:p>
    <w:p>
      <w:pPr>
        <w:ind w:left="660" w:right="220" w:firstLine="793"/>
        <w:spacing w:after="0" w:line="276" w:lineRule="auto"/>
        <w:tabs>
          <w:tab w:leader="none" w:pos="2032" w:val="left"/>
        </w:tabs>
        <w:numPr>
          <w:ilvl w:val="1"/>
          <w:numId w:val="250"/>
        </w:numPr>
        <w:rPr>
          <w:rFonts w:ascii="Arial" w:cs="Arial" w:eastAsia="Arial" w:hAnsi="Arial"/>
          <w:sz w:val="17"/>
          <w:szCs w:val="17"/>
          <w:color w:val="auto"/>
        </w:rPr>
      </w:pPr>
      <w:r>
        <w:rPr>
          <w:rFonts w:ascii="Arial" w:cs="Arial" w:eastAsia="Arial" w:hAnsi="Arial"/>
          <w:sz w:val="17"/>
          <w:szCs w:val="17"/>
          <w:i w:val="1"/>
          <w:iCs w:val="1"/>
          <w:color w:val="auto"/>
        </w:rPr>
        <w:t>MAXIMUM PRINCIPAL SUM</w:t>
      </w:r>
      <w:r>
        <w:rPr>
          <w:rFonts w:ascii="Arial" w:cs="Arial" w:eastAsia="Arial" w:hAnsi="Arial"/>
          <w:sz w:val="17"/>
          <w:szCs w:val="17"/>
          <w:color w:val="auto"/>
        </w:rPr>
        <w:t>. THE PARTIES HERETO INTEND THAT THIS MORTGAGE SHALL SECURE UNPAID</w:t>
      </w:r>
      <w:r>
        <w:rPr>
          <w:rFonts w:ascii="Arial" w:cs="Arial" w:eastAsia="Arial" w:hAnsi="Arial"/>
          <w:sz w:val="17"/>
          <w:szCs w:val="17"/>
          <w:i w:val="1"/>
          <w:iCs w:val="1"/>
          <w:color w:val="auto"/>
        </w:rPr>
        <w:t xml:space="preserve"> </w:t>
      </w:r>
      <w:r>
        <w:rPr>
          <w:rFonts w:ascii="Arial" w:cs="Arial" w:eastAsia="Arial" w:hAnsi="Arial"/>
          <w:sz w:val="17"/>
          <w:szCs w:val="17"/>
          <w:color w:val="auto"/>
        </w:rPr>
        <w:t>BALANCES OF THE INDEBTEDNESS SECURED HEREBY WHETHER INCURRED BY LESSOR AT THE DATE HEREOF OR AFTER THIS MORTGAGE IS DELIVERED FOR RECORDATION IN THE OFFICIAL RECORDS OF THE COUNTY IN WHICH THE LEASED PROPERTY IS LOCATED. THE MAXIMUM PRINCIPAL AMOUNT OF INDEBTEDNESS WHICH IS OR UNDER ANY CONTINGENCY MAY BE SECURED AT THE DATE OF EXECUTION HEREOF OR AT ANY TIME THEREAFTER BY THIS MORTGAGE IS $720,000,000.</w:t>
      </w:r>
    </w:p>
    <w:p>
      <w:pPr>
        <w:spacing w:after="0" w:line="172" w:lineRule="exact"/>
        <w:rPr>
          <w:rFonts w:ascii="Arial" w:cs="Arial" w:eastAsia="Arial" w:hAnsi="Arial"/>
          <w:sz w:val="17"/>
          <w:szCs w:val="17"/>
          <w:color w:val="auto"/>
        </w:rPr>
      </w:pPr>
    </w:p>
    <w:p>
      <w:pPr>
        <w:ind w:left="660" w:firstLine="753"/>
        <w:spacing w:after="0" w:line="255" w:lineRule="auto"/>
        <w:tabs>
          <w:tab w:leader="none" w:pos="2041" w:val="left"/>
        </w:tabs>
        <w:numPr>
          <w:ilvl w:val="1"/>
          <w:numId w:val="250"/>
        </w:numPr>
        <w:rPr>
          <w:rFonts w:ascii="Arial" w:cs="Arial" w:eastAsia="Arial" w:hAnsi="Arial"/>
          <w:sz w:val="18"/>
          <w:szCs w:val="18"/>
          <w:color w:val="auto"/>
        </w:rPr>
      </w:pPr>
      <w:r>
        <w:rPr>
          <w:rFonts w:ascii="Arial" w:cs="Arial" w:eastAsia="Arial" w:hAnsi="Arial"/>
          <w:sz w:val="18"/>
          <w:szCs w:val="18"/>
          <w:i w:val="1"/>
          <w:iCs w:val="1"/>
          <w:color w:val="auto"/>
        </w:rPr>
        <w:t>Trust Fund for Advances</w:t>
      </w:r>
      <w:r>
        <w:rPr>
          <w:rFonts w:ascii="Arial" w:cs="Arial" w:eastAsia="Arial" w:hAnsi="Arial"/>
          <w:sz w:val="18"/>
          <w:szCs w:val="18"/>
          <w:color w:val="auto"/>
        </w:rPr>
        <w:t>. In compliance with Section 13 of the Lien Law of the State of New York, Lessor will receive the</w:t>
      </w:r>
      <w:r>
        <w:rPr>
          <w:rFonts w:ascii="Arial" w:cs="Arial" w:eastAsia="Arial" w:hAnsi="Arial"/>
          <w:sz w:val="18"/>
          <w:szCs w:val="18"/>
          <w:i w:val="1"/>
          <w:iCs w:val="1"/>
          <w:color w:val="auto"/>
        </w:rPr>
        <w:t xml:space="preserve"> </w:t>
      </w:r>
      <w:r>
        <w:rPr>
          <w:rFonts w:ascii="Arial" w:cs="Arial" w:eastAsia="Arial" w:hAnsi="Arial"/>
          <w:sz w:val="18"/>
          <w:szCs w:val="18"/>
          <w:color w:val="auto"/>
        </w:rPr>
        <w:t>advances secured by this Mortgage and will hold the right to receive such advances as a trust fund to be applied first for the purpose of paying the cost of the building(s) and other improvements located on the Leased Property before using any part of the total of the same for any other purpose. Lessor will indemnify and hold the Lessee harmless against any loss, liability, cost or expense, including any judgments, attorneys’ fees, costs of appeal bonds or printing costs, arising out of or relating to any proceedings instituted by any claimant alleging a violation by Lessor of Article 3-A of the New York Lien Law.</w:t>
      </w:r>
    </w:p>
    <w:p>
      <w:pPr>
        <w:spacing w:after="0" w:line="193" w:lineRule="exact"/>
        <w:rPr>
          <w:rFonts w:ascii="Arial" w:cs="Arial" w:eastAsia="Arial" w:hAnsi="Arial"/>
          <w:sz w:val="18"/>
          <w:szCs w:val="18"/>
          <w:color w:val="auto"/>
        </w:rPr>
      </w:pPr>
    </w:p>
    <w:p>
      <w:pPr>
        <w:ind w:left="660" w:right="20" w:firstLine="699"/>
        <w:spacing w:after="0" w:line="264" w:lineRule="auto"/>
        <w:tabs>
          <w:tab w:leader="none" w:pos="2037" w:val="left"/>
        </w:tabs>
        <w:numPr>
          <w:ilvl w:val="1"/>
          <w:numId w:val="250"/>
        </w:numPr>
        <w:rPr>
          <w:rFonts w:ascii="Arial" w:cs="Arial" w:eastAsia="Arial" w:hAnsi="Arial"/>
          <w:sz w:val="18"/>
          <w:szCs w:val="18"/>
          <w:color w:val="auto"/>
        </w:rPr>
      </w:pPr>
      <w:r>
        <w:rPr>
          <w:rFonts w:ascii="Arial" w:cs="Arial" w:eastAsia="Arial" w:hAnsi="Arial"/>
          <w:sz w:val="18"/>
          <w:szCs w:val="18"/>
          <w:i w:val="1"/>
          <w:iCs w:val="1"/>
          <w:color w:val="auto"/>
        </w:rPr>
        <w:t>New York Real Property Law Article 4-A</w:t>
      </w:r>
      <w:r>
        <w:rPr>
          <w:rFonts w:ascii="Arial" w:cs="Arial" w:eastAsia="Arial" w:hAnsi="Arial"/>
          <w:sz w:val="18"/>
          <w:szCs w:val="18"/>
          <w:color w:val="auto"/>
        </w:rPr>
        <w:t>. If this Mortgage shall be deemed to constitute a “mortgage investment” as defined by</w:t>
      </w:r>
      <w:r>
        <w:rPr>
          <w:rFonts w:ascii="Arial" w:cs="Arial" w:eastAsia="Arial" w:hAnsi="Arial"/>
          <w:sz w:val="18"/>
          <w:szCs w:val="18"/>
          <w:i w:val="1"/>
          <w:iCs w:val="1"/>
          <w:color w:val="auto"/>
        </w:rPr>
        <w:t xml:space="preserve"> </w:t>
      </w:r>
      <w:r>
        <w:rPr>
          <w:rFonts w:ascii="Arial" w:cs="Arial" w:eastAsia="Arial" w:hAnsi="Arial"/>
          <w:sz w:val="18"/>
          <w:szCs w:val="18"/>
          <w:color w:val="auto"/>
        </w:rPr>
        <w:t>New York Real Property Law § 125, then this Mortgage shall and hereby does (i) confer upon the Lessee the powers and (ii) impose upon the Lessee the duties of trustees set forth in New York Real Property Law § 126.</w:t>
      </w:r>
    </w:p>
    <w:p>
      <w:pPr>
        <w:spacing w:after="0" w:line="181" w:lineRule="exact"/>
        <w:rPr>
          <w:rFonts w:ascii="Arial" w:cs="Arial" w:eastAsia="Arial" w:hAnsi="Arial"/>
          <w:sz w:val="18"/>
          <w:szCs w:val="18"/>
          <w:color w:val="auto"/>
        </w:rPr>
      </w:pPr>
    </w:p>
    <w:p>
      <w:pPr>
        <w:ind w:left="660" w:right="20" w:firstLine="712"/>
        <w:spacing w:after="0" w:line="264" w:lineRule="auto"/>
        <w:tabs>
          <w:tab w:leader="none" w:pos="1996" w:val="left"/>
        </w:tabs>
        <w:numPr>
          <w:ilvl w:val="1"/>
          <w:numId w:val="250"/>
        </w:numPr>
        <w:rPr>
          <w:rFonts w:ascii="Arial" w:cs="Arial" w:eastAsia="Arial" w:hAnsi="Arial"/>
          <w:sz w:val="18"/>
          <w:szCs w:val="18"/>
          <w:color w:val="auto"/>
        </w:rPr>
      </w:pPr>
      <w:r>
        <w:rPr>
          <w:rFonts w:ascii="Arial" w:cs="Arial" w:eastAsia="Arial" w:hAnsi="Arial"/>
          <w:sz w:val="18"/>
          <w:szCs w:val="18"/>
          <w:i w:val="1"/>
          <w:iCs w:val="1"/>
          <w:color w:val="auto"/>
        </w:rPr>
        <w:t>Statement in Accordance with Section 253.1a(a) of the New York Tax Law</w:t>
      </w:r>
      <w:r>
        <w:rPr>
          <w:rFonts w:ascii="Arial" w:cs="Arial" w:eastAsia="Arial" w:hAnsi="Arial"/>
          <w:sz w:val="18"/>
          <w:szCs w:val="18"/>
          <w:color w:val="auto"/>
        </w:rPr>
        <w:t>. This Mortgage does not cover real property principally</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or to be improved by one or more structures containing in the aggregate not more than six (6) residential dwelling units, each having separate cooking facilities.</w:t>
      </w:r>
    </w:p>
    <w:p>
      <w:pPr>
        <w:spacing w:after="0" w:line="181" w:lineRule="exact"/>
        <w:rPr>
          <w:rFonts w:ascii="Arial" w:cs="Arial" w:eastAsia="Arial" w:hAnsi="Arial"/>
          <w:sz w:val="18"/>
          <w:szCs w:val="18"/>
          <w:color w:val="auto"/>
        </w:rPr>
      </w:pPr>
    </w:p>
    <w:p>
      <w:pPr>
        <w:ind w:left="660" w:right="160" w:firstLine="753"/>
        <w:spacing w:after="0" w:line="277" w:lineRule="auto"/>
        <w:tabs>
          <w:tab w:leader="none" w:pos="1986" w:val="left"/>
        </w:tabs>
        <w:numPr>
          <w:ilvl w:val="1"/>
          <w:numId w:val="250"/>
        </w:numPr>
        <w:rPr>
          <w:rFonts w:ascii="Arial" w:cs="Arial" w:eastAsia="Arial" w:hAnsi="Arial"/>
          <w:sz w:val="18"/>
          <w:szCs w:val="18"/>
          <w:color w:val="auto"/>
        </w:rPr>
      </w:pPr>
      <w:r>
        <w:rPr>
          <w:rFonts w:ascii="Arial" w:cs="Arial" w:eastAsia="Arial" w:hAnsi="Arial"/>
          <w:sz w:val="18"/>
          <w:szCs w:val="18"/>
          <w:i w:val="1"/>
          <w:iCs w:val="1"/>
          <w:color w:val="auto"/>
        </w:rPr>
        <w:t>Statement in Accordance with Section 274-a of the New York Real Property Law</w:t>
      </w:r>
      <w:r>
        <w:rPr>
          <w:rFonts w:ascii="Arial" w:cs="Arial" w:eastAsia="Arial" w:hAnsi="Arial"/>
          <w:sz w:val="18"/>
          <w:szCs w:val="18"/>
          <w:color w:val="auto"/>
        </w:rPr>
        <w:t>. The Lessee shall, within fifteen (15) days after</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request, provide Lessor with the statement required by Section 274-a of the New York Real Property Law.</w:t>
      </w:r>
    </w:p>
    <w:p>
      <w:pPr>
        <w:spacing w:after="0" w:line="170" w:lineRule="exact"/>
        <w:rPr>
          <w:rFonts w:ascii="Arial" w:cs="Arial" w:eastAsia="Arial" w:hAnsi="Arial"/>
          <w:sz w:val="18"/>
          <w:szCs w:val="18"/>
          <w:color w:val="auto"/>
        </w:rPr>
      </w:pPr>
    </w:p>
    <w:p>
      <w:pPr>
        <w:ind w:left="660" w:right="600" w:firstLine="712"/>
        <w:spacing w:after="0" w:line="277" w:lineRule="auto"/>
        <w:tabs>
          <w:tab w:leader="none" w:pos="1996" w:val="left"/>
        </w:tabs>
        <w:numPr>
          <w:ilvl w:val="1"/>
          <w:numId w:val="250"/>
        </w:numPr>
        <w:rPr>
          <w:rFonts w:ascii="Arial" w:cs="Arial" w:eastAsia="Arial" w:hAnsi="Arial"/>
          <w:sz w:val="18"/>
          <w:szCs w:val="18"/>
          <w:color w:val="auto"/>
        </w:rPr>
      </w:pPr>
      <w:r>
        <w:rPr>
          <w:rFonts w:ascii="Arial" w:cs="Arial" w:eastAsia="Arial" w:hAnsi="Arial"/>
          <w:sz w:val="18"/>
          <w:szCs w:val="18"/>
          <w:i w:val="1"/>
          <w:iCs w:val="1"/>
          <w:color w:val="auto"/>
        </w:rPr>
        <w:t>Section 291-f of New York Real Property Law</w:t>
      </w:r>
      <w:r>
        <w:rPr>
          <w:rFonts w:ascii="Arial" w:cs="Arial" w:eastAsia="Arial" w:hAnsi="Arial"/>
          <w:sz w:val="18"/>
          <w:szCs w:val="18"/>
          <w:color w:val="auto"/>
        </w:rPr>
        <w:t>. The Lessee shall have all of the rights set forth in Section 291-f of the Real</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Law of New York. For</w:t>
      </w:r>
    </w:p>
    <w:p>
      <w:pPr>
        <w:sectPr>
          <w:pgSz w:w="11900" w:h="16851" w:orient="portrait"/>
          <w:cols w:equalWidth="0" w:num="1">
            <w:col w:w="11420"/>
          </w:cols>
          <w:pgMar w:left="240" w:top="125"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51" w:orient="portrait"/>
          <w:cols w:equalWidth="0" w:num="1">
            <w:col w:w="11420"/>
          </w:cols>
          <w:pgMar w:left="240" w:top="125" w:right="239" w:bottom="0" w:gutter="0" w:footer="0" w:header="0"/>
          <w:type w:val="continuous"/>
        </w:sectPr>
      </w:pPr>
    </w:p>
    <w:bookmarkStart w:id="110" w:name="page111"/>
    <w:bookmarkEnd w:id="110"/>
    <w:p>
      <w:pPr>
        <w:ind w:left="660"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purposes of Section 291-f of the New York Real Property Law, all existing tenants and every tenant or subtenant who after the recording of this Mortgage, enters into a lease upon the premises of any of the Leased Property or who acquires by instrument of assignment or by operation of law a leasehold estate upon the Leased Property is hereby notified that Lessor shall not, without obtaining the Lessee’s prior consent in each instance, cancel, abridge or otherwise modify any leases or accept prepayments for more than thirty (30) days of installments of rent to become due with respect to any lease thereof having an unexpired term on the date of this Mortgage of five (5) years or more and that any such cancellation, abridgement, modification or prepayment made by any such tenant or subtenant without either being expressly permitted under this Mortgage or receiving the Lessee’s prior consent shall be voidable by the Lessee at its option.</w:t>
      </w:r>
    </w:p>
    <w:p>
      <w:pPr>
        <w:spacing w:after="0" w:line="178" w:lineRule="exact"/>
        <w:rPr>
          <w:sz w:val="20"/>
          <w:szCs w:val="20"/>
          <w:color w:val="auto"/>
        </w:rPr>
      </w:pPr>
    </w:p>
    <w:p>
      <w:pPr>
        <w:ind w:left="660" w:right="60" w:firstLine="658"/>
        <w:spacing w:after="0" w:line="264" w:lineRule="auto"/>
        <w:tabs>
          <w:tab w:leader="none" w:pos="2037" w:val="left"/>
        </w:tabs>
        <w:numPr>
          <w:ilvl w:val="0"/>
          <w:numId w:val="251"/>
        </w:numPr>
        <w:rPr>
          <w:rFonts w:ascii="Arial" w:cs="Arial" w:eastAsia="Arial" w:hAnsi="Arial"/>
          <w:sz w:val="18"/>
          <w:szCs w:val="18"/>
          <w:color w:val="auto"/>
        </w:rPr>
      </w:pPr>
      <w:r>
        <w:rPr>
          <w:rFonts w:ascii="Arial" w:cs="Arial" w:eastAsia="Arial" w:hAnsi="Arial"/>
          <w:sz w:val="18"/>
          <w:szCs w:val="18"/>
          <w:i w:val="1"/>
          <w:iCs w:val="1"/>
          <w:color w:val="auto"/>
        </w:rPr>
        <w:t>Sections 254, 271, 272 and 291-f of New York Real Property Law</w:t>
      </w:r>
      <w:r>
        <w:rPr>
          <w:rFonts w:ascii="Arial" w:cs="Arial" w:eastAsia="Arial" w:hAnsi="Arial"/>
          <w:sz w:val="18"/>
          <w:szCs w:val="18"/>
          <w:color w:val="auto"/>
        </w:rPr>
        <w:t>. All covenants of Lessor herein contained shall be construed as</w:t>
      </w:r>
      <w:r>
        <w:rPr>
          <w:rFonts w:ascii="Arial" w:cs="Arial" w:eastAsia="Arial" w:hAnsi="Arial"/>
          <w:sz w:val="18"/>
          <w:szCs w:val="18"/>
          <w:i w:val="1"/>
          <w:iCs w:val="1"/>
          <w:color w:val="auto"/>
        </w:rPr>
        <w:t xml:space="preserve"> </w:t>
      </w:r>
      <w:r>
        <w:rPr>
          <w:rFonts w:ascii="Arial" w:cs="Arial" w:eastAsia="Arial" w:hAnsi="Arial"/>
          <w:sz w:val="18"/>
          <w:szCs w:val="18"/>
          <w:color w:val="auto"/>
        </w:rPr>
        <w:t>affording to the Lessee rights additional to and not exclusive of the rights conferred under the provisions of Sections 254, 271, 272 and 291-f of the Real Property Law of New York (except as otherwise provided herein).</w:t>
      </w:r>
    </w:p>
    <w:p>
      <w:pPr>
        <w:spacing w:after="0" w:line="181" w:lineRule="exact"/>
        <w:rPr>
          <w:rFonts w:ascii="Arial" w:cs="Arial" w:eastAsia="Arial" w:hAnsi="Arial"/>
          <w:sz w:val="18"/>
          <w:szCs w:val="18"/>
          <w:color w:val="auto"/>
        </w:rPr>
      </w:pPr>
    </w:p>
    <w:p>
      <w:pPr>
        <w:ind w:left="660" w:right="640" w:firstLine="604"/>
        <w:spacing w:after="0" w:line="277" w:lineRule="auto"/>
        <w:tabs>
          <w:tab w:leader="none" w:pos="2033" w:val="left"/>
        </w:tabs>
        <w:numPr>
          <w:ilvl w:val="0"/>
          <w:numId w:val="251"/>
        </w:numPr>
        <w:rPr>
          <w:rFonts w:ascii="Arial" w:cs="Arial" w:eastAsia="Arial" w:hAnsi="Arial"/>
          <w:sz w:val="18"/>
          <w:szCs w:val="18"/>
          <w:color w:val="auto"/>
        </w:rPr>
      </w:pPr>
      <w:r>
        <w:rPr>
          <w:rFonts w:ascii="Arial" w:cs="Arial" w:eastAsia="Arial" w:hAnsi="Arial"/>
          <w:sz w:val="18"/>
          <w:szCs w:val="18"/>
          <w:i w:val="1"/>
          <w:iCs w:val="1"/>
          <w:color w:val="auto"/>
        </w:rPr>
        <w:t>Real Property Law</w:t>
      </w:r>
      <w:r>
        <w:rPr>
          <w:rFonts w:ascii="Arial" w:cs="Arial" w:eastAsia="Arial" w:hAnsi="Arial"/>
          <w:sz w:val="18"/>
          <w:szCs w:val="18"/>
          <w:color w:val="auto"/>
        </w:rPr>
        <w:t>. The provisions of subsection 4 of Section 254 and subsection 2 of Section 271 of the New York Real</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Law covering the insurance of buildings against loss by fire shall not apply to this Mortgage.</w:t>
      </w:r>
    </w:p>
    <w:p>
      <w:pPr>
        <w:spacing w:after="0" w:line="170" w:lineRule="exact"/>
        <w:rPr>
          <w:rFonts w:ascii="Arial" w:cs="Arial" w:eastAsia="Arial" w:hAnsi="Arial"/>
          <w:sz w:val="18"/>
          <w:szCs w:val="18"/>
          <w:color w:val="auto"/>
        </w:rPr>
      </w:pPr>
    </w:p>
    <w:p>
      <w:pPr>
        <w:ind w:left="660" w:right="20" w:firstLine="712"/>
        <w:spacing w:after="0" w:line="272" w:lineRule="auto"/>
        <w:tabs>
          <w:tab w:leader="none" w:pos="1681" w:val="left"/>
        </w:tabs>
        <w:numPr>
          <w:ilvl w:val="0"/>
          <w:numId w:val="251"/>
        </w:numPr>
        <w:rPr>
          <w:rFonts w:ascii="Arial" w:cs="Arial" w:eastAsia="Arial" w:hAnsi="Arial"/>
          <w:sz w:val="17"/>
          <w:szCs w:val="17"/>
          <w:color w:val="auto"/>
        </w:rPr>
      </w:pPr>
      <w:r>
        <w:rPr>
          <w:rFonts w:ascii="Arial" w:cs="Arial" w:eastAsia="Arial" w:hAnsi="Arial"/>
          <w:sz w:val="17"/>
          <w:szCs w:val="17"/>
          <w:i w:val="1"/>
          <w:iCs w:val="1"/>
          <w:color w:val="auto"/>
        </w:rPr>
        <w:t>RPAPL</w:t>
      </w:r>
      <w:r>
        <w:rPr>
          <w:rFonts w:ascii="Arial" w:cs="Arial" w:eastAsia="Arial" w:hAnsi="Arial"/>
          <w:sz w:val="17"/>
          <w:szCs w:val="17"/>
          <w:color w:val="auto"/>
        </w:rPr>
        <w:t>. If an Event of Default shall occur and be continuing, the Lessor may elect, with or without entry or taking possession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Leased Property, personally or by its agents or attorneys, and without prejudice to the right to bring an action for foreclosure of this Mortgage, to sell (and, in the case of any default of any purchaser, resell) the Leased Property or any part thereof pursuant to any procedures provided by Applicable Law, including, without limitation, by exercise of the power of foreclosure or of sale granted to the Lessor by Articles 13 or 14 of the New York Real Property Actions and Proceedings Law (the “</w:t>
      </w:r>
      <w:r>
        <w:rPr>
          <w:rFonts w:ascii="Arial" w:cs="Arial" w:eastAsia="Arial" w:hAnsi="Arial"/>
          <w:sz w:val="17"/>
          <w:szCs w:val="17"/>
          <w:u w:val="single" w:color="auto"/>
          <w:color w:val="auto"/>
        </w:rPr>
        <w:t>RPAPL</w:t>
      </w:r>
      <w:r>
        <w:rPr>
          <w:rFonts w:ascii="Arial" w:cs="Arial" w:eastAsia="Arial" w:hAnsi="Arial"/>
          <w:sz w:val="17"/>
          <w:szCs w:val="17"/>
          <w:color w:val="auto"/>
        </w:rPr>
        <w:t>”). In such case, the Lessor may commence a civil action to foreclose this Mortgage pursuant to Article 13 of the RPAPL, or it may proceed and sell the Property pursuant to Article 14 of the RPAPL to satisfy the Obligations and all other amounts secured or exercise any other right and/or remedy provided under Applicable Law.</w:t>
      </w:r>
    </w:p>
    <w:p>
      <w:pPr>
        <w:spacing w:after="0" w:line="178" w:lineRule="exact"/>
        <w:rPr>
          <w:sz w:val="20"/>
          <w:szCs w:val="20"/>
          <w:color w:val="auto"/>
        </w:rPr>
      </w:pPr>
    </w:p>
    <w:p>
      <w:pPr>
        <w:ind w:right="60" w:firstLine="594"/>
        <w:spacing w:after="0" w:line="273" w:lineRule="auto"/>
        <w:rPr>
          <w:sz w:val="20"/>
          <w:szCs w:val="20"/>
          <w:color w:val="auto"/>
        </w:rPr>
      </w:pPr>
      <w:r>
        <w:rPr>
          <w:rFonts w:ascii="Arial" w:cs="Arial" w:eastAsia="Arial" w:hAnsi="Arial"/>
          <w:sz w:val="17"/>
          <w:szCs w:val="17"/>
          <w:i w:val="1"/>
          <w:iCs w:val="1"/>
          <w:color w:val="auto"/>
        </w:rPr>
        <w:t>Section 24.4. Security Agreement</w:t>
      </w:r>
      <w:r>
        <w:rPr>
          <w:rFonts w:ascii="Arial" w:cs="Arial" w:eastAsia="Arial" w:hAnsi="Arial"/>
          <w:sz w:val="17"/>
          <w:szCs w:val="17"/>
          <w:color w:val="auto"/>
        </w:rPr>
        <w:t>. This Lease shall constitute a security agreement within the meaning of the Uniform Commercial Code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state where the Leased Property is located (</w:t>
      </w:r>
      <w:r>
        <w:rPr>
          <w:rFonts w:ascii="Arial" w:cs="Arial" w:eastAsia="Arial" w:hAnsi="Arial"/>
          <w:sz w:val="17"/>
          <w:szCs w:val="17"/>
          <w:i w:val="1"/>
          <w:iCs w:val="1"/>
          <w:color w:val="auto"/>
        </w:rPr>
        <w:t>“UCC”</w:t>
      </w:r>
      <w:r>
        <w:rPr>
          <w:rFonts w:ascii="Arial" w:cs="Arial" w:eastAsia="Arial" w:hAnsi="Arial"/>
          <w:sz w:val="17"/>
          <w:szCs w:val="17"/>
          <w:color w:val="auto"/>
        </w:rPr>
        <w:t>), and if an Event of Default has occurred and is continuing, (i) Lessor shall, in addition to all other rights available at law or equity, have all of the rights provided to a secured party under Article 9 of the UCC and (ii) Lessor shall have the power and authority, after proper notice and lapse of such time as may be required by law, to sell the Leased Property and the other Collateral (or any portion thereof), either as a whole, or in separate lots or parcels or items and in such order as Lessor may elect all as provided for herein. The proceeds derived from the exercise of the foregoing rights shall be applied as set forth in the last paragraph of Section 16.2.</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594"/>
        <w:spacing w:after="0" w:line="287" w:lineRule="auto"/>
        <w:rPr>
          <w:sz w:val="20"/>
          <w:szCs w:val="20"/>
          <w:color w:val="auto"/>
        </w:rPr>
      </w:pPr>
      <w:r>
        <w:rPr>
          <w:rFonts w:ascii="Arial" w:cs="Arial" w:eastAsia="Arial" w:hAnsi="Arial"/>
          <w:sz w:val="16"/>
          <w:szCs w:val="16"/>
          <w:i w:val="1"/>
          <w:iCs w:val="1"/>
          <w:color w:val="auto"/>
        </w:rPr>
        <w:t xml:space="preserve">Section 24.5. Mortgage Remedies. </w:t>
      </w:r>
      <w:r>
        <w:rPr>
          <w:rFonts w:ascii="Arial" w:cs="Arial" w:eastAsia="Arial" w:hAnsi="Arial"/>
          <w:sz w:val="16"/>
          <w:szCs w:val="16"/>
          <w:color w:val="auto"/>
        </w:rPr>
        <w:t>Without limiting any other remedies set forth in this Lease, and also, without limiting the generality of</w:t>
      </w:r>
      <w:r>
        <w:rPr>
          <w:rFonts w:ascii="Arial" w:cs="Arial" w:eastAsia="Arial" w:hAnsi="Arial"/>
          <w:sz w:val="16"/>
          <w:szCs w:val="16"/>
          <w:i w:val="1"/>
          <w:iCs w:val="1"/>
          <w:color w:val="auto"/>
        </w:rPr>
        <w:t xml:space="preserve"> </w:t>
      </w:r>
      <w:r>
        <w:rPr>
          <w:rFonts w:ascii="Arial" w:cs="Arial" w:eastAsia="Arial" w:hAnsi="Arial"/>
          <w:sz w:val="16"/>
          <w:szCs w:val="16"/>
          <w:color w:val="auto"/>
        </w:rPr>
        <w:t>Article XXIV hereof, the Lessor for the benefit and at the direction of the Required Participants, may proceed by a suit or suits in equity or at law, whether for a foreclosure hereunder, or (to the extent permitted by law) for the sale of the Site, Leased Property or the other Collateral, or against the Lessee on a recourse basis for the Lease Balance and all other amounts owing by Lessee to the Administrative Agent, if any, and/or the Participants under the Operative Documents (including but without duplication, accrued and unpaid Rent), or for the specific performance of any covenant or agreement contained herein or in aid of the execution of any power granted herein, or for the appointment of a receiver pending any foreclosure hereunder or the sale of the Leased Property or the other Collateral, or for the enforcement of any other appropriate legal or equitable remedy. The Lessor shall have all rights available to a mortgagee under the laws of the State of New York. In the event that any provisions of this Lease shall be inconsistent with any Applicable Laws, the provisions of such Applicable Laws shall take precedence over such provision of this Lease, but shall not invalidate or render unenforceable any other provision of this Lease that can be construed in a manner consistent with such Applicable Laws. If any provision of this Lease shall grant the Lessor any rights or remedies upon default of the Lessee which are more limited than the rights that would otherwise be vested in the Lessor under such Applicable Laws in the absence of such provision, the Lessor shall be vested with the rights granted in such Applicable Laws to the full extent permitted by law.</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XXV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firstLine="594"/>
        <w:spacing w:after="0" w:line="289" w:lineRule="auto"/>
        <w:rPr>
          <w:sz w:val="20"/>
          <w:szCs w:val="20"/>
          <w:color w:val="auto"/>
        </w:rPr>
      </w:pPr>
      <w:r>
        <w:rPr>
          <w:rFonts w:ascii="Arial" w:cs="Arial" w:eastAsia="Arial" w:hAnsi="Arial"/>
          <w:sz w:val="16"/>
          <w:szCs w:val="16"/>
          <w:i w:val="1"/>
          <w:iCs w:val="1"/>
          <w:color w:val="auto"/>
        </w:rPr>
        <w:t>Section 25.1. Survival; Severability; Etc</w:t>
      </w:r>
      <w:r>
        <w:rPr>
          <w:rFonts w:ascii="Arial" w:cs="Arial" w:eastAsia="Arial" w:hAnsi="Arial"/>
          <w:sz w:val="16"/>
          <w:szCs w:val="16"/>
          <w:color w:val="auto"/>
        </w:rPr>
        <w:t>. Anything contained in this Lease to the contrary notwithstanding, all claims against and liabilities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Lessee or Lessor arising from events commencing prior to the expiration or earlier termination of this Lease shall survive such expiration or earlier termination. If any term or provision of this Lease or any application thereof shall be declared invalid or unenforceable, the remainder of this Lease and any other application of such term or provision shall not be affected thereby. If any right or option of the Lessee provided in this Lease, including any right or option described in Articles XIV, XV, XVIII, XIX or XX, would, in the absence of the limitation imposed by this sentence, be invalid or unenforceable as being in violation of the rule against perpetuities or any other rule of law relating to the vesting of an interest in or the suspension of the power of alienation of property, then such right or option shall be exercisable only during the period which shall end twenty-one (21) years after the date of death of the last survivor of the descendants of Franklin D. Roosevelt, the former President of the United States, Henry Ford, the deceased automobile manufacturer, and John D. Rockefeller, the founder of the Standard Oil Company, known to be alive on the date of the execution, acknowledgment and delivery of this Lease.</w:t>
      </w:r>
    </w:p>
    <w:p>
      <w:pPr>
        <w:spacing w:after="0" w:line="167" w:lineRule="exact"/>
        <w:rPr>
          <w:sz w:val="20"/>
          <w:szCs w:val="20"/>
          <w:color w:val="auto"/>
        </w:rPr>
      </w:pPr>
    </w:p>
    <w:p>
      <w:pPr>
        <w:ind w:right="60" w:firstLine="594"/>
        <w:spacing w:after="0" w:line="264" w:lineRule="auto"/>
        <w:rPr>
          <w:sz w:val="20"/>
          <w:szCs w:val="20"/>
          <w:color w:val="auto"/>
        </w:rPr>
      </w:pPr>
      <w:r>
        <w:rPr>
          <w:rFonts w:ascii="Arial" w:cs="Arial" w:eastAsia="Arial" w:hAnsi="Arial"/>
          <w:sz w:val="18"/>
          <w:szCs w:val="18"/>
          <w:i w:val="1"/>
          <w:iCs w:val="1"/>
          <w:color w:val="auto"/>
        </w:rPr>
        <w:t>Section 25.2. Amendments and Modifications</w:t>
      </w:r>
      <w:r>
        <w:rPr>
          <w:rFonts w:ascii="Arial" w:cs="Arial" w:eastAsia="Arial" w:hAnsi="Arial"/>
          <w:sz w:val="18"/>
          <w:szCs w:val="18"/>
          <w:color w:val="auto"/>
        </w:rPr>
        <w:t>. Subject to the requirements, restrictions and conditions set forth in the Participation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neither this Lease nor any provision hereof may be amended, waived, discharged or terminated except by an instrument in writing, in recordable form, signed by Lessor and the Lessee.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594"/>
        <w:spacing w:after="0" w:line="259" w:lineRule="auto"/>
        <w:rPr>
          <w:sz w:val="20"/>
          <w:szCs w:val="20"/>
          <w:color w:val="auto"/>
        </w:rPr>
      </w:pPr>
      <w:r>
        <w:rPr>
          <w:rFonts w:ascii="Arial" w:cs="Arial" w:eastAsia="Arial" w:hAnsi="Arial"/>
          <w:sz w:val="18"/>
          <w:szCs w:val="18"/>
          <w:i w:val="1"/>
          <w:iCs w:val="1"/>
          <w:color w:val="auto"/>
        </w:rPr>
        <w:t>Section 25.3. No Waiver</w:t>
      </w:r>
      <w:r>
        <w:rPr>
          <w:rFonts w:ascii="Arial" w:cs="Arial" w:eastAsia="Arial" w:hAnsi="Arial"/>
          <w:sz w:val="18"/>
          <w:szCs w:val="18"/>
          <w:color w:val="auto"/>
        </w:rPr>
        <w:t>. No failure by Lessor or the Lessee to insist upon the strict performance of any term hereof or to exercise any right,</w:t>
      </w:r>
      <w:r>
        <w:rPr>
          <w:rFonts w:ascii="Arial" w:cs="Arial" w:eastAsia="Arial" w:hAnsi="Arial"/>
          <w:sz w:val="18"/>
          <w:szCs w:val="18"/>
          <w:i w:val="1"/>
          <w:iCs w:val="1"/>
          <w:color w:val="auto"/>
        </w:rPr>
        <w:t xml:space="preserve"> </w:t>
      </w:r>
      <w:r>
        <w:rPr>
          <w:rFonts w:ascii="Arial" w:cs="Arial" w:eastAsia="Arial" w:hAnsi="Arial"/>
          <w:sz w:val="18"/>
          <w:szCs w:val="18"/>
          <w:color w:val="auto"/>
        </w:rPr>
        <w:t>power or remedy upon a default hereunder, and no acceptance of full or partial payment of Rent during the continuance of any such default, shall constitute a waiver of any such default or of any such term. To the fullest extent permitted by law, no waiver of any default shall affect or alter this Lease, and this Lease shall continue in full force and effect with respect to any other then existing or subsequent default.</w:t>
      </w:r>
    </w:p>
    <w:p>
      <w:pPr>
        <w:sectPr>
          <w:pgSz w:w="11900" w:h="16838" w:orient="portrait"/>
          <w:cols w:equalWidth="0" w:num="1">
            <w:col w:w="11420"/>
          </w:cols>
          <w:pgMar w:left="240" w:top="733" w:right="239" w:bottom="0" w:gutter="0" w:footer="0" w:header="0"/>
        </w:sectPr>
      </w:pPr>
    </w:p>
    <w:bookmarkStart w:id="111" w:name="page112"/>
    <w:bookmarkEnd w:id="111"/>
    <w:p>
      <w:pPr>
        <w:spacing w:after="0" w:line="90" w:lineRule="exact"/>
        <w:rPr>
          <w:sz w:val="20"/>
          <w:szCs w:val="20"/>
          <w:color w:val="auto"/>
        </w:rPr>
      </w:pPr>
    </w:p>
    <w:p>
      <w:pPr>
        <w:ind w:right="140" w:firstLine="594"/>
        <w:spacing w:after="0" w:line="308" w:lineRule="auto"/>
        <w:rPr>
          <w:sz w:val="20"/>
          <w:szCs w:val="20"/>
          <w:color w:val="auto"/>
        </w:rPr>
      </w:pPr>
      <w:r>
        <w:rPr>
          <w:rFonts w:ascii="Arial" w:cs="Arial" w:eastAsia="Arial" w:hAnsi="Arial"/>
          <w:sz w:val="17"/>
          <w:szCs w:val="17"/>
          <w:i w:val="1"/>
          <w:iCs w:val="1"/>
          <w:color w:val="auto"/>
        </w:rPr>
        <w:t>Section 25.4. Notices</w:t>
      </w:r>
      <w:r>
        <w:rPr>
          <w:rFonts w:ascii="Arial" w:cs="Arial" w:eastAsia="Arial" w:hAnsi="Arial"/>
          <w:sz w:val="17"/>
          <w:szCs w:val="17"/>
          <w:color w:val="auto"/>
        </w:rPr>
        <w:t>. All notices, demands, requests, consents, approvals and other communications hereunder shall be in writing and directed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address described in, and deemed received in accordance with the provisions of, Section 15.3 of the Participation Agreement.</w:t>
      </w:r>
    </w:p>
    <w:p>
      <w:pPr>
        <w:spacing w:after="0" w:line="147" w:lineRule="exact"/>
        <w:rPr>
          <w:sz w:val="20"/>
          <w:szCs w:val="20"/>
          <w:color w:val="auto"/>
        </w:rPr>
      </w:pPr>
    </w:p>
    <w:p>
      <w:pPr>
        <w:ind w:right="700" w:firstLine="594"/>
        <w:spacing w:after="0" w:line="277" w:lineRule="auto"/>
        <w:rPr>
          <w:sz w:val="20"/>
          <w:szCs w:val="20"/>
          <w:color w:val="auto"/>
        </w:rPr>
      </w:pPr>
      <w:r>
        <w:rPr>
          <w:rFonts w:ascii="Arial" w:cs="Arial" w:eastAsia="Arial" w:hAnsi="Arial"/>
          <w:sz w:val="18"/>
          <w:szCs w:val="18"/>
          <w:i w:val="1"/>
          <w:iCs w:val="1"/>
          <w:color w:val="auto"/>
        </w:rPr>
        <w:t>Section 25.5. Successors and Assigns</w:t>
      </w:r>
      <w:r>
        <w:rPr>
          <w:rFonts w:ascii="Arial" w:cs="Arial" w:eastAsia="Arial" w:hAnsi="Arial"/>
          <w:sz w:val="18"/>
          <w:szCs w:val="18"/>
          <w:color w:val="auto"/>
        </w:rPr>
        <w:t>. All the terms and provisions of this Lease shall inure to the benefit of the parties hereto and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successors and permitted assigns.</w:t>
      </w:r>
    </w:p>
    <w:p>
      <w:pPr>
        <w:spacing w:after="0" w:line="170" w:lineRule="exact"/>
        <w:rPr>
          <w:sz w:val="20"/>
          <w:szCs w:val="20"/>
          <w:color w:val="auto"/>
        </w:rPr>
      </w:pPr>
    </w:p>
    <w:p>
      <w:pPr>
        <w:ind w:right="160" w:firstLine="594"/>
        <w:spacing w:after="0" w:line="277" w:lineRule="auto"/>
        <w:rPr>
          <w:sz w:val="20"/>
          <w:szCs w:val="20"/>
          <w:color w:val="auto"/>
        </w:rPr>
      </w:pPr>
      <w:r>
        <w:rPr>
          <w:rFonts w:ascii="Arial" w:cs="Arial" w:eastAsia="Arial" w:hAnsi="Arial"/>
          <w:sz w:val="18"/>
          <w:szCs w:val="18"/>
          <w:i w:val="1"/>
          <w:iCs w:val="1"/>
          <w:color w:val="auto"/>
        </w:rPr>
        <w:t>Section 25.6. Headings and Table of Contents</w:t>
      </w:r>
      <w:r>
        <w:rPr>
          <w:rFonts w:ascii="Arial" w:cs="Arial" w:eastAsia="Arial" w:hAnsi="Arial"/>
          <w:sz w:val="18"/>
          <w:szCs w:val="18"/>
          <w:color w:val="auto"/>
        </w:rPr>
        <w:t>. The headings and table of contents in this Lease are for convenience of reference only and shall</w:t>
      </w:r>
      <w:r>
        <w:rPr>
          <w:rFonts w:ascii="Arial" w:cs="Arial" w:eastAsia="Arial" w:hAnsi="Arial"/>
          <w:sz w:val="18"/>
          <w:szCs w:val="18"/>
          <w:i w:val="1"/>
          <w:iCs w:val="1"/>
          <w:color w:val="auto"/>
        </w:rPr>
        <w:t xml:space="preserve"> </w:t>
      </w:r>
      <w:r>
        <w:rPr>
          <w:rFonts w:ascii="Arial" w:cs="Arial" w:eastAsia="Arial" w:hAnsi="Arial"/>
          <w:sz w:val="18"/>
          <w:szCs w:val="18"/>
          <w:color w:val="auto"/>
        </w:rPr>
        <w:t>not limit or otherwise affect the meaning hereof.</w:t>
      </w:r>
    </w:p>
    <w:p>
      <w:pPr>
        <w:spacing w:after="0" w:line="170" w:lineRule="exact"/>
        <w:rPr>
          <w:sz w:val="20"/>
          <w:szCs w:val="20"/>
          <w:color w:val="auto"/>
        </w:rPr>
      </w:pPr>
    </w:p>
    <w:p>
      <w:pPr>
        <w:ind w:right="20" w:firstLine="594"/>
        <w:spacing w:after="0" w:line="277" w:lineRule="auto"/>
        <w:rPr>
          <w:sz w:val="20"/>
          <w:szCs w:val="20"/>
          <w:color w:val="auto"/>
        </w:rPr>
      </w:pPr>
      <w:r>
        <w:rPr>
          <w:rFonts w:ascii="Arial" w:cs="Arial" w:eastAsia="Arial" w:hAnsi="Arial"/>
          <w:sz w:val="18"/>
          <w:szCs w:val="18"/>
          <w:i w:val="1"/>
          <w:iCs w:val="1"/>
          <w:color w:val="auto"/>
        </w:rPr>
        <w:t>Section 25.7. Counterparts</w:t>
      </w:r>
      <w:r>
        <w:rPr>
          <w:rFonts w:ascii="Arial" w:cs="Arial" w:eastAsia="Arial" w:hAnsi="Arial"/>
          <w:sz w:val="18"/>
          <w:szCs w:val="18"/>
          <w:color w:val="auto"/>
        </w:rPr>
        <w:t>. This Lease may be executed in any number of counterparts, each of which shall be an original, but all of which shall</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constitute one and the same instrument.</w:t>
      </w:r>
    </w:p>
    <w:p>
      <w:pPr>
        <w:spacing w:after="0" w:line="166" w:lineRule="exact"/>
        <w:rPr>
          <w:sz w:val="20"/>
          <w:szCs w:val="20"/>
          <w:color w:val="auto"/>
        </w:rPr>
      </w:pPr>
    </w:p>
    <w:p>
      <w:pPr>
        <w:ind w:left="400"/>
        <w:spacing w:after="0"/>
        <w:tabs>
          <w:tab w:leader="none" w:pos="1940" w:val="left"/>
        </w:tabs>
        <w:rPr>
          <w:sz w:val="20"/>
          <w:szCs w:val="20"/>
          <w:color w:val="auto"/>
        </w:rPr>
      </w:pPr>
      <w:r>
        <w:rPr>
          <w:rFonts w:ascii="Arial" w:cs="Arial" w:eastAsia="Arial" w:hAnsi="Arial"/>
          <w:sz w:val="18"/>
          <w:szCs w:val="18"/>
          <w:i w:val="1"/>
          <w:iCs w:val="1"/>
          <w:color w:val="auto"/>
        </w:rPr>
        <w:t>SECTION 25.8.</w:t>
      </w:r>
      <w:r>
        <w:rPr>
          <w:sz w:val="20"/>
          <w:szCs w:val="20"/>
          <w:color w:val="auto"/>
        </w:rPr>
        <w:tab/>
      </w:r>
      <w:r>
        <w:rPr>
          <w:rFonts w:ascii="Arial" w:cs="Arial" w:eastAsia="Arial" w:hAnsi="Arial"/>
          <w:sz w:val="17"/>
          <w:szCs w:val="17"/>
          <w:b w:val="1"/>
          <w:bCs w:val="1"/>
          <w:i w:val="1"/>
          <w:iCs w:val="1"/>
          <w:color w:val="auto"/>
        </w:rPr>
        <w:t xml:space="preserve">GOVERNING LAW. </w:t>
      </w:r>
      <w:r>
        <w:rPr>
          <w:rFonts w:ascii="Arial" w:cs="Arial" w:eastAsia="Arial" w:hAnsi="Arial"/>
          <w:sz w:val="17"/>
          <w:szCs w:val="17"/>
          <w:b w:val="1"/>
          <w:bCs w:val="1"/>
          <w:color w:val="auto"/>
        </w:rPr>
        <w:t>THIS LEASE SHALL BE GOVERNED BY, AND CONSTRUED AND INTERPRETED IN</w:t>
      </w:r>
    </w:p>
    <w:p>
      <w:pPr>
        <w:spacing w:after="0" w:line="2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b w:val="1"/>
          <w:bCs w:val="1"/>
          <w:color w:val="auto"/>
        </w:rPr>
        <w:t>ACCORDANCE WITH, THE LAWS OF THE STATE OF NEW YORK, WITHOUT REGARD TO CONFLICTS OF LAW PRINCIPLES (OTHER THAN TITLE 14 OF ARTICLE 5 OF THE NEW YORK GENERAL OBLIGATIONS LAW), EXCEPT AS TO MATTERS RELATING TO THE CREATION OF THE LEASEHOLD ESTATE HEREUNDER AND THE EXERCISE OF RIGHTS AND REMEDIES WITH RESPECT THERETO, WHICH SHALL BE GOVERNED BY AND CONSTRUED IN ACCORDANCE WITH THE LAW OF THE STATE OF NEW YORK. WITHOUT LIMITING THE FOREGOING, IN THE EVENT THAT THIS LEASE IS DEEMED TO CONSTITUTE A FINANCING, WHICH IS THE INTENTION OF THE PARTIES, THE LAWS OF THE STATE OF NEW YORK, WITHOUT REGARD TO CONFLICTS OF LAWS PRINCIPLES (OTHER THAN TITLE 14 OF ARTICLE 5 OF THE NEW YORK GENERAL OBLIGATIONS LAW), SHALL GOVERN THE TERMS AND PROVISIONS OF THE INDEBTEDNESS EVIDENCED HEREBY, EXCEPT THAT THE AND THE CREATION, PERFECTION, EFFECT OF PERFECTION, PRIORITY AND ENFORCEMENT OF SECURITY INTERESTS AND LIENS IN THE LEASED PROPERTY AND PROJECT COLLATERAL SHALL BE GOVERNED BY THE LAWS OF THE STATE OF NEW YORK AND, TO THE EXTENT APPLICABLE, THE UNIFORM COMMERCIAL CODE OF SUCH STATE (INCLUDING THE CHOICE OF LAW RULES UNDER SUCH UNIFORM COMMERCIAL CODE).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594"/>
        <w:spacing w:after="0" w:line="257" w:lineRule="auto"/>
        <w:rPr>
          <w:sz w:val="20"/>
          <w:szCs w:val="20"/>
          <w:color w:val="auto"/>
        </w:rPr>
      </w:pPr>
      <w:r>
        <w:rPr>
          <w:rFonts w:ascii="Arial" w:cs="Arial" w:eastAsia="Arial" w:hAnsi="Arial"/>
          <w:sz w:val="18"/>
          <w:szCs w:val="18"/>
          <w:i w:val="1"/>
          <w:iCs w:val="1"/>
          <w:color w:val="auto"/>
        </w:rPr>
        <w:t>Section 25.9. Original Lease</w:t>
      </w:r>
      <w:r>
        <w:rPr>
          <w:rFonts w:ascii="Arial" w:cs="Arial" w:eastAsia="Arial" w:hAnsi="Arial"/>
          <w:sz w:val="18"/>
          <w:szCs w:val="18"/>
          <w:color w:val="auto"/>
        </w:rPr>
        <w:t>. The single executed original of this Lease marked “THIS COUNTERPART IS THE ORIGINAL EXECUTED</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 on the signature page thereof and containing the receipt thereof of Administrative Agent, on or following the signature page thereof shall be the Original Executed Counterpart of this Lease (the “</w:t>
      </w:r>
      <w:r>
        <w:rPr>
          <w:rFonts w:ascii="Arial" w:cs="Arial" w:eastAsia="Arial" w:hAnsi="Arial"/>
          <w:sz w:val="18"/>
          <w:szCs w:val="18"/>
          <w:i w:val="1"/>
          <w:iCs w:val="1"/>
          <w:color w:val="auto"/>
        </w:rPr>
        <w:t>Original Executed Counterpart</w:t>
      </w:r>
      <w:r>
        <w:rPr>
          <w:rFonts w:ascii="Arial" w:cs="Arial" w:eastAsia="Arial" w:hAnsi="Arial"/>
          <w:sz w:val="18"/>
          <w:szCs w:val="18"/>
          <w:color w:val="auto"/>
        </w:rPr>
        <w:t>”). To the extent that this Lease constitutes chattel paper, as such term is defined in the UCC, no security interest in this Lease may be created through the transfer or possession of any counterpart other than the Original Executed Counterpart.</w:t>
      </w:r>
    </w:p>
    <w:p>
      <w:pPr>
        <w:spacing w:after="0" w:line="188" w:lineRule="exact"/>
        <w:rPr>
          <w:sz w:val="20"/>
          <w:szCs w:val="20"/>
          <w:color w:val="auto"/>
        </w:rPr>
      </w:pPr>
    </w:p>
    <w:p>
      <w:pPr>
        <w:ind w:right="120" w:firstLine="500"/>
        <w:spacing w:after="0" w:line="284" w:lineRule="auto"/>
        <w:rPr>
          <w:sz w:val="20"/>
          <w:szCs w:val="20"/>
          <w:color w:val="auto"/>
        </w:rPr>
      </w:pPr>
      <w:r>
        <w:rPr>
          <w:rFonts w:ascii="Arial" w:cs="Arial" w:eastAsia="Arial" w:hAnsi="Arial"/>
          <w:sz w:val="16"/>
          <w:szCs w:val="16"/>
          <w:i w:val="1"/>
          <w:iCs w:val="1"/>
          <w:color w:val="auto"/>
        </w:rPr>
        <w:t>Section 25.10. Limitations on Recourse</w:t>
      </w:r>
      <w:r>
        <w:rPr>
          <w:rFonts w:ascii="Arial" w:cs="Arial" w:eastAsia="Arial" w:hAnsi="Arial"/>
          <w:sz w:val="16"/>
          <w:szCs w:val="16"/>
          <w:color w:val="auto"/>
        </w:rPr>
        <w:t>. The parties hereto agree that, except as specifically set forth in this Lease or in any other Operative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Document, Lessor shall have no personal liability whatsoever to the Lessee, the Lenders, the Administrative Agent or any of their respective successors and assigns for any claim based on or in respect of this Lease or any of the other Operative Documents or arising in any way from the Overall Transaction;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Lessor shall be liable (a) for its own willful misconduct or gross negligence (or negligence in the handling of funds), (b) for any Tax</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with respect to or measured by any income, fees, commission, compensation or other amounts received by it as compensation for services (including for acting as Lessor) or otherwise under, or as contemplated by, the Operative Documents, (c) Lessor Liens on the Leased Property which are attributable to it, (d) for its representations and warranties made in the Participation Agreement or in any certificate or documents delivered pursuant thereto,</w:t>
      </w:r>
    </w:p>
    <w:p>
      <w:pPr>
        <w:spacing w:after="0" w:line="3" w:lineRule="exact"/>
        <w:rPr>
          <w:sz w:val="20"/>
          <w:szCs w:val="20"/>
          <w:color w:val="auto"/>
        </w:rPr>
      </w:pPr>
    </w:p>
    <w:p>
      <w:pPr>
        <w:ind w:right="20" w:firstLine="8"/>
        <w:spacing w:after="0" w:line="277" w:lineRule="auto"/>
        <w:tabs>
          <w:tab w:leader="none" w:pos="245" w:val="left"/>
        </w:tabs>
        <w:numPr>
          <w:ilvl w:val="0"/>
          <w:numId w:val="252"/>
        </w:numPr>
        <w:rPr>
          <w:rFonts w:ascii="Arial" w:cs="Arial" w:eastAsia="Arial" w:hAnsi="Arial"/>
          <w:sz w:val="17"/>
          <w:szCs w:val="17"/>
          <w:color w:val="auto"/>
        </w:rPr>
      </w:pPr>
      <w:r>
        <w:rPr>
          <w:rFonts w:ascii="Arial" w:cs="Arial" w:eastAsia="Arial" w:hAnsi="Arial"/>
          <w:sz w:val="17"/>
          <w:szCs w:val="17"/>
          <w:color w:val="auto"/>
        </w:rPr>
        <w:t xml:space="preserve">for its failure to perform any of its covenants and agreements set forth in the Participation Agreement or any other Operative Document, and (f) as otherwise expressly provided in the Operative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no event shall Lessor’s liability exceed the amount of its interest in the Facility (except that, notwithstanding this proviso, Lessor shall remain liable for actual damages caused by its gross negligence or willful misconduct).</w:t>
      </w:r>
    </w:p>
    <w:p>
      <w:pPr>
        <w:spacing w:after="0" w:line="173" w:lineRule="exact"/>
        <w:rPr>
          <w:sz w:val="20"/>
          <w:szCs w:val="20"/>
          <w:color w:val="auto"/>
        </w:rPr>
      </w:pPr>
    </w:p>
    <w:p>
      <w:pPr>
        <w:ind w:right="40" w:firstLine="500"/>
        <w:spacing w:after="0" w:line="269" w:lineRule="auto"/>
        <w:rPr>
          <w:sz w:val="20"/>
          <w:szCs w:val="20"/>
          <w:color w:val="auto"/>
        </w:rPr>
      </w:pPr>
      <w:r>
        <w:rPr>
          <w:rFonts w:ascii="Arial" w:cs="Arial" w:eastAsia="Arial" w:hAnsi="Arial"/>
          <w:sz w:val="17"/>
          <w:szCs w:val="17"/>
          <w:i w:val="1"/>
          <w:iCs w:val="1"/>
          <w:color w:val="auto"/>
        </w:rPr>
        <w:t>Section 25.11. Transfer of Leased Property</w:t>
      </w:r>
      <w:r>
        <w:rPr>
          <w:rFonts w:ascii="Arial" w:cs="Arial" w:eastAsia="Arial" w:hAnsi="Arial"/>
          <w:sz w:val="17"/>
          <w:szCs w:val="17"/>
          <w:color w:val="auto"/>
        </w:rPr>
        <w:t>. (a) Except as otherwise provided herein, whenever pursuant to any provision of this Lease Lessor is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to transfer the Leased Property to Lessee or to an independent third party, such transfer shall be made at Lessee’s expense by the transfer by an assignment of Lessor’s interest and without covenants or warranties of title, except for matters arising by, through or under Lessor, of all of Lessor’s interest in and to the Leased Property on an “as is, where is, with all faults” basis free and clear of all Lessor Liens attributable to Lessor and otherwise without recourse, representation or warranty of any kind, and together with the due assumption by Lessee (or such third party) of, and due release of Lessor from, all obligations relating to the Leased Property or any of the Operative Documents. In connection with any transfer to an independent third party, Lessee shall execute and deliver such customary and reasonable documents, certificates and estoppels as may be required to facilitate the transfer of the Leased Property. Any provision in this Lease or any other Operative Document to the contrary notwithstanding, Lessor shall not be obligated to make any such transfer until Lessor and the Participants have received all Rent and other amounts then due and owing hereunder and under the other Operative Documents including any Break Costs. At or subsequent to the transfer or return of the Leased Property, Lessee will provide Lessor with such lien and title searches as Lessor may reasonably request to demonstrate to Lessor’s satisfaction that the Leased Property is subject to no Liens (other than Lessor Liens) for which Lessor would be liable under any warranties of title.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3"/>
        <w:spacing w:after="0" w:line="293" w:lineRule="auto"/>
        <w:tabs>
          <w:tab w:leader="none" w:pos="126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Lessee may assign to another Person its right, upon a purchase by Lessee, to take title to the Leased Property pursuant to Section 21.1;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 Lessee shall exercise any option, (ii) such assignee shall be bound by the provisions of Section 21.1, (iii) Lessee shall have represented by an</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 in writing and delivered to Lessor that all necessary Governmental Actions with respect to such transfer, including the purchase of the Leased Property by any other Person as contemplated herein, have been obtained or made (or, substantially concurrently with the consummation of such transfer, will have been obtained or made, as applicable, and (iv) no such assignment shall release Lessee from its obligations under the Operative Documents, and Lessee shall remain personally liable to Lessor for the payment of all amounts due under any such Section and this Section 25.11.</w:t>
      </w:r>
    </w:p>
    <w:p>
      <w:pPr>
        <w:spacing w:after="0" w:line="165" w:lineRule="exact"/>
        <w:rPr>
          <w:sz w:val="20"/>
          <w:szCs w:val="20"/>
          <w:color w:val="auto"/>
        </w:rPr>
      </w:pPr>
    </w:p>
    <w:p>
      <w:pPr>
        <w:ind w:right="340" w:firstLine="500"/>
        <w:spacing w:after="0" w:line="342" w:lineRule="auto"/>
        <w:rPr>
          <w:sz w:val="20"/>
          <w:szCs w:val="20"/>
          <w:color w:val="auto"/>
        </w:rPr>
      </w:pPr>
      <w:r>
        <w:rPr>
          <w:rFonts w:ascii="Arial" w:cs="Arial" w:eastAsia="Arial" w:hAnsi="Arial"/>
          <w:sz w:val="16"/>
          <w:szCs w:val="16"/>
          <w:i w:val="1"/>
          <w:iCs w:val="1"/>
          <w:color w:val="auto"/>
        </w:rPr>
        <w:t>Section 25.12. Memorandum of Lease</w:t>
      </w:r>
      <w:r>
        <w:rPr>
          <w:rFonts w:ascii="Arial" w:cs="Arial" w:eastAsia="Arial" w:hAnsi="Arial"/>
          <w:sz w:val="16"/>
          <w:szCs w:val="16"/>
          <w:color w:val="auto"/>
        </w:rPr>
        <w:t>. On the Document Closing Date, the Lessee and Lessor agree to execute the Memorandum of Lease</w:t>
      </w:r>
      <w:r>
        <w:rPr>
          <w:rFonts w:ascii="Arial" w:cs="Arial" w:eastAsia="Arial" w:hAnsi="Arial"/>
          <w:sz w:val="16"/>
          <w:szCs w:val="16"/>
          <w:i w:val="1"/>
          <w:iCs w:val="1"/>
          <w:color w:val="auto"/>
        </w:rPr>
        <w:t xml:space="preserve"> </w:t>
      </w:r>
      <w:r>
        <w:rPr>
          <w:rFonts w:ascii="Arial" w:cs="Arial" w:eastAsia="Arial" w:hAnsi="Arial"/>
          <w:sz w:val="16"/>
          <w:szCs w:val="16"/>
          <w:color w:val="auto"/>
        </w:rPr>
        <w:t>attached as Exhibit B hereto and to cause the same to be recorded in the office of the Office of the County Clerk of the County of Westchester, New York.</w:t>
      </w:r>
    </w:p>
    <w:p>
      <w:pPr>
        <w:spacing w:after="0" w:line="124" w:lineRule="exact"/>
        <w:rPr>
          <w:sz w:val="20"/>
          <w:szCs w:val="20"/>
          <w:color w:val="auto"/>
        </w:rPr>
      </w:pPr>
    </w:p>
    <w:p>
      <w:pPr>
        <w:ind w:right="20" w:firstLine="500"/>
        <w:spacing w:after="0" w:line="277" w:lineRule="auto"/>
        <w:rPr>
          <w:sz w:val="20"/>
          <w:szCs w:val="20"/>
          <w:color w:val="auto"/>
        </w:rPr>
      </w:pPr>
      <w:r>
        <w:rPr>
          <w:rFonts w:ascii="Arial" w:cs="Arial" w:eastAsia="Arial" w:hAnsi="Arial"/>
          <w:sz w:val="18"/>
          <w:szCs w:val="18"/>
          <w:i w:val="1"/>
          <w:iCs w:val="1"/>
          <w:color w:val="auto"/>
        </w:rPr>
        <w:t>Section 25.13. Further Assurances</w:t>
      </w:r>
      <w:r>
        <w:rPr>
          <w:rFonts w:ascii="Arial" w:cs="Arial" w:eastAsia="Arial" w:hAnsi="Arial"/>
          <w:sz w:val="18"/>
          <w:szCs w:val="18"/>
          <w:color w:val="auto"/>
        </w:rPr>
        <w:t>. Lessee and Lessor acknowledge and agree that the provisions of Section 15.11 of the Participation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are incorporated by reference herein.</w:t>
      </w:r>
    </w:p>
    <w:p>
      <w:pPr>
        <w:sectPr>
          <w:pgSz w:w="11900" w:h="16929" w:orient="portrait"/>
          <w:cols w:equalWidth="0" w:num="1">
            <w:col w:w="11420"/>
          </w:cols>
          <w:pgMar w:left="240" w:top="125" w:right="239" w:bottom="0" w:gutter="0" w:footer="0" w:header="0"/>
        </w:sectPr>
      </w:pPr>
    </w:p>
    <w:bookmarkStart w:id="112" w:name="page113"/>
    <w:bookmarkEnd w:id="112"/>
    <w:p>
      <w:pPr>
        <w:jc w:val="center"/>
        <w:ind w:right="-39"/>
        <w:spacing w:after="0"/>
        <w:rPr>
          <w:sz w:val="20"/>
          <w:szCs w:val="20"/>
          <w:color w:val="auto"/>
        </w:rPr>
      </w:pPr>
      <w:r>
        <w:rPr>
          <w:rFonts w:ascii="Arial" w:cs="Arial" w:eastAsia="Arial" w:hAnsi="Arial"/>
          <w:sz w:val="18"/>
          <w:szCs w:val="18"/>
          <w:color w:val="auto"/>
        </w:rPr>
        <w:t>[End of Page]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caused this Lease be duly executed and delivered as of the date first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OLD SAW MILL HOLDINGS LLC,</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as Lessee</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Dominick Agron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Dominick Agron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BA LEASING BSC, LLC, a Delaware limited liability company, as Lessor</w:t>
      </w:r>
    </w:p>
    <w:p>
      <w:pPr>
        <w:spacing w:after="0" w:line="200" w:lineRule="exact"/>
        <w:rPr>
          <w:sz w:val="20"/>
          <w:szCs w:val="20"/>
          <w:color w:val="auto"/>
        </w:rPr>
      </w:pPr>
    </w:p>
    <w:p>
      <w:pPr>
        <w:spacing w:after="0" w:line="253"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Terri J. Preston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Terri J.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to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TO LEASE</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LEASED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ALL that certain plot, piece of land, situate, lying and being in the Town of Greenburgh, County of Westchester, and State of New York, being designated as Lot P-2 on a certain map entitled “Final Subdivision Plat prepared for Eastview Holdings LLC of premises located at Old Saw Mill River Road and NYS Route 9A, Town of Greenburgh, Westchester County, New York Scale 1”=100’“ prepared by John Meyer Consulting, PC, dated March 23, 2004 and last revised March 13, 2006, and filed on April 8, 2006 in the Office of the County Clerk of the County of Westchester as Filed Map No. 27754, and being more particularly described as:</w:t>
      </w:r>
    </w:p>
    <w:p>
      <w:pPr>
        <w:spacing w:after="0" w:line="188"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Beginning at a rebar set on the southwesterly right of way line of Old Saw Mill River Road, where said rebar is located South 35°43’37”West, a distance of 101.93 feet from the intersection formed by the dividing line between the lands n/f BMR-LANDMARK AT EASTVIEW (SBL 116.15-1-2.2 in the Town of Mount Pleasant), and other lands of BMR-LANDMARK AT EASTVIEW(SBL 116.15-1-2.1 in the Town of Mount Pleasant), thence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Running the following courses and distances along the reputed owner Town of Greensburgh</w:t>
      </w:r>
    </w:p>
    <w:p>
      <w:pPr>
        <w:spacing w:after="0" w:line="225" w:lineRule="exact"/>
        <w:rPr>
          <w:sz w:val="20"/>
          <w:szCs w:val="20"/>
          <w:color w:val="auto"/>
        </w:rPr>
      </w:pPr>
    </w:p>
    <w:p>
      <w:pPr>
        <w:ind w:left="180" w:hanging="172"/>
        <w:spacing w:after="0"/>
        <w:tabs>
          <w:tab w:leader="none" w:pos="1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South 00°05’33” East a distance of 93.33 feet to a rebar set, thence</w:t>
      </w:r>
    </w:p>
    <w:p>
      <w:pPr>
        <w:spacing w:after="0" w:line="225" w:lineRule="exact"/>
        <w:rPr>
          <w:rFonts w:ascii="Arial" w:cs="Arial" w:eastAsia="Arial" w:hAnsi="Arial"/>
          <w:sz w:val="18"/>
          <w:szCs w:val="18"/>
          <w:color w:val="auto"/>
        </w:rPr>
      </w:pPr>
    </w:p>
    <w:p>
      <w:pPr>
        <w:ind w:right="100" w:firstLine="8"/>
        <w:spacing w:after="0" w:line="277" w:lineRule="auto"/>
        <w:tabs>
          <w:tab w:leader="none" w:pos="1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100.00 feet, turning a central angle of 21°36’34”, for an arc length of 37.72 feet, the chord of said arc bearing South 10°42’49” West for a distance of 37.50 feet to a rebar set, thence</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South 21°31’01” West a distance of 81.08 feet to a rebar set, thence</w:t>
      </w:r>
    </w:p>
    <w:p>
      <w:pPr>
        <w:spacing w:after="0" w:line="225" w:lineRule="exact"/>
        <w:rPr>
          <w:rFonts w:ascii="Arial" w:cs="Arial" w:eastAsia="Arial" w:hAnsi="Arial"/>
          <w:sz w:val="18"/>
          <w:szCs w:val="18"/>
          <w:color w:val="auto"/>
        </w:rPr>
      </w:pPr>
    </w:p>
    <w:p>
      <w:pPr>
        <w:ind w:right="280" w:firstLine="8"/>
        <w:spacing w:after="0" w:line="277" w:lineRule="auto"/>
        <w:tabs>
          <w:tab w:leader="none" w:pos="1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98.25 feet, turning a central angle of 17°06’57”, for an arc length of 29.35 feet, the chord of said arc bearing South 12°57’32” West for a distance of 29.24 feet to a rebar set, thence</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South 04°24’12” West a distance of 32.56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South 03°48’59” West a distance of 30.15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South 02°34’01” West a distance of 90.30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1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305.09 feet, turning a central angle of 34°07’44”, for an arc length of 181.73 feet, the chord of said arc bearing South 19°37’53” West for a distance of 179.06 feet to a rebar set, thence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531" w:gutter="0" w:footer="0" w:header="0"/>
        </w:sectPr>
      </w:pPr>
    </w:p>
    <w:bookmarkStart w:id="113" w:name="page114"/>
    <w:bookmarkEnd w:id="113"/>
    <w:p>
      <w:pPr>
        <w:ind w:left="-8" w:right="100" w:firstLine="8"/>
        <w:spacing w:after="0" w:line="277" w:lineRule="auto"/>
        <w:tabs>
          <w:tab w:leader="none" w:pos="17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Along a reverse curve to the left having a radius of 362.65 feet, turning a central angle of 33°16’57”, for an arc length of 210.66 feet, the chord of said arc bearing South 20°03’17” West for a distance of 207.71 feet to a rebar set, thence</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South 03°24’29” West a distance of 152.00 feet to a rebar set, thence</w:t>
      </w:r>
    </w:p>
    <w:p>
      <w:pPr>
        <w:spacing w:after="0" w:line="225" w:lineRule="exact"/>
        <w:rPr>
          <w:rFonts w:ascii="Arial" w:cs="Arial" w:eastAsia="Arial" w:hAnsi="Arial"/>
          <w:sz w:val="18"/>
          <w:szCs w:val="18"/>
          <w:color w:val="auto"/>
        </w:rPr>
      </w:pPr>
    </w:p>
    <w:p>
      <w:pPr>
        <w:ind w:left="-8" w:firstLine="8"/>
        <w:spacing w:after="0" w:line="277" w:lineRule="auto"/>
        <w:tabs>
          <w:tab w:leader="none" w:pos="25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172.07 feet, turning a central angle of 31°44’41”, for an arc length of 95.33 feet, the chord of said arc bearing South 19°16’50” West for a distance of 94.12 feet to a rebar set, thence</w:t>
      </w:r>
    </w:p>
    <w:p>
      <w:pPr>
        <w:spacing w:after="0" w:line="170" w:lineRule="exact"/>
        <w:rPr>
          <w:rFonts w:ascii="Arial" w:cs="Arial" w:eastAsia="Arial" w:hAnsi="Arial"/>
          <w:sz w:val="18"/>
          <w:szCs w:val="18"/>
          <w:color w:val="auto"/>
        </w:rPr>
      </w:pPr>
    </w:p>
    <w:p>
      <w:pPr>
        <w:ind w:left="-8" w:right="260" w:firstLine="8"/>
        <w:spacing w:after="0" w:line="277" w:lineRule="auto"/>
        <w:tabs>
          <w:tab w:leader="none" w:pos="26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Along a compound curve to the right having a radius of 139.47 feet, turning a central angle of 71°37’16”, for an arc length of 174.34 feet, the chord of said arc bearing South 70°57’49” West for a distance of 163.21 feet to a rebar set, thence</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North 73°13’58” West a distance of 128.84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South 16°03’11” West a distance of 16.68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North 73°56’49” West a distance of 29.11 feet to a rebar set, thence</w:t>
      </w:r>
    </w:p>
    <w:p>
      <w:pPr>
        <w:spacing w:after="0" w:line="225" w:lineRule="exact"/>
        <w:rPr>
          <w:rFonts w:ascii="Arial" w:cs="Arial" w:eastAsia="Arial" w:hAnsi="Arial"/>
          <w:sz w:val="18"/>
          <w:szCs w:val="18"/>
          <w:color w:val="auto"/>
        </w:rPr>
      </w:pPr>
    </w:p>
    <w:p>
      <w:pPr>
        <w:ind w:left="-8" w:firstLine="8"/>
        <w:spacing w:after="0" w:line="277" w:lineRule="auto"/>
        <w:tabs>
          <w:tab w:leader="none" w:pos="26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242.01 feet, turning a central angle of 35°55’48”, for an arc length of 151.76 feet, the chord of said arc bearing South 88°05’17” West for a distance of 149.29 feet to a rebar set, thence</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South 70°07’17” West a distance of 92.14 feet to a rebar set, thence</w:t>
      </w:r>
    </w:p>
    <w:p>
      <w:pPr>
        <w:spacing w:after="0" w:line="225" w:lineRule="exact"/>
        <w:rPr>
          <w:rFonts w:ascii="Arial" w:cs="Arial" w:eastAsia="Arial" w:hAnsi="Arial"/>
          <w:sz w:val="18"/>
          <w:szCs w:val="18"/>
          <w:color w:val="auto"/>
        </w:rPr>
      </w:pPr>
    </w:p>
    <w:p>
      <w:pPr>
        <w:ind w:left="-8" w:right="160" w:firstLine="8"/>
        <w:spacing w:after="0" w:line="277" w:lineRule="auto"/>
        <w:tabs>
          <w:tab w:leader="none" w:pos="26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440.98 feet, turning a central angle of 40°10’49”, for an arc length of 309.25 feet, the chord of said arc bearing North 89°47’19” West for a distance of 302.95 feet to a rebar set, thence</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South 20°18’00” West a distance of 20.89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North 65°49’54” West a distance of 101.52 feet to a rebar set, thence</w:t>
      </w:r>
    </w:p>
    <w:p>
      <w:pPr>
        <w:spacing w:after="0" w:line="225" w:lineRule="exact"/>
        <w:rPr>
          <w:rFonts w:ascii="Arial" w:cs="Arial" w:eastAsia="Arial" w:hAnsi="Arial"/>
          <w:sz w:val="18"/>
          <w:szCs w:val="18"/>
          <w:color w:val="auto"/>
        </w:rPr>
      </w:pPr>
    </w:p>
    <w:p>
      <w:pPr>
        <w:ind w:left="-8" w:right="80" w:firstLine="8"/>
        <w:spacing w:after="0" w:line="277" w:lineRule="auto"/>
        <w:tabs>
          <w:tab w:leader="none" w:pos="26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1530.00 feet, turning a central angle of 21°27’50”, for an arc length of 573.16 feet, the chord of said arc bearing North 55°05’59” West for a distance of 569.81 feet to a rebar set, thence</w:t>
      </w:r>
    </w:p>
    <w:p>
      <w:pPr>
        <w:spacing w:after="0" w:line="170" w:lineRule="exact"/>
        <w:rPr>
          <w:rFonts w:ascii="Arial" w:cs="Arial" w:eastAsia="Arial" w:hAnsi="Arial"/>
          <w:sz w:val="18"/>
          <w:szCs w:val="18"/>
          <w:color w:val="auto"/>
        </w:rPr>
      </w:pPr>
    </w:p>
    <w:p>
      <w:pPr>
        <w:ind w:left="-8" w:right="260" w:firstLine="8"/>
        <w:spacing w:after="0" w:line="277" w:lineRule="auto"/>
        <w:tabs>
          <w:tab w:leader="none" w:pos="26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Along a compound curve to the right having a radius of 400.00 feet, turning a central angle of 37°36’43”, for an arc length of 262.58 feet, the chord of said arc bearing North 25°33’43” West for a distance of 257.89 feet to a rebar set, thence</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South 58°03’06” West a distance of 1501.30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North 11°11’33” West a distance of 441.76 feet to a rebar set, thence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jc w:val="both"/>
        <w:ind w:left="-8" w:right="20" w:firstLine="8"/>
        <w:spacing w:after="0" w:line="264" w:lineRule="auto"/>
        <w:tabs>
          <w:tab w:leader="none" w:pos="26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Along reputed owner Consolidated Edison Company of New York, Inc North 34°43’49” East a distance of 1146.62 feet to a rebar set, thence Running the following courses and distances along Lot 1 on a map entitled “Final Subdivision Plat Prepared for Eastview Holdings LLC” filed in the Westchester County Clerk’s Office, Division of Land Records on 11/15/2005 as Map No. 27669.</w:t>
      </w:r>
    </w:p>
    <w:p>
      <w:pPr>
        <w:spacing w:after="0" w:line="181" w:lineRule="exact"/>
        <w:rPr>
          <w:rFonts w:ascii="Arial" w:cs="Arial" w:eastAsia="Arial" w:hAnsi="Arial"/>
          <w:sz w:val="18"/>
          <w:szCs w:val="18"/>
          <w:color w:val="auto"/>
        </w:rPr>
      </w:pPr>
    </w:p>
    <w:p>
      <w:pPr>
        <w:ind w:left="272" w:hanging="272"/>
        <w:spacing w:after="0"/>
        <w:tabs>
          <w:tab w:leader="none" w:pos="27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South 55°16’11” East a distance of 225.33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South 67°59’01” East a distance of 614.61 feet to a rebar set, thence</w:t>
      </w:r>
    </w:p>
    <w:p>
      <w:pPr>
        <w:spacing w:after="0" w:line="225" w:lineRule="exact"/>
        <w:rPr>
          <w:rFonts w:ascii="Arial" w:cs="Arial" w:eastAsia="Arial" w:hAnsi="Arial"/>
          <w:sz w:val="18"/>
          <w:szCs w:val="18"/>
          <w:color w:val="auto"/>
        </w:rPr>
      </w:pPr>
    </w:p>
    <w:p>
      <w:pPr>
        <w:ind w:left="-8" w:right="100" w:firstLine="8"/>
        <w:spacing w:after="0" w:line="277" w:lineRule="auto"/>
        <w:tabs>
          <w:tab w:leader="none" w:pos="26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Along a non-tangent curve to the right having a radius of 1124.93 feet, turning a central angle of 16°12’11”, for an arc length of 318.13 feet, the chord of said arc bearing North 30°03’42” East for a distance of 317.07 feet to a rebar set, thence</w:t>
      </w:r>
    </w:p>
    <w:p>
      <w:pPr>
        <w:spacing w:after="0" w:line="170" w:lineRule="exact"/>
        <w:rPr>
          <w:rFonts w:ascii="Arial" w:cs="Arial" w:eastAsia="Arial" w:hAnsi="Arial"/>
          <w:sz w:val="18"/>
          <w:szCs w:val="18"/>
          <w:color w:val="auto"/>
        </w:rPr>
      </w:pPr>
    </w:p>
    <w:p>
      <w:pPr>
        <w:ind w:left="-8" w:right="20" w:firstLine="8"/>
        <w:spacing w:after="0" w:line="277" w:lineRule="auto"/>
        <w:tabs>
          <w:tab w:leader="none" w:pos="26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Along a compound curve to the right having a radius of 450.05 feet, turning a central angle of 10°26’59”, for an arc length of 82.08 feet, the chord of said arc bearing North 43°23’17” East for a distance of 81.97 feet to a rebar set, thence</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North 32°22’35” East a distance of 262.04 feet to a rebar set, thence</w:t>
      </w:r>
    </w:p>
    <w:p>
      <w:pPr>
        <w:spacing w:after="0" w:line="225" w:lineRule="exact"/>
        <w:rPr>
          <w:rFonts w:ascii="Arial" w:cs="Arial" w:eastAsia="Arial" w:hAnsi="Arial"/>
          <w:sz w:val="18"/>
          <w:szCs w:val="18"/>
          <w:color w:val="auto"/>
        </w:rPr>
      </w:pPr>
    </w:p>
    <w:p>
      <w:pPr>
        <w:ind w:left="-8" w:right="240" w:firstLine="8"/>
        <w:spacing w:after="0" w:line="277" w:lineRule="auto"/>
        <w:tabs>
          <w:tab w:leader="none" w:pos="26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North 27°10’46” East a distance of 172.97 feet to a rebar set, thence Running the following courses and distances along the southwesterly right of way line of Old Sawmill River Road,</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South 63°22’33” East a distance of 24.28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South 68°16’40” East a distance of 63.98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South 71°57’20” East a distance of 48.14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South 75°31’00” East a distance of 167.65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South 75°03’30” East a distance of 417.19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South 71°58’00” East a distance of 46.04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South 70°36’00” East a distance of 53.02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South 67°40’50” East a distance of 36.36 feet to a rebar set, thence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-5037455</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125" w:right="279" w:bottom="0" w:gutter="0" w:footer="0" w:header="0"/>
        </w:sectPr>
      </w:pPr>
    </w:p>
    <w:bookmarkStart w:id="114" w:name="page115"/>
    <w:bookmarkEnd w:id="114"/>
    <w:p>
      <w:pPr>
        <w:ind w:left="280" w:hanging="272"/>
        <w:spacing w:after="0"/>
        <w:tabs>
          <w:tab w:leader="none" w:pos="2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South 66°14’50” East a distance of 71.78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South 63°42’50” East a distance of 155.58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South 63°47’50” East a distance of 270.49 feet to the rebar set and place of beginning.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Together with all the rights, title, privileges, interest, licenses and easements, real and personal in and to a certain pedestrian bridge over Old Saw Mill River Road, Route 303, including, but not limited to, the right and interest in that certain air rights parcel of land shown and designed as Lot PAR on Filed Map 27754 filed in the office of the Clerk of Westchester County and conveyed in a deed dated 12/28/07 made by Eastview Holdings LLC to BMR-Landmark at Eastview LLC, recorded 2/6/09 as Control No. 483310118.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 Section 7.71, Block 6, Lot 1 (Sub Lots 1.1, 1.1A, 1.1B, 1.1C and 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II:</w:t>
      </w:r>
    </w:p>
    <w:p>
      <w:pPr>
        <w:spacing w:after="0" w:line="229"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ALL that certain plot, piece or parcel of land, situate, lying and being in the Town of Mount Pleasant, County of Westchester and State of New York, being designated as Lot 1 on a certain map entitled “Final Subdivision Plat prepared for Eastview Holdings LLC of premises located at Old Saw Mill River Road and NYS Route 9A Town of Mount Pleasant, Westchester County, New York Scale 1”=100’“ prepared by John Meyer Consulting, PC, dated September 27, 2007 in the Office of the Clerk of the County of Westchester as Filed Map No. 28024, being more particularly described as:</w:t>
      </w:r>
    </w:p>
    <w:p>
      <w:pPr>
        <w:spacing w:after="0" w:line="171" w:lineRule="exact"/>
        <w:rPr>
          <w:sz w:val="20"/>
          <w:szCs w:val="20"/>
          <w:color w:val="auto"/>
        </w:rPr>
      </w:pPr>
    </w:p>
    <w:p>
      <w:pPr>
        <w:jc w:val="both"/>
        <w:ind w:right="160"/>
        <w:spacing w:after="0" w:line="308" w:lineRule="auto"/>
        <w:rPr>
          <w:sz w:val="20"/>
          <w:szCs w:val="20"/>
          <w:color w:val="auto"/>
        </w:rPr>
      </w:pPr>
      <w:r>
        <w:rPr>
          <w:rFonts w:ascii="Arial" w:cs="Arial" w:eastAsia="Arial" w:hAnsi="Arial"/>
          <w:sz w:val="17"/>
          <w:szCs w:val="17"/>
          <w:color w:val="auto"/>
        </w:rPr>
        <w:t>Beginning at a rebar set on the northeasterly right of way line of Old Saw Mill River Road, at the intersection formed by the dividing line between the lands n/f BMR-LANDMARK AT EASTVIEW (SBL 116.15-1-2.2), and other lands of BMR-LANDMARK AT EASTVIEW(SBL 116.15-1-2.1),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Running the following courses and distances along the northeasterly right of way line of Old Saw Mill River Road</w:t>
      </w:r>
    </w:p>
    <w:p>
      <w:pPr>
        <w:spacing w:after="0" w:line="225" w:lineRule="exact"/>
        <w:rPr>
          <w:sz w:val="20"/>
          <w:szCs w:val="20"/>
          <w:color w:val="auto"/>
        </w:rPr>
      </w:pPr>
    </w:p>
    <w:p>
      <w:pPr>
        <w:ind w:left="180" w:hanging="172"/>
        <w:spacing w:after="0"/>
        <w:tabs>
          <w:tab w:leader="none" w:pos="1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North 63°49’10” West a distance of 373.58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North 63°40’40” West a distance of 150.03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North 68°08’00” West a distance of 48.55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North 70°56’30” West a distance of 70.20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North 71°26’30” West a distance of 46.86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North 75°05’50” West a distance of 422.47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North 75°28’40” West a distance of 164.70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North 71°28’40” West a distance of 53.23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North 66°46’40” West a distance of 55.80 feet to a rebar set, thence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280" w:hanging="272"/>
        <w:spacing w:after="0"/>
        <w:tabs>
          <w:tab w:leader="none" w:pos="2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North 60°22’50” West a distance of 64.25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North 55°46’50” West a distance of 168.67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North 57°50’10” West a distance of 23.25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North 55°10’55” West a distance of 315.52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Along the dividing line between Reputed Owner Consolidated Edison and reputed owner BMR-LANDMARK AT EASTVIEW (SBL 116.15-1-2.1) North 41°22’40” East a distance of 117.30 feet to a rebar set, thence</w:t>
      </w:r>
    </w:p>
    <w:p>
      <w:pPr>
        <w:spacing w:after="0" w:line="170" w:lineRule="exact"/>
        <w:rPr>
          <w:rFonts w:ascii="Arial" w:cs="Arial" w:eastAsia="Arial" w:hAnsi="Arial"/>
          <w:sz w:val="18"/>
          <w:szCs w:val="18"/>
          <w:color w:val="auto"/>
        </w:rPr>
      </w:pPr>
    </w:p>
    <w:p>
      <w:pPr>
        <w:ind w:right="420" w:firstLine="8"/>
        <w:spacing w:after="0" w:line="277" w:lineRule="auto"/>
        <w:tabs>
          <w:tab w:leader="none" w:pos="27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North 88°40’52” East a distance of 368.78 feet to a point in Saw Mill River, thence Running the following courses and distances along the same and following the Saw Mill River</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South 63°24’21” East a distance of 101.76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South 82°58’51” East a distance of 62.51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North 67°02’49” East a distance of 39.00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North 40°05’34” East a distance of 35.47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North 22°26’57” East a distance of 54.23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North 12°57’05” East a distance of 73.98 feet to a point, thence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-3803015</wp:posOffset>
            </wp:positionV>
            <wp:extent cx="72675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bookmarkStart w:id="115" w:name="page116"/>
    <w:bookmarkEnd w:id="115"/>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North 46°15’28” East a distance of 50.93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North 57°39’41” East a distance of 47.17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North 39°04’03” East a distance of 72.47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North 21°22’50” East a distance of 121.63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North 23°17’46” East a distance of 104.78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North 29°08’32” East a distance of 26.42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North 53°38’21” East a distance of 27.20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North 69°06’38” East a distance of 34.18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North 50°34’22” East a distance of 41.23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North 20°13’22” East a distance of 59.81 feet to a point, thence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North 28°16’38” East a distance of 37.59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North 48°06’01” East a distance of 70.84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North 03°30’01” East a distance of 194.44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North 17°33’46” East a distance of 100.88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North 44°40’00” East a distance of 31.11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North 86°48’15” East a distance of 40.05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North 49°30’38” East a distance of 41.87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North 08°08’06” West a distance of 73.68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North 26°13’54” East a distance of 87.21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North 19°32’46” West a distance of 69.89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North 45°20’00” West a distance of 31.11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North 48°51’07” East a distance of 116.18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North 21°54’57” East a distance of 47.67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North 19°25’35” West a distance of 27.51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North 51°40’22” West a distance of 6.14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Along North 41°22’40” East a distance of 1119.15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Along South 73°06’25” East a distance of 37.33 feet to a rebar set, thence</w:t>
      </w:r>
    </w:p>
    <w:p>
      <w:pPr>
        <w:spacing w:after="0" w:line="225" w:lineRule="exact"/>
        <w:rPr>
          <w:rFonts w:ascii="Arial" w:cs="Arial" w:eastAsia="Arial" w:hAnsi="Arial"/>
          <w:sz w:val="18"/>
          <w:szCs w:val="18"/>
          <w:color w:val="auto"/>
        </w:rPr>
      </w:pPr>
    </w:p>
    <w:p>
      <w:pPr>
        <w:ind w:left="-8" w:right="1320" w:firstLine="8"/>
        <w:spacing w:after="0" w:line="530" w:lineRule="auto"/>
        <w:tabs>
          <w:tab w:leader="none" w:pos="262" w:val="left"/>
        </w:tabs>
        <w:numPr>
          <w:ilvl w:val="0"/>
          <w:numId w:val="258"/>
        </w:numPr>
        <w:rPr>
          <w:rFonts w:ascii="Arial" w:cs="Arial" w:eastAsia="Arial" w:hAnsi="Arial"/>
          <w:sz w:val="17"/>
          <w:szCs w:val="17"/>
          <w:color w:val="auto"/>
        </w:rPr>
      </w:pPr>
      <w:r>
        <w:rPr>
          <w:rFonts w:ascii="Arial" w:cs="Arial" w:eastAsia="Arial" w:hAnsi="Arial"/>
          <w:sz w:val="17"/>
          <w:szCs w:val="17"/>
          <w:color w:val="auto"/>
        </w:rPr>
        <w:t>Along the southwesterly right of way line of Saw Mill River Road, South 07°54’30” East a distance of 532.24 feet to a rebar set, thence Running the following courses and distances along other lands of BMR-LANDMARK AT EASTVIEW (SBL 116.15-1-2.2)</w:t>
      </w:r>
    </w:p>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South 82°05’30” West a distance of 53.22 feet to a rebar set, thence</w:t>
      </w:r>
    </w:p>
    <w:p>
      <w:pPr>
        <w:spacing w:after="0" w:line="225" w:lineRule="exact"/>
        <w:rPr>
          <w:rFonts w:ascii="Arial" w:cs="Arial" w:eastAsia="Arial" w:hAnsi="Arial"/>
          <w:sz w:val="18"/>
          <w:szCs w:val="18"/>
          <w:color w:val="auto"/>
        </w:rPr>
      </w:pPr>
    </w:p>
    <w:p>
      <w:pPr>
        <w:ind w:left="-8" w:firstLine="8"/>
        <w:spacing w:after="0" w:line="277" w:lineRule="auto"/>
        <w:tabs>
          <w:tab w:leader="none" w:pos="26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120.00 feet, turning a central angle of 66°50’29”, for an arc length of 139.99 feet, the chord of said arc bearing South 48°40’15” West for a distance of 132.19 feet to a rebar set, thence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8" w:right="180" w:firstLine="8"/>
        <w:spacing w:after="0" w:line="277" w:lineRule="auto"/>
        <w:tabs>
          <w:tab w:leader="none" w:pos="26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Along a reverse curve to the right having a radius of 480.00 feet, turning a central angle of 21°46’49”, for an arc length of 182.47 feet, the chord of said arc bearing South 26°08’26” West for a distance of 181.37 feet to a rebar set, thence</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South 37°01’48” West a distance of 287.70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58"/>
        </w:numPr>
        <w:rPr>
          <w:rFonts w:ascii="Arial" w:cs="Arial" w:eastAsia="Arial" w:hAnsi="Arial"/>
          <w:sz w:val="18"/>
          <w:szCs w:val="18"/>
          <w:color w:val="auto"/>
        </w:rPr>
      </w:pPr>
      <w:r>
        <w:rPr>
          <w:rFonts w:ascii="Arial" w:cs="Arial" w:eastAsia="Arial" w:hAnsi="Arial"/>
          <w:sz w:val="18"/>
          <w:szCs w:val="18"/>
          <w:color w:val="auto"/>
        </w:rPr>
        <w:t>South 46°17’40” West a distance of 85.62 feet to a rebar set, thence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-7550150</wp:posOffset>
            </wp:positionV>
            <wp:extent cx="72675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-1195705</wp:posOffset>
            </wp:positionV>
            <wp:extent cx="72675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125" w:right="279" w:bottom="0" w:gutter="0" w:footer="0" w:header="0"/>
        </w:sectPr>
      </w:pPr>
    </w:p>
    <w:bookmarkStart w:id="116" w:name="page117"/>
    <w:bookmarkEnd w:id="116"/>
    <w:p>
      <w:pPr>
        <w:ind w:left="280" w:hanging="272"/>
        <w:spacing w:after="0"/>
        <w:tabs>
          <w:tab w:leader="none" w:pos="2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South 57°32’20” West a distance of 65.29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North 61°07’50” West a distance of 113.60 feet to a rebar set, thence</w:t>
      </w:r>
    </w:p>
    <w:p>
      <w:pPr>
        <w:spacing w:after="0" w:line="225" w:lineRule="exact"/>
        <w:rPr>
          <w:rFonts w:ascii="Arial" w:cs="Arial" w:eastAsia="Arial" w:hAnsi="Arial"/>
          <w:sz w:val="18"/>
          <w:szCs w:val="18"/>
          <w:color w:val="auto"/>
        </w:rPr>
      </w:pPr>
    </w:p>
    <w:p>
      <w:pPr>
        <w:ind w:right="100" w:firstLine="8"/>
        <w:spacing w:after="0" w:line="277" w:lineRule="auto"/>
        <w:tabs>
          <w:tab w:leader="none" w:pos="27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73.50 feet, turning a central angle of 82°49’02”, for an arc length of 106.24 feet, the chord of said arc bearing South 77°27’39” West for a distance of 97.23 feet to a rebar set, thence</w:t>
      </w:r>
    </w:p>
    <w:p>
      <w:pPr>
        <w:spacing w:after="0" w:line="170" w:lineRule="exact"/>
        <w:rPr>
          <w:rFonts w:ascii="Arial" w:cs="Arial" w:eastAsia="Arial" w:hAnsi="Arial"/>
          <w:sz w:val="18"/>
          <w:szCs w:val="18"/>
          <w:color w:val="auto"/>
        </w:rPr>
      </w:pPr>
    </w:p>
    <w:p>
      <w:pPr>
        <w:ind w:right="140" w:firstLine="8"/>
        <w:spacing w:after="0" w:line="277" w:lineRule="auto"/>
        <w:tabs>
          <w:tab w:leader="none" w:pos="27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Along a compound curve to the left having a radius of 91.00 feet, turning a central angle of 68°00’38”, for an arc length of 108.02 feet, the chord of said arc bearing South 02°02’49” West for a distance of 101.79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South 31°57’30” East a distance of 305.66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South 30°02’00” West a distance of 347.72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South 60°12’00” East a distance of 333.26 feet to a rebar set, thence</w:t>
      </w:r>
    </w:p>
    <w:p>
      <w:pPr>
        <w:spacing w:after="0" w:line="225" w:lineRule="exact"/>
        <w:rPr>
          <w:rFonts w:ascii="Arial" w:cs="Arial" w:eastAsia="Arial" w:hAnsi="Arial"/>
          <w:sz w:val="18"/>
          <w:szCs w:val="18"/>
          <w:color w:val="auto"/>
        </w:rPr>
      </w:pPr>
    </w:p>
    <w:p>
      <w:pPr>
        <w:ind w:right="180" w:firstLine="8"/>
        <w:spacing w:after="0" w:line="277" w:lineRule="auto"/>
        <w:tabs>
          <w:tab w:leader="none" w:pos="27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500.00 feet, turning a central angle of 21°06’38”, for an arc length of 184.22 feet, the chord of said arc bearing South 49°38’41” East for a distance of 183.18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South 39°05’22” East a distance of 174.39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160.00 feet, turning a central angle of 27°24’26”, for an arc length of 76.54 feet, the chord of said arc bearing South 25°23’09” East for a distance of 75.81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South 11°40’56” East a distance of 147.46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160.00 feet, turning a central angle of 26°20’55”, for an arc length of 73.58 feet, the chord of said arc bearing South 01°29’32” West for a distance of 72.93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South 14°40’00” West a distance of 417.48 feet to a rebar set, thence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firstLine="8"/>
        <w:spacing w:after="0" w:line="277" w:lineRule="auto"/>
        <w:tabs>
          <w:tab w:leader="none" w:pos="27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160.00 feet, turning a central angle of 15°51’47”, for an arc length of 44.30 feet, the chord of said arc bearing South 22°35’53” West for a distance of 44.16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South 30°21’46” West a distance of 251.53 feet to the place of beginning.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-921385</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Together with all the rights, title, privileges, interest, licenses and easements, real and personal in and to a certain pedestrian bridge over Old Saw Mill River Road, Route 303, including, but not limited to, the right and interest in that certain air rights parcel of land shown and designed as Lot PAR on Filed Map 27754 filed in the office of the Clerk of Westchester County and conveyed in a deed dated 12/28/07 made by Eastview Holdings LLC to BMR-Landmark at Eastview LLC, recorded 2/6/09 as Control No. 483310118.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 Section 116.15, Block 1, Lot 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PARCEL A:</w:t>
      </w:r>
    </w:p>
    <w:p>
      <w:pPr>
        <w:spacing w:after="0" w:line="225"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Lot 2 on a certain map entitled “Final Subdivision Plat prepared for Eastview Holdings LLC of premises located at Old Saw Mill River Road and NYS Route 9A Town of Mount Pleasant Westchester County, New York Scale 1”=100’“ prepared by John Meyer Consulting, PC, dated September 5, 2007 and last revised September 18, 2007 and filed September 27, 2007 in the Office of the Clerk of the County of Westchester as Filed Map No. 28024.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Excepting therefrom the following tract of land:</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Section 116.15, Block 1, Tax Lot 2.3 of the Tax Records of the Town of Mount Pleasant and as more particularly described as follows:</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BEGINNING at a point along the West side of the Saw Mill River Road (New York State Highway No. 52), said point being North 07 degrees 04 minutes 50 seconds West 1190.38 feet measured along said West side of the Saw Mill River Road from the Northeasterly corner of Parcel 303-2 as shown on “Map of Land to be Acquired for the Improvement of: Old Saw Mill River Road” prepared by Westchester County Department of Public Works, filed as Map No. 19473 and recorded May 4, 1978;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THENCE through the aforesaid Tax Lot 2 the following courses and distances: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 82 degrees 05 minutes 30 seconds West, 81.27 feet to a point of curvature;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294.00 foot radius curve to the right, through a central angle of 23 degrees 01 minutes 21 seconds, an arc distance of 118.14 feet to a point of reverse curvature;</w:t>
      </w:r>
    </w:p>
    <w:p>
      <w:pPr>
        <w:sectPr>
          <w:pgSz w:w="11900" w:h="16838" w:orient="portrait"/>
          <w:cols w:equalWidth="0" w:num="1">
            <w:col w:w="11400"/>
          </w:cols>
          <w:pgMar w:left="240" w:top="125" w:right="259" w:bottom="0" w:gutter="0" w:footer="0" w:header="0"/>
        </w:sectPr>
      </w:pPr>
    </w:p>
    <w:bookmarkStart w:id="117" w:name="page118"/>
    <w:bookmarkEnd w:id="117"/>
    <w:p>
      <w:pPr>
        <w:spacing w:after="0" w:line="2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280.00 foot radius curve to the left, through a central angle of 19 degrees 12 minutes 52 seconds, an arc distance of 93.90 feet to a point of reverse curvature;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270.00 foot radius curve to the right, through a central angle of 41 degrees 53 minutes 41 seconds, an arc distance of 197.42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52 degrees 12 minutes 20 seconds West, 9.33 feet to a point of curvature;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445.00 foot radius curve to the right, through a central angle of 37 degrees 06 minutes 20 seconds, an arc distance of 288.19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15 degrees 06 minutes 00 seconds West, 310.50 feet to a point of curvature;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360.00 foot radius curve to the right, through a central angle of 52 degrees 07 minutes 50 seconds, an arc distance of 327.55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37 degrees 01 minutes 50 seconds East, 387.10 feet to a point of curvature;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THENCE along a 480.00 foot radius curve to the left, through a central angle of 21 degrees 46 minutes 49 seconds, an arc distance of 182.46 feet to a point of reverse curvature;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120.00 foot radius curve to the right, through a central angle of 66 degrees 50 minutes 29 seconds, an arc distance of 139.99 feet to a point of tangency;</w:t>
      </w:r>
    </w:p>
    <w:p>
      <w:pPr>
        <w:spacing w:after="0" w:line="17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THENCE still through the aforesaid Tax Lot 2, North 82 degrees 05 minutes 30 seconds East 53.22 feet to the aforesaid west side of Saw Mill River Road, said point being South 07 degrees 54 minutes 30 seconds East 532.24 feet measured along said West side of the Saw Mill River Road from the division line between lands now or formerly of Consolidated Edison Company of New York, Inc. and the aforesaid Tax Lot 2;</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THENCE along said West side of the Saw Mill River Road, South 07 degrees 54 minutes 30 seconds East, 800.05 feet and South 07 degrees 04 minutes 50 seconds East, 692.22 feet to the point of BEGINNING.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116.15, Block 1, Lot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PARCEL B:</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Section 116.15, Block 1, Tax Lot 2.3 of the Tax Records of the Town of Mount Pleasant and as more particularly described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BEGINNING at a point along the West side of the Saw Mill River Road (New York State Highway No. 52), said point being North 07 degrees 04 minutes 50 seconds West 1190.38 feet measured along said West side of the Saw Mill River Road from the Northeasterly corner of Parcel 303-2 as shown on “Map of Land to be Acquired for the Improvement of: Old Saw Mill River Road” prepared by Westchester County Department of Public Works, filed as Map No. 19473 and recorded May 4, 1978;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THENCE through the aforesaid Tax Lot 2 the following courses and distances: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 82 degrees 05 minutes 30 seconds West, 81.27 feet to a point of curvature;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294.00 foot radius curve to the right, through a central angle of 23 degrees 01 minutes 21 seconds, an arc distance of 118.14 feet to a point of reverse curvature;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280.00 foot radius curve to the left, through a central angle of 19 degrees 12 minutes 52 seconds, an arc distance of 93.90 feet to a point of reverse curvature;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270.00 foot radius curve to the right, through a central angle of 41 degrees 53 minutes 41 seconds, an arc distance of 197.42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52 degrees 12 minutes 20 seconds West, 9.33 feet to a point of curvature;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445.00 foot radius curve to the right, through a central angle of 37 degrees 06 minutes 20 seconds, an arc distance of 288.19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15 degrees 06 minutes 00 seconds West, 310.50 feet to a point of curvature;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360.00 foot radius curve to the right, through a central angle of 52 degrees 07 minutes 50 seconds, an arc distance of 327.55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37 degrees 01 minutes 50 seconds East, 387.10 feet to a point of curvature;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THENCE along a 480.00 foot radius curve to the left, through a central angle of 21 degrees 46 minutes 49 seconds, an arc distance of 182.46 feet to a point of reverse curvature;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120.00 foot radius curve to the right, through a central angle of 66 degrees 50 minutes 29 seconds, an arc distance of 139.99 feet to a point of tangency;</w:t>
      </w:r>
    </w:p>
    <w:p>
      <w:pPr>
        <w:sectPr>
          <w:pgSz w:w="11900" w:h="16861" w:orient="portrait"/>
          <w:cols w:equalWidth="0" w:num="1">
            <w:col w:w="11400"/>
          </w:cols>
          <w:pgMar w:left="240" w:top="125" w:right="259" w:bottom="0" w:gutter="0" w:footer="0" w:header="0"/>
        </w:sectPr>
      </w:pPr>
    </w:p>
    <w:bookmarkStart w:id="118" w:name="page119"/>
    <w:bookmarkEnd w:id="118"/>
    <w:p>
      <w:pPr>
        <w:jc w:val="both"/>
        <w:ind w:right="180"/>
        <w:spacing w:after="0" w:line="286" w:lineRule="auto"/>
        <w:rPr>
          <w:sz w:val="20"/>
          <w:szCs w:val="20"/>
          <w:color w:val="auto"/>
        </w:rPr>
      </w:pPr>
      <w:r>
        <w:rPr>
          <w:rFonts w:ascii="Arial" w:cs="Arial" w:eastAsia="Arial" w:hAnsi="Arial"/>
          <w:sz w:val="17"/>
          <w:szCs w:val="17"/>
          <w:color w:val="auto"/>
        </w:rPr>
        <w:t>THENCE still through the aforesaid Tax Lot 2, North 82 degrees 05 minutes 30 seconds East 53.22 feet to the aforesaid west side of Saw Mill River Road, said point being South 07 degrees 54 minutes 30 seconds East 532.24 feet measured along said West side of the Saw Mill River Road from the division line between lands now or formerly of Consolidated Edison Company of New York, Inc. and the aforesaid Tax Lot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THENCE along said West side of the Saw Mill River Road, South 07 degrees 54 minutes 30 seconds East, 800.05 feet and South 07 degrees 04 minutes 50 seconds East, 692.22 feet to the point of BEGINNING.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116.15, Block 1, Lot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IV:</w:t>
      </w:r>
    </w:p>
    <w:p>
      <w:pPr>
        <w:spacing w:after="0" w:line="2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Section 116.15, Block 1, Tax Lots 5 and 6 of the Tax Records of the Town of Mount Pleasant and as more particularly described as follows:</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BEGINNING at the intersection of the Northerly boundary line of Saw Mill River Road (State Highway No. 52), also known as Route 9A, as widened, with the Northerly boundary line of Grasslands Road;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THENCE along said Northerly boundary line of Grasslands Road South 86 degrees 43 minutes 47 seconds, West 34.19 feet to a point of curvature;</w:t>
      </w:r>
    </w:p>
    <w:p>
      <w:pPr>
        <w:spacing w:after="0" w:line="23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THENCE Westerly along a 225.00 foot radius curve deflecting to the right through a central angle of 47 degrees 34 minutes 53 seconds, an arc distance of 185.81 feet to a point on the Easterly boundary line of Old Saw Mill River Road;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Northerly along the Easterly boundary line of Old Saw Mill River Road the following courses and distances: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 23 degrees 24 minutes 20 seconds West 18.96 feet;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 33 degrees 37 minutes 30 seconds West 33.32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30 degrees 41 minutes 10 seconds West 79.50 feet to a point;</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THENCE Northerly on a course connecting the Easterly boundary line of Old Saw Mill River Road with the Southerly boundary line of a ramp connecting Old Saw Mill River Road with Saw Mill River Road, North 31 degrees 19 minutes 17 seconds East 52.17 feet to the intersection of a 185 foot radius curve, to which intersection a radial line bears South 05 degrees 46 minutes 57 seconds West;</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THENCE Easterly along said Southerly boundary line of the ramp along said 185.00 foot radius curve deflecting to the left through a central angle of 53 degrees 28 minutes 04 seconds, an arc distance of 172.64 feet;</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THENCE continuing along said Southerly boundary line of the ramp North 42 degrees 18 minutes 53 seconds East 80.44 feet to a point on the aforesaid Westerly boundary line of the Saw Mill River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THENCE Southerly along said Westerly boundary line of the Saw Mill River Road, South 05 degrees 38 minutes 30 seconds East 277.85 feet and South 06 degrees 07 minutes 00 seconds East 62.61 feet to the point or place of BEGINNING.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116.15, Block 1, Lots 5 &amp;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above property has street addresses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735 Old Saw Mill River Road (Building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Old Saw Mill River Road (Building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755 Old Saw Mill River Road (Building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763 Old Saw Mill River Road (Power Station);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765 &amp; 777 Old Saw Mill River Road (Buildings 1, 3 and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767 Old Saw Mill River Road (Building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769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771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785 Old Saw Mill River Road (Building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795 Old Saw Mill River Road (Building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799 Old Saw Mill River Road (Parking Garage);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 in Tarrytown, New York 10591;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Saw Mill River Road (Home Depot), Hawthorne, New York 10532.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TO LEASE</w:t>
      </w:r>
    </w:p>
    <w:p>
      <w:pPr>
        <w:sectPr>
          <w:pgSz w:w="11900" w:h="16838" w:orient="portrait"/>
          <w:cols w:equalWidth="0" w:num="1">
            <w:col w:w="11400"/>
          </w:cols>
          <w:pgMar w:left="240" w:top="341" w:right="259" w:bottom="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FORM OF MEMORANDUM OF LEASE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instrument prepared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 when recorded return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Philip M. Edison,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Chapman and Cutler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111 West Monroe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60603-4080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MEMORANDUM OF LEASE AND REMEDIES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March 3,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OLD SAW MILL HOLDINGS LLC,</w:t>
      </w:r>
    </w:p>
    <w:p>
      <w:pPr>
        <w:spacing w:after="0" w:line="225" w:lineRule="exact"/>
        <w:rPr>
          <w:sz w:val="20"/>
          <w:szCs w:val="20"/>
          <w:color w:val="auto"/>
        </w:rPr>
      </w:pPr>
    </w:p>
    <w:p>
      <w:pPr>
        <w:ind w:left="10220"/>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“LESSEE”</w:t>
      </w:r>
      <w:r>
        <w:rPr>
          <w:rFonts w:ascii="Arial" w:cs="Arial" w:eastAsia="Arial" w:hAnsi="Arial"/>
          <w:sz w:val="17"/>
          <w:szCs w:val="17"/>
          <w:color w:val="auto"/>
        </w:rPr>
        <w: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 LEASING BSC, LLC</w:t>
      </w:r>
    </w:p>
    <w:p>
      <w:pPr>
        <w:spacing w:after="0" w:line="225" w:lineRule="exact"/>
        <w:rPr>
          <w:sz w:val="20"/>
          <w:szCs w:val="20"/>
          <w:color w:val="auto"/>
        </w:rPr>
      </w:pPr>
    </w:p>
    <w:p>
      <w:pPr>
        <w:ind w:left="10200"/>
        <w:spacing w:after="0"/>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“LESSOR”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LEASE AND REMEDIES AGREEMENT DATED AS OF MARCH 3, 2017 BETWEEN LESSEE AND LESSOR COVERS GOODS WHICH ARE OR ARE TO BECOME FIXTURES RELATED TO THE REAL ESTATE DESCRIBED HEREIN AND IS TO BE FILED AGAINST THE TRACT INDEX IN THE REAL PROPERTY RECORDS.</w:t>
      </w:r>
    </w:p>
    <w:p>
      <w:pPr>
        <w:spacing w:after="0" w:line="181"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THE NAMES OF LESSEE, AS THE DEBTOR, AND LESSOR, AS THE SECURED PARTY, THE MAILING ADDRESS OF THE SECURED PARTY FROM WHICH INFORMATION CONCERNING THE SECURITY INTEREST MAY BE OBTAINED, THE MAILING ADDRESS OF THE DEBTOR AND A STATEMENT INDICATING THE TYPES, OR DESCRIBING THE ITEMS OF COLLATERAL ARE AS DESCRIBED HEREIN, IN COMPLIANCE WITH THE REQUIREMENTS OF SECTION 9-502 OF THE UNIFORM COMMERCIAL CODE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SECTION</w:t>
            </w:r>
          </w:p>
        </w:tc>
        <w:tc>
          <w:tcPr>
            <w:tcW w:w="280" w:type="dxa"/>
            <w:vAlign w:val="bottom"/>
          </w:tcPr>
          <w:p>
            <w:pPr>
              <w:spacing w:after="0"/>
              <w:rPr>
                <w:sz w:val="14"/>
                <w:szCs w:val="14"/>
                <w:color w:val="auto"/>
              </w:rPr>
            </w:pPr>
          </w:p>
        </w:tc>
        <w:tc>
          <w:tcPr>
            <w:tcW w:w="7860" w:type="dxa"/>
            <w:vAlign w:val="bottom"/>
            <w:tcBorders>
              <w:bottom w:val="single" w:sz="8" w:color="auto"/>
            </w:tcBorders>
          </w:tcPr>
          <w:p>
            <w:pPr>
              <w:ind w:left="3580"/>
              <w:spacing w:after="0"/>
              <w:rPr>
                <w:sz w:val="20"/>
                <w:szCs w:val="20"/>
                <w:color w:val="auto"/>
              </w:rPr>
            </w:pPr>
            <w:r>
              <w:rPr>
                <w:rFonts w:ascii="Arial" w:cs="Arial" w:eastAsia="Arial" w:hAnsi="Arial"/>
                <w:sz w:val="14"/>
                <w:szCs w:val="14"/>
                <w:b w:val="1"/>
                <w:bCs w:val="1"/>
                <w:color w:val="auto"/>
              </w:rPr>
              <w:t>HEADING</w:t>
            </w:r>
          </w:p>
        </w:tc>
        <w:tc>
          <w:tcPr>
            <w:tcW w:w="280" w:type="dxa"/>
            <w:vAlign w:val="bottom"/>
          </w:tcPr>
          <w:p>
            <w:pPr>
              <w:spacing w:after="0"/>
              <w:rPr>
                <w:sz w:val="14"/>
                <w:szCs w:val="14"/>
                <w:color w:val="auto"/>
              </w:rPr>
            </w:pPr>
          </w:p>
        </w:tc>
        <w:tc>
          <w:tcPr>
            <w:tcW w:w="9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r>
      <w:tr>
        <w:trPr>
          <w:trHeight w:val="426"/>
        </w:trPr>
        <w:tc>
          <w:tcPr>
            <w:tcW w:w="2100" w:type="dxa"/>
            <w:vAlign w:val="bottom"/>
          </w:tcPr>
          <w:p>
            <w:pPr>
              <w:spacing w:after="0"/>
              <w:rPr>
                <w:sz w:val="20"/>
                <w:szCs w:val="20"/>
                <w:color w:val="auto"/>
              </w:rPr>
            </w:pPr>
            <w:r>
              <w:rPr>
                <w:rFonts w:ascii="Arial" w:cs="Arial" w:eastAsia="Arial" w:hAnsi="Arial"/>
                <w:sz w:val="18"/>
                <w:szCs w:val="18"/>
                <w:color w:val="auto"/>
              </w:rPr>
              <w:t>SECTION 1.</w:t>
            </w:r>
          </w:p>
        </w:tc>
        <w:tc>
          <w:tcPr>
            <w:tcW w:w="8420" w:type="dxa"/>
            <w:vAlign w:val="bottom"/>
            <w:gridSpan w:val="3"/>
          </w:tcPr>
          <w:p>
            <w:pPr>
              <w:ind w:left="280"/>
              <w:spacing w:after="0"/>
              <w:rPr>
                <w:sz w:val="20"/>
                <w:szCs w:val="20"/>
                <w:color w:val="auto"/>
              </w:rPr>
            </w:pPr>
            <w:r>
              <w:rPr>
                <w:rFonts w:ascii="Arial" w:cs="Arial" w:eastAsia="Arial" w:hAnsi="Arial"/>
                <w:sz w:val="18"/>
                <w:szCs w:val="18"/>
                <w:color w:val="auto"/>
              </w:rPr>
              <w:t>DEFINITIONS; INTERPRETATION; FULL RECOURSE</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SECTION 2.</w:t>
            </w:r>
          </w:p>
        </w:tc>
        <w:tc>
          <w:tcPr>
            <w:tcW w:w="8420" w:type="dxa"/>
            <w:vAlign w:val="bottom"/>
            <w:gridSpan w:val="3"/>
          </w:tcPr>
          <w:p>
            <w:pPr>
              <w:ind w:left="280"/>
              <w:spacing w:after="0"/>
              <w:rPr>
                <w:sz w:val="20"/>
                <w:szCs w:val="20"/>
                <w:color w:val="auto"/>
              </w:rPr>
            </w:pPr>
            <w:r>
              <w:rPr>
                <w:rFonts w:ascii="Arial" w:cs="Arial" w:eastAsia="Arial" w:hAnsi="Arial"/>
                <w:sz w:val="18"/>
                <w:szCs w:val="18"/>
                <w:color w:val="auto"/>
              </w:rPr>
              <w:t>LEASE TERM</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SECTION 3.</w:t>
            </w:r>
          </w:p>
        </w:tc>
        <w:tc>
          <w:tcPr>
            <w:tcW w:w="8420" w:type="dxa"/>
            <w:vAlign w:val="bottom"/>
            <w:gridSpan w:val="3"/>
          </w:tcPr>
          <w:p>
            <w:pPr>
              <w:ind w:left="280"/>
              <w:spacing w:after="0"/>
              <w:rPr>
                <w:sz w:val="20"/>
                <w:szCs w:val="20"/>
                <w:color w:val="auto"/>
              </w:rPr>
            </w:pPr>
            <w:r>
              <w:rPr>
                <w:rFonts w:ascii="Arial" w:cs="Arial" w:eastAsia="Arial" w:hAnsi="Arial"/>
                <w:sz w:val="18"/>
                <w:szCs w:val="18"/>
                <w:color w:val="auto"/>
              </w:rPr>
              <w:t>PURCHASE RIGHTS AND OBLIGATIONS</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SECTION 4.</w:t>
            </w:r>
          </w:p>
        </w:tc>
        <w:tc>
          <w:tcPr>
            <w:tcW w:w="8420" w:type="dxa"/>
            <w:vAlign w:val="bottom"/>
            <w:gridSpan w:val="3"/>
          </w:tcPr>
          <w:p>
            <w:pPr>
              <w:ind w:left="280"/>
              <w:spacing w:after="0"/>
              <w:rPr>
                <w:sz w:val="20"/>
                <w:szCs w:val="20"/>
                <w:color w:val="auto"/>
              </w:rPr>
            </w:pPr>
            <w:r>
              <w:rPr>
                <w:rFonts w:ascii="Arial" w:cs="Arial" w:eastAsia="Arial" w:hAnsi="Arial"/>
                <w:sz w:val="18"/>
                <w:szCs w:val="18"/>
                <w:color w:val="auto"/>
              </w:rPr>
              <w:t>LIENS AND SECURITY INTERESTS</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SECTION 5.</w:t>
            </w:r>
          </w:p>
        </w:tc>
        <w:tc>
          <w:tcPr>
            <w:tcW w:w="8420" w:type="dxa"/>
            <w:vAlign w:val="bottom"/>
            <w:gridSpan w:val="3"/>
          </w:tcPr>
          <w:p>
            <w:pPr>
              <w:ind w:left="280"/>
              <w:spacing w:after="0"/>
              <w:rPr>
                <w:sz w:val="20"/>
                <w:szCs w:val="20"/>
                <w:color w:val="auto"/>
              </w:rPr>
            </w:pPr>
            <w:r>
              <w:rPr>
                <w:rFonts w:ascii="Arial" w:cs="Arial" w:eastAsia="Arial" w:hAnsi="Arial"/>
                <w:sz w:val="18"/>
                <w:szCs w:val="18"/>
                <w:color w:val="auto"/>
              </w:rPr>
              <w:t>REMEDIES</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SECTION 6.</w:t>
            </w:r>
          </w:p>
        </w:tc>
        <w:tc>
          <w:tcPr>
            <w:tcW w:w="8420" w:type="dxa"/>
            <w:vAlign w:val="bottom"/>
            <w:gridSpan w:val="3"/>
          </w:tcPr>
          <w:p>
            <w:pPr>
              <w:ind w:left="280"/>
              <w:spacing w:after="0"/>
              <w:rPr>
                <w:sz w:val="20"/>
                <w:szCs w:val="20"/>
                <w:color w:val="auto"/>
              </w:rPr>
            </w:pPr>
            <w:r>
              <w:rPr>
                <w:rFonts w:ascii="Arial" w:cs="Arial" w:eastAsia="Arial" w:hAnsi="Arial"/>
                <w:sz w:val="18"/>
                <w:szCs w:val="18"/>
                <w:color w:val="auto"/>
              </w:rPr>
              <w:t>NOTICE TO POTENTIAL CLAIMANTS</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SECTION 7.</w:t>
            </w:r>
          </w:p>
        </w:tc>
        <w:tc>
          <w:tcPr>
            <w:tcW w:w="8420" w:type="dxa"/>
            <w:vAlign w:val="bottom"/>
            <w:gridSpan w:val="3"/>
          </w:tcPr>
          <w:p>
            <w:pPr>
              <w:ind w:left="280"/>
              <w:spacing w:after="0"/>
              <w:rPr>
                <w:sz w:val="20"/>
                <w:szCs w:val="20"/>
                <w:color w:val="auto"/>
              </w:rPr>
            </w:pPr>
            <w:r>
              <w:rPr>
                <w:rFonts w:ascii="Arial" w:cs="Arial" w:eastAsia="Arial" w:hAnsi="Arial"/>
                <w:sz w:val="18"/>
                <w:szCs w:val="18"/>
                <w:color w:val="auto"/>
              </w:rPr>
              <w:t>INCORPORATION; RATIFICATION</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SECTION 8.</w:t>
            </w:r>
          </w:p>
        </w:tc>
        <w:tc>
          <w:tcPr>
            <w:tcW w:w="8420" w:type="dxa"/>
            <w:vAlign w:val="bottom"/>
            <w:gridSpan w:val="3"/>
          </w:tcPr>
          <w:p>
            <w:pPr>
              <w:ind w:left="280"/>
              <w:spacing w:after="0"/>
              <w:rPr>
                <w:sz w:val="20"/>
                <w:szCs w:val="20"/>
                <w:color w:val="auto"/>
              </w:rPr>
            </w:pPr>
            <w:r>
              <w:rPr>
                <w:rFonts w:ascii="Arial" w:cs="Arial" w:eastAsia="Arial" w:hAnsi="Arial"/>
                <w:sz w:val="18"/>
                <w:szCs w:val="18"/>
                <w:color w:val="auto"/>
              </w:rPr>
              <w:t>GOVERNING LAW</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SECTION 9.</w:t>
            </w:r>
          </w:p>
        </w:tc>
        <w:tc>
          <w:tcPr>
            <w:tcW w:w="8420" w:type="dxa"/>
            <w:vAlign w:val="bottom"/>
            <w:gridSpan w:val="3"/>
          </w:tcPr>
          <w:p>
            <w:pPr>
              <w:ind w:left="280"/>
              <w:spacing w:after="0"/>
              <w:rPr>
                <w:sz w:val="20"/>
                <w:szCs w:val="20"/>
                <w:color w:val="auto"/>
              </w:rPr>
            </w:pPr>
            <w:r>
              <w:rPr>
                <w:rFonts w:ascii="Arial" w:cs="Arial" w:eastAsia="Arial" w:hAnsi="Arial"/>
                <w:sz w:val="18"/>
                <w:szCs w:val="18"/>
                <w:color w:val="auto"/>
              </w:rPr>
              <w:t>COUNTERPART EXECUTION</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SECTION 10.</w:t>
            </w:r>
          </w:p>
        </w:tc>
        <w:tc>
          <w:tcPr>
            <w:tcW w:w="8420" w:type="dxa"/>
            <w:vAlign w:val="bottom"/>
            <w:gridSpan w:val="3"/>
          </w:tcPr>
          <w:p>
            <w:pPr>
              <w:ind w:left="280"/>
              <w:spacing w:after="0"/>
              <w:rPr>
                <w:sz w:val="20"/>
                <w:szCs w:val="20"/>
                <w:color w:val="auto"/>
              </w:rPr>
            </w:pPr>
            <w:r>
              <w:rPr>
                <w:rFonts w:ascii="Arial" w:cs="Arial" w:eastAsia="Arial" w:hAnsi="Arial"/>
                <w:sz w:val="18"/>
                <w:szCs w:val="18"/>
                <w:color w:val="auto"/>
              </w:rPr>
              <w:t>FUTURE ADVANCES</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SECTION 11.</w:t>
            </w:r>
          </w:p>
        </w:tc>
        <w:tc>
          <w:tcPr>
            <w:tcW w:w="8420" w:type="dxa"/>
            <w:vAlign w:val="bottom"/>
            <w:gridSpan w:val="3"/>
          </w:tcPr>
          <w:p>
            <w:pPr>
              <w:ind w:left="280"/>
              <w:spacing w:after="0"/>
              <w:rPr>
                <w:sz w:val="20"/>
                <w:szCs w:val="20"/>
                <w:color w:val="auto"/>
              </w:rPr>
            </w:pPr>
            <w:r>
              <w:rPr>
                <w:rFonts w:ascii="Arial" w:cs="Arial" w:eastAsia="Arial" w:hAnsi="Arial"/>
                <w:sz w:val="18"/>
                <w:szCs w:val="18"/>
                <w:color w:val="auto"/>
              </w:rPr>
              <w:t>AMENDMENTS AND MODIFICATIONS</w:t>
            </w: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2100" w:type="dxa"/>
            <w:vAlign w:val="bottom"/>
          </w:tcPr>
          <w:p>
            <w:pPr>
              <w:spacing w:after="0"/>
              <w:rPr>
                <w:sz w:val="20"/>
                <w:szCs w:val="20"/>
                <w:color w:val="auto"/>
              </w:rPr>
            </w:pPr>
            <w:r>
              <w:rPr>
                <w:rFonts w:ascii="Arial" w:cs="Arial" w:eastAsia="Arial" w:hAnsi="Arial"/>
                <w:sz w:val="18"/>
                <w:szCs w:val="18"/>
                <w:color w:val="auto"/>
              </w:rPr>
              <w:t>SECTION 12.</w:t>
            </w:r>
          </w:p>
        </w:tc>
        <w:tc>
          <w:tcPr>
            <w:tcW w:w="8420" w:type="dxa"/>
            <w:vAlign w:val="bottom"/>
            <w:gridSpan w:val="3"/>
          </w:tcPr>
          <w:p>
            <w:pPr>
              <w:ind w:left="280"/>
              <w:spacing w:after="0"/>
              <w:rPr>
                <w:sz w:val="20"/>
                <w:szCs w:val="20"/>
                <w:color w:val="auto"/>
              </w:rPr>
            </w:pPr>
            <w:r>
              <w:rPr>
                <w:rFonts w:ascii="Arial" w:cs="Arial" w:eastAsia="Arial" w:hAnsi="Arial"/>
                <w:sz w:val="18"/>
                <w:szCs w:val="18"/>
                <w:color w:val="auto"/>
              </w:rPr>
              <w:t>NOTICE</w:t>
            </w: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121" w:right="239" w:bottom="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SECTION 13.</w:t>
            </w:r>
          </w:p>
        </w:tc>
        <w:tc>
          <w:tcPr>
            <w:tcW w:w="740" w:type="dxa"/>
            <w:vAlign w:val="bottom"/>
          </w:tcPr>
          <w:p>
            <w:pPr>
              <w:spacing w:after="0"/>
              <w:rPr>
                <w:sz w:val="20"/>
                <w:szCs w:val="20"/>
                <w:color w:val="auto"/>
              </w:rPr>
            </w:pPr>
          </w:p>
        </w:tc>
        <w:tc>
          <w:tcPr>
            <w:tcW w:w="2980" w:type="dxa"/>
            <w:vAlign w:val="bottom"/>
          </w:tcPr>
          <w:p>
            <w:pPr>
              <w:ind w:left="420"/>
              <w:spacing w:after="0"/>
              <w:rPr>
                <w:sz w:val="20"/>
                <w:szCs w:val="20"/>
                <w:color w:val="auto"/>
              </w:rPr>
            </w:pPr>
            <w:r>
              <w:rPr>
                <w:rFonts w:ascii="Arial" w:cs="Arial" w:eastAsia="Arial" w:hAnsi="Arial"/>
                <w:sz w:val="18"/>
                <w:szCs w:val="18"/>
                <w:color w:val="auto"/>
              </w:rPr>
              <w:t>MISCELLANEOUS</w:t>
            </w:r>
          </w:p>
        </w:tc>
        <w:tc>
          <w:tcPr>
            <w:tcW w:w="6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EXHIBIT A</w:t>
            </w:r>
          </w:p>
        </w:tc>
        <w:tc>
          <w:tcPr>
            <w:tcW w:w="740" w:type="dxa"/>
            <w:vAlign w:val="bottom"/>
          </w:tcPr>
          <w:p>
            <w:pPr>
              <w:ind w:left="160"/>
              <w:spacing w:after="0"/>
              <w:rPr>
                <w:sz w:val="20"/>
                <w:szCs w:val="20"/>
                <w:color w:val="auto"/>
              </w:rPr>
            </w:pPr>
            <w:r>
              <w:rPr>
                <w:rFonts w:ascii="Arial" w:cs="Arial" w:eastAsia="Arial" w:hAnsi="Arial"/>
                <w:sz w:val="18"/>
                <w:szCs w:val="18"/>
                <w:color w:val="auto"/>
              </w:rPr>
              <w:t>—</w:t>
            </w:r>
          </w:p>
        </w:tc>
        <w:tc>
          <w:tcPr>
            <w:tcW w:w="2980" w:type="dxa"/>
            <w:vAlign w:val="bottom"/>
          </w:tcPr>
          <w:p>
            <w:pPr>
              <w:ind w:left="420"/>
              <w:spacing w:after="0"/>
              <w:rPr>
                <w:sz w:val="20"/>
                <w:szCs w:val="20"/>
                <w:color w:val="auto"/>
              </w:rPr>
            </w:pPr>
            <w:r>
              <w:rPr>
                <w:rFonts w:ascii="Arial" w:cs="Arial" w:eastAsia="Arial" w:hAnsi="Arial"/>
                <w:sz w:val="18"/>
                <w:szCs w:val="18"/>
                <w:color w:val="auto"/>
              </w:rPr>
              <w:t>Legal Description of Site</w:t>
            </w:r>
          </w:p>
        </w:tc>
        <w:tc>
          <w:tcPr>
            <w:tcW w:w="6520" w:type="dxa"/>
            <w:vAlign w:val="bottom"/>
          </w:tcPr>
          <w:p>
            <w:pPr>
              <w:spacing w:after="0"/>
              <w:rPr>
                <w:sz w:val="24"/>
                <w:szCs w:val="24"/>
                <w:color w:val="auto"/>
              </w:rPr>
            </w:pPr>
          </w:p>
        </w:tc>
      </w:tr>
      <w:tr>
        <w:trPr>
          <w:trHeight w:val="432"/>
        </w:trPr>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520" w:type="dxa"/>
            <w:vAlign w:val="bottom"/>
          </w:tcPr>
          <w:p>
            <w:pPr>
              <w:jc w:val="right"/>
              <w:ind w:right="5630"/>
              <w:spacing w:after="0"/>
              <w:rPr>
                <w:sz w:val="20"/>
                <w:szCs w:val="20"/>
                <w:color w:val="auto"/>
              </w:rPr>
            </w:pPr>
            <w:r>
              <w:rPr>
                <w:rFonts w:ascii="Arial" w:cs="Arial" w:eastAsia="Arial" w:hAnsi="Arial"/>
                <w:sz w:val="18"/>
                <w:szCs w:val="18"/>
                <w:color w:val="auto"/>
              </w:rPr>
              <w:t>i</w:t>
            </w:r>
          </w:p>
        </w:tc>
      </w:tr>
      <w:tr>
        <w:trPr>
          <w:trHeight w:val="132"/>
        </w:trPr>
        <w:tc>
          <w:tcPr>
            <w:tcW w:w="12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980" w:type="dxa"/>
            <w:vAlign w:val="bottom"/>
            <w:tcBorders>
              <w:bottom w:val="single" w:sz="8" w:color="808080"/>
            </w:tcBorders>
          </w:tcPr>
          <w:p>
            <w:pPr>
              <w:spacing w:after="0"/>
              <w:rPr>
                <w:sz w:val="11"/>
                <w:szCs w:val="11"/>
                <w:color w:val="auto"/>
              </w:rPr>
            </w:pPr>
          </w:p>
        </w:tc>
        <w:tc>
          <w:tcPr>
            <w:tcW w:w="65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MEMORANDUM OF LEASE AND REMEDIES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THIS DOCUMENT SECURES FUTURE ADVANCES</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 xml:space="preserve">This MEMORANDUM OF LEASE AND REMEDIES AGREEMENT dated as of March 3, 2017 (as amended, supplemented, or otherwise modified from time to time, this </w:t>
      </w:r>
      <w:r>
        <w:rPr>
          <w:rFonts w:ascii="Arial" w:cs="Arial" w:eastAsia="Arial" w:hAnsi="Arial"/>
          <w:sz w:val="18"/>
          <w:szCs w:val="18"/>
          <w:i w:val="1"/>
          <w:iCs w:val="1"/>
          <w:color w:val="auto"/>
        </w:rPr>
        <w:t>“Memorandum of Lease”</w:t>
      </w:r>
      <w:r>
        <w:rPr>
          <w:rFonts w:ascii="Arial" w:cs="Arial" w:eastAsia="Arial" w:hAnsi="Arial"/>
          <w:sz w:val="18"/>
          <w:szCs w:val="18"/>
          <w:color w:val="auto"/>
        </w:rPr>
        <w:t>), by and between BA LEASING BSC, LLC, a Delaware limited liability company, having its principal office at 11333 McCormick Road, Hunt Valley II, M/C MD5-032-07-05, Hunt Valley, MD 21031, as Lessor (</w:t>
      </w:r>
      <w:r>
        <w:rPr>
          <w:rFonts w:ascii="Arial" w:cs="Arial" w:eastAsia="Arial" w:hAnsi="Arial"/>
          <w:sz w:val="18"/>
          <w:szCs w:val="18"/>
          <w:i w:val="1"/>
          <w:iCs w:val="1"/>
          <w:color w:val="auto"/>
        </w:rPr>
        <w:t>“Lessor”</w:t>
      </w:r>
      <w:r>
        <w:rPr>
          <w:rFonts w:ascii="Arial" w:cs="Arial" w:eastAsia="Arial" w:hAnsi="Arial"/>
          <w:sz w:val="18"/>
          <w:szCs w:val="18"/>
          <w:color w:val="auto"/>
        </w:rPr>
        <w:t>), OLD SAW MILL HOLDINGS LLC, a New York limited liability company, having a principal office at 777 Old Saw Mill River Road, Tarrytown, New York 10591, as Lessee (“</w:t>
      </w:r>
      <w:r>
        <w:rPr>
          <w:rFonts w:ascii="Arial" w:cs="Arial" w:eastAsia="Arial" w:hAnsi="Arial"/>
          <w:sz w:val="18"/>
          <w:szCs w:val="18"/>
          <w:i w:val="1"/>
          <w:iCs w:val="1"/>
          <w:color w:val="auto"/>
        </w:rPr>
        <w:t>Lessee”</w:t>
      </w:r>
      <w:r>
        <w:rPr>
          <w:rFonts w:ascii="Arial" w:cs="Arial" w:eastAsia="Arial" w:hAnsi="Arial"/>
          <w:sz w:val="18"/>
          <w:szCs w:val="18"/>
          <w:color w:val="auto"/>
        </w:rPr>
        <w:t>).</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 I T N E S S E T H:</w:t>
      </w:r>
    </w:p>
    <w:p>
      <w:pPr>
        <w:spacing w:after="0" w:line="229" w:lineRule="exact"/>
        <w:rPr>
          <w:sz w:val="20"/>
          <w:szCs w:val="20"/>
          <w:color w:val="auto"/>
        </w:rPr>
      </w:pPr>
    </w:p>
    <w:p>
      <w:pPr>
        <w:ind w:right="520" w:firstLine="656"/>
        <w:spacing w:after="0" w:line="308" w:lineRule="auto"/>
        <w:tabs>
          <w:tab w:leader="none" w:pos="1363" w:val="left"/>
        </w:tabs>
        <w:numPr>
          <w:ilvl w:val="0"/>
          <w:numId w:val="260"/>
        </w:numPr>
        <w:rPr>
          <w:rFonts w:ascii="Arial" w:cs="Arial" w:eastAsia="Arial" w:hAnsi="Arial"/>
          <w:sz w:val="17"/>
          <w:szCs w:val="17"/>
          <w:color w:val="auto"/>
        </w:rPr>
      </w:pPr>
      <w:r>
        <w:rPr>
          <w:rFonts w:ascii="Arial" w:cs="Arial" w:eastAsia="Arial" w:hAnsi="Arial"/>
          <w:sz w:val="17"/>
          <w:szCs w:val="17"/>
          <w:color w:val="auto"/>
        </w:rPr>
        <w:t xml:space="preserve">The parties are entering into the Operative Documents pursuant to which the Lessor and the Lenders (as defined hereinafter) agree to provide financing for the acquisition of the Facility, located on the land legally described on </w:t>
      </w:r>
      <w:r>
        <w:rPr>
          <w:rFonts w:ascii="Arial" w:cs="Arial" w:eastAsia="Arial" w:hAnsi="Arial"/>
          <w:sz w:val="17"/>
          <w:szCs w:val="17"/>
          <w:i w:val="1"/>
          <w:iCs w:val="1"/>
          <w:color w:val="auto"/>
        </w:rPr>
        <w:t>Exhibit A</w:t>
      </w:r>
      <w:r>
        <w:rPr>
          <w:rFonts w:ascii="Arial" w:cs="Arial" w:eastAsia="Arial" w:hAnsi="Arial"/>
          <w:sz w:val="17"/>
          <w:szCs w:val="17"/>
          <w:color w:val="auto"/>
        </w:rPr>
        <w:t xml:space="preserve"> attached hereto (the </w:t>
      </w:r>
      <w:r>
        <w:rPr>
          <w:rFonts w:ascii="Arial" w:cs="Arial" w:eastAsia="Arial" w:hAnsi="Arial"/>
          <w:sz w:val="17"/>
          <w:szCs w:val="17"/>
          <w:i w:val="1"/>
          <w:iCs w:val="1"/>
          <w:color w:val="auto"/>
        </w:rPr>
        <w:t>“Site”</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right="140" w:firstLine="656"/>
        <w:spacing w:after="0" w:line="342" w:lineRule="auto"/>
        <w:tabs>
          <w:tab w:leader="none" w:pos="1353" w:val="left"/>
        </w:tabs>
        <w:numPr>
          <w:ilvl w:val="0"/>
          <w:numId w:val="260"/>
        </w:numPr>
        <w:rPr>
          <w:rFonts w:ascii="Arial" w:cs="Arial" w:eastAsia="Arial" w:hAnsi="Arial"/>
          <w:sz w:val="16"/>
          <w:szCs w:val="16"/>
          <w:color w:val="auto"/>
        </w:rPr>
      </w:pPr>
      <w:r>
        <w:rPr>
          <w:rFonts w:ascii="Arial" w:cs="Arial" w:eastAsia="Arial" w:hAnsi="Arial"/>
          <w:sz w:val="16"/>
          <w:szCs w:val="16"/>
          <w:color w:val="auto"/>
        </w:rPr>
        <w:t>Pursuant to the Lease and Remedies Agreement dated as of even date herewith between Lessee and Lessor (the “</w:t>
      </w:r>
      <w:r>
        <w:rPr>
          <w:rFonts w:ascii="Arial" w:cs="Arial" w:eastAsia="Arial" w:hAnsi="Arial"/>
          <w:sz w:val="16"/>
          <w:szCs w:val="16"/>
          <w:i w:val="1"/>
          <w:iCs w:val="1"/>
          <w:color w:val="auto"/>
        </w:rPr>
        <w:t>Lease”</w:t>
      </w:r>
      <w:r>
        <w:rPr>
          <w:rFonts w:ascii="Arial" w:cs="Arial" w:eastAsia="Arial" w:hAnsi="Arial"/>
          <w:sz w:val="16"/>
          <w:szCs w:val="16"/>
          <w:color w:val="auto"/>
        </w:rPr>
        <w:t>), evidenced by this Memorandum of Lease, Lessor will lease the Leased Property (as defined in the Lease) to Lessee and Lessee will lease the Leased Property from Lessor.</w:t>
      </w:r>
    </w:p>
    <w:p>
      <w:pPr>
        <w:spacing w:after="0" w:line="124"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NOW, THEREFORE, in consideration of the mutual promises contained herein, and for other good and valuable consideration, the receipt and sufficiency of which are hereby acknowledged, the parties hereto agree to enter into this Memorandum of Lease, as follows:</w:t>
      </w:r>
    </w:p>
    <w:p>
      <w:pPr>
        <w:spacing w:after="0" w:line="147"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color w:val="auto"/>
        </w:rPr>
        <w:t>DEFINITIONS; INTERPRETATION; FULL RECOURSE.</w:t>
      </w:r>
    </w:p>
    <w:p>
      <w:pPr>
        <w:spacing w:after="0" w:line="22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 xml:space="preserve">For all purposes hereof, the capitalized terms used herein and not otherwise defined shall have the meanings assigned thereto in Appendix 1 to that certain Participation Agreement dated as of even date herewith, among OLD SAW MILL HOLDINGS LLC, as Lessee, BA LEASING BSC, LLC, as Lessor and BANK OF AMERICA, N.A., not in its individual capacity except and as expressly stated therein, but solely as Administrative Agent and the financial institutions listed on Schedule II thereto (the Lenders”) (as amended, supplemented or otherwise modified from time to time pursuant thereto, the </w:t>
      </w:r>
      <w:r>
        <w:rPr>
          <w:rFonts w:ascii="Arial" w:cs="Arial" w:eastAsia="Arial" w:hAnsi="Arial"/>
          <w:sz w:val="17"/>
          <w:szCs w:val="17"/>
          <w:i w:val="1"/>
          <w:iCs w:val="1"/>
          <w:color w:val="auto"/>
        </w:rPr>
        <w:t>“Participation Agreement”</w:t>
      </w:r>
      <w:r>
        <w:rPr>
          <w:rFonts w:ascii="Arial" w:cs="Arial" w:eastAsia="Arial" w:hAnsi="Arial"/>
          <w:sz w:val="17"/>
          <w:szCs w:val="17"/>
          <w:color w:val="auto"/>
        </w:rPr>
        <w:t>); and the rules of interpretation set forth in Appendix 1 to the Participation Agreement shall apply hereto. All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imposed on the “Lessee” in this Memorandum of Lease shall be the full recourse liability of Lessee.</w:t>
      </w:r>
    </w:p>
    <w:p>
      <w:pPr>
        <w:spacing w:after="0" w:line="178"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color w:val="auto"/>
        </w:rPr>
        <w:t>LEASE TERM.</w:t>
      </w:r>
    </w:p>
    <w:p>
      <w:pPr>
        <w:spacing w:after="0" w:line="225"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 xml:space="preserve">Unless earlier terminated, the term of the Lease shall consist of (i) a base term (the </w:t>
      </w:r>
      <w:r>
        <w:rPr>
          <w:rFonts w:ascii="Arial" w:cs="Arial" w:eastAsia="Arial" w:hAnsi="Arial"/>
          <w:sz w:val="17"/>
          <w:szCs w:val="17"/>
          <w:i w:val="1"/>
          <w:iCs w:val="1"/>
          <w:color w:val="auto"/>
        </w:rPr>
        <w:t>“Base Term”</w:t>
      </w:r>
      <w:r>
        <w:rPr>
          <w:rFonts w:ascii="Arial" w:cs="Arial" w:eastAsia="Arial" w:hAnsi="Arial"/>
          <w:sz w:val="17"/>
          <w:szCs w:val="17"/>
          <w:color w:val="auto"/>
        </w:rPr>
        <w:t>) commencing on and including the Base Term Commencement Date and ending on but not including the fifth (5th) anniversary of the Base Term Commencement Date, and, (ii)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exercised and approved pursuant to each of the terms and conditions of Section 4.7 of the Participation Agreement and exercised pursuant to the terms of the Lease, including Article XIX thereof, the Lease Renewal Term (the Base Term and the Lease Renewal Term, if any, being collectively referred to as, the </w:t>
      </w:r>
      <w:r>
        <w:rPr>
          <w:rFonts w:ascii="Arial" w:cs="Arial" w:eastAsia="Arial" w:hAnsi="Arial"/>
          <w:sz w:val="18"/>
          <w:szCs w:val="18"/>
          <w:i w:val="1"/>
          <w:iCs w:val="1"/>
          <w:color w:val="auto"/>
        </w:rPr>
        <w:t>“Term”</w:t>
      </w:r>
      <w:r>
        <w:rPr>
          <w:rFonts w:ascii="Arial" w:cs="Arial" w:eastAsia="Arial" w:hAnsi="Arial"/>
          <w:sz w:val="18"/>
          <w:szCs w:val="18"/>
          <w:color w:val="auto"/>
        </w:rPr>
        <w:t>).</w:t>
      </w:r>
    </w:p>
    <w:p>
      <w:pPr>
        <w:spacing w:after="0" w:line="181"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color w:val="auto"/>
        </w:rPr>
        <w:t>PURCHASE RIGHTS AND OBLIGATIONS.</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Lessee has the right to acquire the Leased Property pursuant to certain mandatory and optional purchase rights, options and obligations set forth in the Lease. It is expressly understood and agreed that for purposes of Sections 365(h) and 365(i) of the Bankruptcy Code of the United States of America, 11 U.S.C. Sections 365(h)-(i), (a) the Lessee shall be deemed to be in possession of the Leased Property by virtue of (i) the possessory interest therein granted to the Lessee under the Lease and (ii) its beneficial ownership interest in the Leased Property, and (b) in the event of any rejection or disaffirmance of the Lease in any bankruptcy or similar proceeding relating to the Lessor, the Lessee may (1) elect to remain in possession of the Leased Property for the balance of the Term at the Fair Market Rental Value, including all extensions exercisable under the Lease, and/or (2) exercise its mandatory and optional purchase rights, options and obligations set forth in the Lease, at the option of the Lessee.</w:t>
      </w:r>
    </w:p>
    <w:p>
      <w:pPr>
        <w:spacing w:after="0" w:line="178"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color w:val="auto"/>
        </w:rPr>
        <w:t>LIENS AND SECURITY INTERESTS.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Pursuant to the Lease, the Lessee has granted a lien on and security interest in and to the Security Property as further described in the Lease.</w:t>
      </w:r>
    </w:p>
    <w:p>
      <w:pPr>
        <w:spacing w:after="0" w:line="237"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color w:val="auto"/>
        </w:rPr>
        <w:t>REMEDIES.</w:t>
      </w:r>
    </w:p>
    <w:p>
      <w:pPr>
        <w:spacing w:after="0" w:line="225" w:lineRule="exact"/>
        <w:rPr>
          <w:sz w:val="20"/>
          <w:szCs w:val="20"/>
          <w:color w:val="auto"/>
        </w:rPr>
      </w:pPr>
    </w:p>
    <w:p>
      <w:pPr>
        <w:ind w:right="340" w:firstLine="648"/>
        <w:spacing w:after="0" w:line="288" w:lineRule="auto"/>
        <w:rPr>
          <w:sz w:val="20"/>
          <w:szCs w:val="20"/>
          <w:color w:val="auto"/>
        </w:rPr>
      </w:pPr>
      <w:r>
        <w:rPr>
          <w:rFonts w:ascii="Arial" w:cs="Arial" w:eastAsia="Arial" w:hAnsi="Arial"/>
          <w:sz w:val="16"/>
          <w:szCs w:val="16"/>
          <w:color w:val="auto"/>
        </w:rPr>
        <w:t xml:space="preserve">The Lessor shall have the rights and remedies set forth in the Lease, the Assignment of Leases and the other Operative Documents, including, without limitation, being conferred a power of sale, subject in all cases, to any applicable limitations set forth in the Lease, the Assignment of Lease or the other Operative Documents, as applicable. </w:t>
      </w:r>
      <w:r>
        <w:rPr>
          <w:rFonts w:ascii="Arial" w:cs="Arial" w:eastAsia="Arial" w:hAnsi="Arial"/>
          <w:sz w:val="16"/>
          <w:szCs w:val="16"/>
          <w:b w:val="1"/>
          <w:bCs w:val="1"/>
          <w:u w:val="single" w:color="auto"/>
          <w:color w:val="auto"/>
        </w:rPr>
        <w:t>A POWER OF SALE HAS BEEN GRANTED IN THE LEASE. A POWER OF SALE MAY ALLOW</w:t>
      </w:r>
    </w:p>
    <w:p>
      <w:pPr>
        <w:ind w:right="120"/>
        <w:spacing w:after="0" w:line="261" w:lineRule="auto"/>
        <w:rPr>
          <w:sz w:val="20"/>
          <w:szCs w:val="20"/>
          <w:color w:val="auto"/>
        </w:rPr>
      </w:pPr>
      <w:r>
        <w:rPr>
          <w:rFonts w:ascii="Arial" w:cs="Arial" w:eastAsia="Arial" w:hAnsi="Arial"/>
          <w:sz w:val="18"/>
          <w:szCs w:val="18"/>
          <w:b w:val="1"/>
          <w:bCs w:val="1"/>
          <w:u w:val="single" w:color="auto"/>
          <w:color w:val="auto"/>
        </w:rPr>
        <w:t>THE LESSOR TO TAKE THE SECURITY PROPERTY AND SELL IT WITHOUT GOING TO COURT IN A FORECLOSURE ACTION UPON DEFAULT BY THE LESSEE, AS APPLICABLE UNDER THE LEASE</w:t>
      </w:r>
    </w:p>
    <w:p>
      <w:pPr>
        <w:spacing w:after="0" w:line="184"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color w:val="auto"/>
        </w:rPr>
        <w:t>NOTICE TO POTENTIAL CLAIMANTS.</w:t>
      </w:r>
    </w:p>
    <w:p>
      <w:pPr>
        <w:sectPr>
          <w:pgSz w:w="11900" w:h="16838" w:orient="portrait"/>
          <w:cols w:equalWidth="0" w:num="1">
            <w:col w:w="11460"/>
          </w:cols>
          <w:pgMar w:left="240" w:top="341" w:right="199" w:bottom="32" w:gutter="0" w:footer="0" w:header="0"/>
        </w:sectPr>
      </w:pPr>
    </w:p>
    <w:bookmarkStart w:id="121" w:name="page122"/>
    <w:bookmarkEnd w:id="121"/>
    <w:p>
      <w:pPr>
        <w:spacing w:after="0" w:line="27"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Nothing contained in this Memorandum of Lease or the Lease shall be construed as constituting the consent or request of Lessor, expressed or implied, to or for the performance by any contractor, mechanic, laborer, materialman, supplier or vendor of any labor or services or for the furnishing of any materials for any construction, alteration, addition, repair, restoration or demolition of or to the Facility or any part thereof. Notice is hereby given that neither Lessor nor the Administrative Agent is or shall be liable for any labor, services or materials furnished or to be furnished to Lessee, or to anyone holding the Facility or any part or portion thereof through or under Lessee, and that no mechanic’s or other liens for any such labor, services or materials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shall attach to or affect the interest of Lessor or the Administrative Agent in and to all or any portion of the Facility.</w:t>
      </w:r>
    </w:p>
    <w:p>
      <w:pPr>
        <w:spacing w:after="0" w:line="225"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color w:val="auto"/>
        </w:rPr>
        <w:t>INCORPORATION; RATIFICATION.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All of the terms, covenants, conditions and agreements in the Lease are hereby incorporated herein by this reference. The Lessor and the Lessee agree to observe, conform to, and comply with all of the terms, covenants, conditions and agreements so incorporated herein. Except as expressly supplemented hereby, the terms and provisions of the Lease are hereby ratified and confirmed and remain in full force and effect. In the event of any conflict between the terms of the Lease and the terms of this Memorandum of Lease, the terms of the Lease shall control. A complete copy of the Lease is available and on file at the office of Lessee and the office of Lessor.</w:t>
      </w:r>
    </w:p>
    <w:p>
      <w:pPr>
        <w:spacing w:after="0" w:line="188"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color w:val="auto"/>
        </w:rPr>
        <w:t>GOVERNING LAW.</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THIS MEMORANDUM OF LEASE SHALL BE GOVERNED BY, AND CONSTRUED AND INTERPRETED IN ACCORDANCE WITH, THE LAWS OF THE STATE OF NEW YORK, WITHOUT REGARD TO CONFLICTS OF LAW PRINCIPLES (OTHER THAN TITLE 14 OF ARTICLE 5 OF THE NEW YORK GENERAL OBLIGATIONS LAW), EXCEPT AS TO MATTERS RELATING TO THE CREATION OF THE LEASEHOLD ESTATE UNDER THE LEASE AND THE EXERCISE OF RIGHTS AND REMEDIES WITH RESPECT THERETO, WHICH SHALL BE GOVERNED BY AND CONSTRUED IN ACCORDANCE WITH THE LAW OF THE STATE OF NEW YORK. WITHOUT LIMITING THE FOREGOING, IN THE EVENT THAT THE LEASE IS DEEMED TO CONSTITUTE A FINANCING, WHICH IS THE INTENTION OF THE PARTIES, THE LAWS OF THE STATE OF NEW YORK, WITHOUT REGARD TO CONFLICTS OF LAWS PRINCIPLES (OTHER THAN TITLE 14 OF ARTICLE 5 OF THE NEW YORK GENERAL OBLIGATIONS LAW), SHALL GOVERN THE CREATION, TERMS AND PROVISIONS OF THE INDEBTEDNESS EVIDENCED THEREBY AND THE CREATION, PERFECTION, EFFECT OF PERFECTION, PRIORITY AND ENFORCEMENT OF THE SECURITY INTERESTS AND LIENS GRANTED THEREUNDER, BUT PERFECTION OF SAID LIEN SHALL BE GOVERNED BY AND CONSTRUED IN ACCORDANCE WITH THE LAW OF THE STATE IN WHICH THE LEASED PROPERTY IS LOCATED.</w:t>
      </w:r>
    </w:p>
    <w:p>
      <w:pPr>
        <w:spacing w:after="0" w:line="183"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7"/>
          <w:szCs w:val="17"/>
          <w:color w:val="auto"/>
        </w:rPr>
        <w:t>COUNTERPART EXECUTION.</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This Memorandum of Lease may be executed in any number of counterparts and by each of the parties hereto in separate counterparts, all such counterparts together constituting but one and the same instrument.</w:t>
      </w:r>
    </w:p>
    <w:p>
      <w:pPr>
        <w:spacing w:after="0" w:line="170"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7"/>
          <w:szCs w:val="17"/>
          <w:color w:val="auto"/>
        </w:rPr>
        <w:t>FUTURE ADVANCES.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This Memorandum of Lease will be deemed given to secure not only existing financing but also future advances made pursuant to or as provided in the Operative Documents, whether such advances are obligatory or to be made at the option of the Participants, or otherwise to the same extent as if such future advances were made on the date of execution of this Memorandum of Lease, although there may be no financing outstanding at the time any advance is made.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fullest extent permitted by law, the lien of this Memorandum of Lease shall be valid as to all such amounts, including all future advances, from the time this Memorandum of Lease is recorded. Nothing contained herein shall be deemed an obligation to make future advances to any Person.</w:t>
      </w:r>
    </w:p>
    <w:p>
      <w:pPr>
        <w:spacing w:after="0" w:line="147"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color w:val="auto"/>
        </w:rPr>
        <w:t>AMENDMENTS AND MODIFICATIONS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Subject to the requirements, restrictions and conditions set forth in the Participation Agreement, neither the Lease nor any provision thereof may be amended, waived, discharged or terminated except by an instrument in writing, signed by the Lessor and the Lessee.</w:t>
      </w:r>
    </w:p>
    <w:p>
      <w:pPr>
        <w:spacing w:after="0" w:line="170"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7"/>
          <w:szCs w:val="17"/>
          <w:color w:val="auto"/>
        </w:rPr>
        <w:t>NOTICES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Unless otherwise specified herein, all notices, requests, demands or other communications to or upon the respective parties hereto shall be in writing and shall be deemed to have been duly given and shall be effective: (i) in the case of notice by letter, the earlier of (x) when delivered to the addressee by hand or courier if delivered on a Business Day and, if not delivered on a Business Day, the first Business Day thereafter and (y) on the third Business Day after depositing the same in the mails, registered or certified mail, postage prepaid, return receipt requested, (ii) in the case of a prepaid delivery to a reputable national overnight air courier service, on the Business Day following such date of delivery, and (iii) in the case of notice by facsimile or bank wire, when receipt is confirmed if delivered on a Business Day and, if not delivered on a Business Day, the first Business Day thereafter, addressed as provided below, or to such other address as any of the parties hereto may designate by written notice.</w:t>
      </w:r>
    </w:p>
    <w:p>
      <w:pPr>
        <w:sectPr>
          <w:pgSz w:w="11900" w:h="16865" w:orient="portrait"/>
          <w:cols w:equalWidth="0" w:num="1">
            <w:col w:w="11400"/>
          </w:cols>
          <w:pgMar w:left="240" w:top="125" w:right="259" w:bottom="0" w:gutter="0" w:footer="0" w:header="0"/>
        </w:sectPr>
      </w:pP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to the Lessor: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BA Leasing BSC,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11333 McCormick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Mailcode: MD5-032-07-05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Hunt Valley, Maryland 21031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Operations</w:t>
      </w:r>
    </w:p>
    <w:p>
      <w:pPr>
        <w:spacing w:after="0" w:line="200" w:lineRule="exact"/>
        <w:rPr>
          <w:sz w:val="20"/>
          <w:szCs w:val="20"/>
          <w:color w:val="auto"/>
        </w:rPr>
      </w:pPr>
    </w:p>
    <w:p>
      <w:pPr>
        <w:sectPr>
          <w:pgSz w:w="11900" w:h="16865" w:orient="portrait"/>
          <w:cols w:equalWidth="0" w:num="2">
            <w:col w:w="2860" w:space="720"/>
            <w:col w:w="7820"/>
          </w:cols>
          <w:pgMar w:left="240" w:top="125" w:right="259" w:bottom="0" w:gutter="0" w:footer="0" w:header="0"/>
          <w:type w:val="continuous"/>
        </w:sectPr>
      </w:pPr>
    </w:p>
    <w:p>
      <w:pPr>
        <w:spacing w:after="0" w:line="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to the Lessee: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Old Saw Mill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777 Old Saw Mill River Road</w:t>
      </w:r>
    </w:p>
    <w:p>
      <w:pPr>
        <w:sectPr>
          <w:pgSz w:w="11900" w:h="16865" w:orient="portrait"/>
          <w:cols w:equalWidth="0" w:num="2">
            <w:col w:w="2860" w:space="720"/>
            <w:col w:w="7820"/>
          </w:cols>
          <w:pgMar w:left="240" w:top="125" w:right="259" w:bottom="0" w:gutter="0" w:footer="0" w:header="0"/>
          <w:type w:val="continuous"/>
        </w:sectPr>
      </w:pPr>
    </w:p>
    <w:bookmarkStart w:id="122" w:name="page123"/>
    <w:bookmarkEnd w:id="122"/>
    <w:p>
      <w:pPr>
        <w:ind w:left="3580"/>
        <w:spacing w:after="0"/>
        <w:rPr>
          <w:sz w:val="20"/>
          <w:szCs w:val="20"/>
          <w:color w:val="auto"/>
        </w:rPr>
      </w:pPr>
      <w:r>
        <w:rPr>
          <w:rFonts w:ascii="Arial" w:cs="Arial" w:eastAsia="Arial" w:hAnsi="Arial"/>
          <w:sz w:val="18"/>
          <w:szCs w:val="18"/>
          <w:color w:val="auto"/>
        </w:rPr>
        <w:t>Tarrytown, New York 10591</w:t>
      </w:r>
    </w:p>
    <w:p>
      <w:pPr>
        <w:spacing w:after="0" w:line="23"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7"/>
          <w:szCs w:val="17"/>
          <w:color w:val="auto"/>
        </w:rPr>
        <w:t>MISCELLANEOUS.</w:t>
      </w:r>
    </w:p>
    <w:p>
      <w:pPr>
        <w:spacing w:after="0" w:line="225" w:lineRule="exact"/>
        <w:rPr>
          <w:sz w:val="20"/>
          <w:szCs w:val="20"/>
          <w:color w:val="auto"/>
        </w:rPr>
      </w:pPr>
    </w:p>
    <w:p>
      <w:pPr>
        <w:ind w:left="1180" w:hanging="524"/>
        <w:spacing w:after="0"/>
        <w:tabs>
          <w:tab w:leader="none" w:pos="118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This Memorandum of Lease shall be binding upon and shall inure to the benefit of the parties hereto, and their respective successors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assigns.</w:t>
      </w:r>
    </w:p>
    <w:p>
      <w:pPr>
        <w:spacing w:after="0" w:line="211" w:lineRule="exact"/>
        <w:rPr>
          <w:sz w:val="20"/>
          <w:szCs w:val="20"/>
          <w:color w:val="auto"/>
        </w:rPr>
      </w:pPr>
    </w:p>
    <w:p>
      <w:pPr>
        <w:ind w:left="1160" w:hanging="517"/>
        <w:spacing w:after="0"/>
        <w:tabs>
          <w:tab w:leader="none" w:pos="116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The parties hereto agree that this Memorandum of Lease shall be recorded in the public records of Westchester County, New York.</w:t>
      </w:r>
    </w:p>
    <w:p>
      <w:pPr>
        <w:spacing w:after="0" w:line="236" w:lineRule="exact"/>
        <w:rPr>
          <w:rFonts w:ascii="Arial" w:cs="Arial" w:eastAsia="Arial" w:hAnsi="Arial"/>
          <w:sz w:val="17"/>
          <w:szCs w:val="17"/>
          <w:color w:val="auto"/>
        </w:rPr>
      </w:pPr>
    </w:p>
    <w:p>
      <w:pPr>
        <w:ind w:right="180" w:firstLine="656"/>
        <w:spacing w:after="0" w:line="277" w:lineRule="auto"/>
        <w:tabs>
          <w:tab w:leader="none" w:pos="116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parties hereto agree that, except as specifically set forth in the Lease or in any other Operative Document, Lessor shall have no personal liability whatsoever to the Lessee, the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 xml:space="preserve">Lenders, the Administrative Agent or any of their respective successors and assigns for any claim based on or in respect of the Lease or any of the other Operative Documents or arising in any way from the Overall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Lessor shall be liable (a) for its own willful misconduct or gross negligence (or negligence in the handling of funds), (b) for any Tax based on, with respect to or measured by any income, fees, commission, compensation or other amounts received by it as compensation for services (including for acting as Lessor) or otherwise under, or as contemplated by, the Operative Documents, (c) Lessor Liens on the Leased Property which are attributable to it, (d) for its representations and warranties made in the Participation Agreement or in any certificate or documents delivered pursuant thereto, (e) for its failure to perform any of its covenants and agreements set forth in the Participation Agreement or any other Operative Document, and (f) as otherwise expressly provided in the Operative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no event shall Lessor’s liability exceed the amount of its interest in the Facility.</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 ON NEXT PAGE]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IN WITNESS WHEREOF, each of the parties hereto has caused this Memorandum of Lease to be duly executed by an officer thereunto duly authorized as of the date and year first above written.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w w:val="95"/>
              </w:rPr>
              <w:t>LESSEE:</w:t>
            </w:r>
          </w:p>
        </w:tc>
        <w:tc>
          <w:tcPr>
            <w:tcW w:w="840" w:type="dxa"/>
            <w:vAlign w:val="bottom"/>
          </w:tcPr>
          <w:p>
            <w:pPr>
              <w:spacing w:after="0"/>
              <w:rPr>
                <w:sz w:val="20"/>
                <w:szCs w:val="20"/>
                <w:color w:val="auto"/>
              </w:rPr>
            </w:pPr>
          </w:p>
        </w:tc>
        <w:tc>
          <w:tcPr>
            <w:tcW w:w="9840" w:type="dxa"/>
            <w:vAlign w:val="bottom"/>
            <w:gridSpan w:val="3"/>
          </w:tcPr>
          <w:p>
            <w:pPr>
              <w:ind w:left="4140"/>
              <w:spacing w:after="0"/>
              <w:rPr>
                <w:sz w:val="20"/>
                <w:szCs w:val="20"/>
                <w:color w:val="auto"/>
              </w:rPr>
            </w:pPr>
            <w:r>
              <w:rPr>
                <w:rFonts w:ascii="Arial" w:cs="Arial" w:eastAsia="Arial" w:hAnsi="Arial"/>
                <w:sz w:val="18"/>
                <w:szCs w:val="18"/>
                <w:color w:val="auto"/>
              </w:rPr>
              <w:t>OLD SAW MILL HOLDINGS LLC, a New York limited liability company</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540" w:type="dxa"/>
            <w:vAlign w:val="bottom"/>
            <w:gridSpan w:val="2"/>
          </w:tcPr>
          <w:p>
            <w:pPr>
              <w:ind w:left="4140"/>
              <w:spacing w:after="0"/>
              <w:rPr>
                <w:sz w:val="20"/>
                <w:szCs w:val="20"/>
                <w:color w:val="auto"/>
              </w:rPr>
            </w:pPr>
            <w:r>
              <w:rPr>
                <w:rFonts w:ascii="Arial" w:cs="Arial" w:eastAsia="Arial" w:hAnsi="Arial"/>
                <w:sz w:val="18"/>
                <w:szCs w:val="18"/>
                <w:color w:val="auto"/>
              </w:rPr>
              <w:t>By:</w:t>
            </w:r>
          </w:p>
        </w:tc>
        <w:tc>
          <w:tcPr>
            <w:tcW w:w="4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0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43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740" w:type="dxa"/>
            <w:vAlign w:val="bottom"/>
          </w:tcPr>
          <w:p>
            <w:pPr>
              <w:spacing w:after="0"/>
              <w:rPr>
                <w:sz w:val="20"/>
                <w:szCs w:val="20"/>
                <w:color w:val="auto"/>
              </w:rPr>
            </w:pPr>
            <w:r>
              <w:rPr>
                <w:rFonts w:ascii="Arial" w:cs="Arial" w:eastAsia="Arial" w:hAnsi="Arial"/>
                <w:sz w:val="18"/>
                <w:szCs w:val="18"/>
                <w:color w:val="auto"/>
                <w:w w:val="92"/>
              </w:rPr>
              <w:t>LESSOR:</w:t>
            </w:r>
          </w:p>
        </w:tc>
        <w:tc>
          <w:tcPr>
            <w:tcW w:w="840" w:type="dxa"/>
            <w:vAlign w:val="bottom"/>
          </w:tcPr>
          <w:p>
            <w:pPr>
              <w:spacing w:after="0"/>
              <w:rPr>
                <w:sz w:val="24"/>
                <w:szCs w:val="24"/>
                <w:color w:val="auto"/>
              </w:rPr>
            </w:pPr>
          </w:p>
        </w:tc>
        <w:tc>
          <w:tcPr>
            <w:tcW w:w="9840" w:type="dxa"/>
            <w:vAlign w:val="bottom"/>
            <w:gridSpan w:val="3"/>
          </w:tcPr>
          <w:p>
            <w:pPr>
              <w:ind w:left="4140"/>
              <w:spacing w:after="0"/>
              <w:rPr>
                <w:sz w:val="20"/>
                <w:szCs w:val="20"/>
                <w:color w:val="auto"/>
              </w:rPr>
            </w:pPr>
            <w:r>
              <w:rPr>
                <w:rFonts w:ascii="Arial" w:cs="Arial" w:eastAsia="Arial" w:hAnsi="Arial"/>
                <w:sz w:val="18"/>
                <w:szCs w:val="18"/>
                <w:color w:val="auto"/>
              </w:rPr>
              <w:t>BA LEASING BSC, LLC, a Delaware limited liability company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540" w:type="dxa"/>
            <w:vAlign w:val="bottom"/>
            <w:gridSpan w:val="2"/>
          </w:tcPr>
          <w:p>
            <w:pPr>
              <w:ind w:left="4140"/>
              <w:spacing w:after="0"/>
              <w:rPr>
                <w:sz w:val="20"/>
                <w:szCs w:val="20"/>
                <w:color w:val="auto"/>
              </w:rPr>
            </w:pPr>
            <w:r>
              <w:rPr>
                <w:rFonts w:ascii="Arial" w:cs="Arial" w:eastAsia="Arial" w:hAnsi="Arial"/>
                <w:sz w:val="18"/>
                <w:szCs w:val="18"/>
                <w:color w:val="auto"/>
              </w:rPr>
              <w:t>By:</w:t>
            </w:r>
          </w:p>
        </w:tc>
        <w:tc>
          <w:tcPr>
            <w:tcW w:w="4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0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80" w:type="dxa"/>
            <w:vAlign w:val="bottom"/>
            <w:vMerge w:val="restart"/>
          </w:tcPr>
          <w:p>
            <w:pPr>
              <w:jc w:val="center"/>
              <w:ind w:left="3490"/>
              <w:spacing w:after="0"/>
              <w:rPr>
                <w:sz w:val="20"/>
                <w:szCs w:val="20"/>
                <w:color w:val="auto"/>
              </w:rPr>
            </w:pPr>
            <w:r>
              <w:rPr>
                <w:rFonts w:ascii="Arial" w:cs="Arial" w:eastAsia="Arial" w:hAnsi="Arial"/>
                <w:sz w:val="18"/>
                <w:szCs w:val="18"/>
                <w:color w:val="auto"/>
                <w:w w:val="99"/>
              </w:rPr>
              <w:t>6</w:t>
            </w:r>
          </w:p>
        </w:tc>
        <w:tc>
          <w:tcPr>
            <w:tcW w:w="86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43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74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9840" w:type="dxa"/>
            <w:vAlign w:val="bottom"/>
            <w:tcBorders>
              <w:bottom w:val="single" w:sz="8" w:color="808080"/>
            </w:tcBorders>
            <w:gridSpan w:val="3"/>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6"/>
        </w:trPr>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40" w:type="dxa"/>
            <w:vAlign w:val="bottom"/>
            <w:gridSpan w:val="3"/>
          </w:tcPr>
          <w:p>
            <w:pPr>
              <w:jc w:val="center"/>
              <w:ind w:right="1490"/>
              <w:spacing w:after="0"/>
              <w:rPr>
                <w:sz w:val="20"/>
                <w:szCs w:val="20"/>
                <w:color w:val="auto"/>
              </w:rPr>
            </w:pPr>
            <w:r>
              <w:rPr>
                <w:rFonts w:ascii="Arial" w:cs="Arial" w:eastAsia="Arial" w:hAnsi="Arial"/>
                <w:sz w:val="18"/>
                <w:szCs w:val="18"/>
                <w:b w:val="1"/>
                <w:bCs w:val="1"/>
                <w:color w:val="auto"/>
              </w:rPr>
              <w:t>UNIFORM FORM CERTIFICATE OF ACKNOWLEDGMENT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40" w:type="dxa"/>
            <w:vAlign w:val="bottom"/>
            <w:gridSpan w:val="2"/>
          </w:tcPr>
          <w:p>
            <w:pPr>
              <w:jc w:val="center"/>
              <w:ind w:left="2650"/>
              <w:spacing w:after="0"/>
              <w:rPr>
                <w:sz w:val="20"/>
                <w:szCs w:val="20"/>
                <w:color w:val="auto"/>
              </w:rPr>
            </w:pPr>
            <w:r>
              <w:rPr>
                <w:rFonts w:ascii="Arial" w:cs="Arial" w:eastAsia="Arial" w:hAnsi="Arial"/>
                <w:sz w:val="18"/>
                <w:szCs w:val="18"/>
                <w:color w:val="auto"/>
                <w:w w:val="93"/>
              </w:rPr>
              <w:t>(Within New York State)</w:t>
            </w:r>
          </w:p>
        </w:tc>
        <w:tc>
          <w:tcPr>
            <w:tcW w:w="4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580" w:type="dxa"/>
            <w:vAlign w:val="bottom"/>
            <w:gridSpan w:val="2"/>
          </w:tcPr>
          <w:p>
            <w:pPr>
              <w:spacing w:after="0"/>
              <w:rPr>
                <w:sz w:val="20"/>
                <w:szCs w:val="20"/>
                <w:color w:val="auto"/>
              </w:rPr>
            </w:pPr>
            <w:r>
              <w:rPr>
                <w:rFonts w:ascii="Arial" w:cs="Arial" w:eastAsia="Arial" w:hAnsi="Arial"/>
                <w:sz w:val="18"/>
                <w:szCs w:val="18"/>
                <w:color w:val="auto"/>
                <w:w w:val="99"/>
              </w:rPr>
              <w:t>State of New York )</w:t>
            </w:r>
          </w:p>
        </w:tc>
        <w:tc>
          <w:tcPr>
            <w:tcW w:w="4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w w:val="93"/>
              </w:rPr>
              <w:t>County of</w:t>
            </w:r>
          </w:p>
        </w:tc>
        <w:tc>
          <w:tcPr>
            <w:tcW w:w="840" w:type="dxa"/>
            <w:vAlign w:val="bottom"/>
          </w:tcPr>
          <w:p>
            <w:pPr>
              <w:ind w:left="400"/>
              <w:spacing w:after="0"/>
              <w:rPr>
                <w:sz w:val="20"/>
                <w:szCs w:val="20"/>
                <w:color w:val="auto"/>
              </w:rPr>
            </w:pPr>
            <w:r>
              <w:rPr>
                <w:rFonts w:ascii="Arial" w:cs="Arial" w:eastAsia="Arial" w:hAnsi="Arial"/>
                <w:sz w:val="18"/>
                <w:szCs w:val="18"/>
                <w:color w:val="auto"/>
              </w:rPr>
              <w:t>) ss.:</w:t>
            </w:r>
          </w:p>
        </w:tc>
        <w:tc>
          <w:tcPr>
            <w:tcW w:w="4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On the</w:t>
            </w:r>
          </w:p>
        </w:tc>
        <w:tc>
          <w:tcPr>
            <w:tcW w:w="840" w:type="dxa"/>
            <w:vAlign w:val="bottom"/>
          </w:tcPr>
          <w:p>
            <w:pPr>
              <w:ind w:left="20"/>
              <w:spacing w:after="0"/>
              <w:rPr>
                <w:sz w:val="20"/>
                <w:szCs w:val="20"/>
                <w:color w:val="auto"/>
              </w:rPr>
            </w:pPr>
            <w:r>
              <w:rPr>
                <w:rFonts w:ascii="Arial" w:cs="Arial" w:eastAsia="Arial" w:hAnsi="Arial"/>
                <w:sz w:val="18"/>
                <w:szCs w:val="18"/>
                <w:color w:val="auto"/>
              </w:rPr>
              <w:t>day of</w:t>
            </w:r>
          </w:p>
        </w:tc>
        <w:tc>
          <w:tcPr>
            <w:tcW w:w="5540" w:type="dxa"/>
            <w:vAlign w:val="bottom"/>
            <w:gridSpan w:val="2"/>
          </w:tcPr>
          <w:p>
            <w:pPr>
              <w:ind w:left="80"/>
              <w:spacing w:after="0"/>
              <w:rPr>
                <w:sz w:val="20"/>
                <w:szCs w:val="20"/>
                <w:color w:val="auto"/>
              </w:rPr>
            </w:pPr>
            <w:r>
              <w:rPr>
                <w:rFonts w:ascii="Arial" w:cs="Arial" w:eastAsia="Arial" w:hAnsi="Arial"/>
                <w:sz w:val="18"/>
                <w:szCs w:val="18"/>
                <w:color w:val="auto"/>
              </w:rPr>
              <w:t>in the year   before me, the undersigned, personally appeared</w:t>
            </w:r>
          </w:p>
        </w:tc>
        <w:tc>
          <w:tcPr>
            <w:tcW w:w="4300" w:type="dxa"/>
            <w:vAlign w:val="bottom"/>
          </w:tcPr>
          <w:p>
            <w:pPr>
              <w:ind w:left="340"/>
              <w:spacing w:after="0"/>
              <w:rPr>
                <w:sz w:val="20"/>
                <w:szCs w:val="20"/>
                <w:color w:val="auto"/>
              </w:rPr>
            </w:pPr>
            <w:r>
              <w:rPr>
                <w:rFonts w:ascii="Arial" w:cs="Arial" w:eastAsia="Arial" w:hAnsi="Arial"/>
                <w:sz w:val="18"/>
                <w:szCs w:val="18"/>
                <w:color w:val="auto"/>
                <w:w w:val="91"/>
              </w:rPr>
              <w:t>, personally known to me or proved to me on the basis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-1348105</wp:posOffset>
            </wp:positionV>
            <wp:extent cx="1270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-1348105</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right="140"/>
        <w:spacing w:after="0" w:line="255" w:lineRule="auto"/>
        <w:rPr>
          <w:sz w:val="20"/>
          <w:szCs w:val="20"/>
          <w:color w:val="auto"/>
        </w:rPr>
      </w:pPr>
      <w:r>
        <w:rPr>
          <w:rFonts w:ascii="Arial" w:cs="Arial" w:eastAsia="Arial" w:hAnsi="Arial"/>
          <w:sz w:val="18"/>
          <w:szCs w:val="18"/>
          <w:color w:val="auto"/>
        </w:rPr>
        <w:t>of satisfactory evidence to be the individual(s) whose name(s) is (are) subscribed to the within instrument and acknowledged to me that he/she/they executed the same in his/her/their capacity(ies), and that by his/her their signature(s) on the instrument, the individual(s), or the person upon behalf of which the individual(s) acted, executed the instrument.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Signature and Office of individual taking acknowledgment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UNIFORM FORM CERTIFICATE OF ACKNOWLEDGMENT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(Outside of New York State)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State, District of Columbia, Territory, Possession, or Foreign Country</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ss.:</w:t>
      </w:r>
    </w:p>
    <w:p>
      <w:pPr>
        <w:sectPr>
          <w:pgSz w:w="11900" w:h="16838" w:orient="portrait"/>
          <w:cols w:equalWidth="0" w:num="1">
            <w:col w:w="11460"/>
          </w:cols>
          <w:pgMar w:left="240" w:top="125" w:right="199" w:bottom="0" w:gutter="0" w:footer="0" w:header="0"/>
        </w:sectPr>
      </w:pPr>
    </w:p>
    <w:bookmarkStart w:id="123" w:name="page124"/>
    <w:bookmarkEnd w:id="123"/>
    <w:p>
      <w:pPr>
        <w:ind w:right="80"/>
        <w:spacing w:after="0" w:line="271" w:lineRule="auto"/>
        <w:rPr>
          <w:sz w:val="20"/>
          <w:szCs w:val="20"/>
          <w:color w:val="auto"/>
        </w:rPr>
      </w:pPr>
      <w:r>
        <w:rPr>
          <w:rFonts w:ascii="Arial" w:cs="Arial" w:eastAsia="Arial" w:hAnsi="Arial"/>
          <w:sz w:val="17"/>
          <w:szCs w:val="17"/>
          <w:color w:val="auto"/>
        </w:rPr>
        <w:t>On the day of in the year before me, the undersigned, personally appeared , personally known to me or proved to me on the basis of satisfactory evidence to be the individual(s) whose name(s) is (are) subscribed to the within instrument and acknowledged to me that he/she/they executed the same in his/her/their/ capacity (ies), that by his/her/their signature(s) on the instrument, the individual(s), or the person upon behalf of which the</w:t>
      </w:r>
    </w:p>
    <w:tbl>
      <w:tblPr>
        <w:tblLayout w:type="fixed"/>
        <w:tblInd w:w="0" w:type="dxa"/>
        <w:tblCellMar>
          <w:top w:w="0" w:type="dxa"/>
          <w:left w:w="0" w:type="dxa"/>
          <w:bottom w:w="0" w:type="dxa"/>
          <w:right w:w="0" w:type="dxa"/>
        </w:tblCellMar>
      </w:tblPr>
      <w:tr>
        <w:trPr>
          <w:trHeight w:val="202"/>
        </w:trPr>
        <w:tc>
          <w:tcPr>
            <w:tcW w:w="9140" w:type="dxa"/>
            <w:vAlign w:val="bottom"/>
            <w:gridSpan w:val="4"/>
          </w:tcPr>
          <w:p>
            <w:pPr>
              <w:spacing w:after="0" w:line="202" w:lineRule="exact"/>
              <w:rPr>
                <w:sz w:val="20"/>
                <w:szCs w:val="20"/>
                <w:color w:val="auto"/>
              </w:rPr>
            </w:pPr>
            <w:r>
              <w:rPr>
                <w:rFonts w:ascii="Arial" w:cs="Arial" w:eastAsia="Arial" w:hAnsi="Arial"/>
                <w:sz w:val="18"/>
                <w:szCs w:val="18"/>
                <w:color w:val="auto"/>
                <w:w w:val="93"/>
              </w:rPr>
              <w:t>individual(s) acted, executed the instrument, and that such individual made such appearance before the undersigned in the</w:t>
            </w:r>
          </w:p>
        </w:tc>
        <w:tc>
          <w:tcPr>
            <w:tcW w:w="2280" w:type="dxa"/>
            <w:vAlign w:val="bottom"/>
          </w:tcPr>
          <w:p>
            <w:pPr>
              <w:ind w:left="360"/>
              <w:spacing w:after="0" w:line="202" w:lineRule="exact"/>
              <w:rPr>
                <w:sz w:val="20"/>
                <w:szCs w:val="20"/>
                <w:color w:val="auto"/>
              </w:rPr>
            </w:pPr>
            <w:r>
              <w:rPr>
                <w:rFonts w:ascii="Arial" w:cs="Arial" w:eastAsia="Arial" w:hAnsi="Arial"/>
                <w:sz w:val="18"/>
                <w:szCs w:val="18"/>
                <w:color w:val="auto"/>
                <w:w w:val="99"/>
              </w:rPr>
              <w:t>. (Insert the city or other</w:t>
            </w:r>
          </w:p>
        </w:tc>
        <w:tc>
          <w:tcPr>
            <w:tcW w:w="40" w:type="dxa"/>
            <w:vAlign w:val="bottom"/>
          </w:tcPr>
          <w:p>
            <w:pPr>
              <w:spacing w:after="0"/>
              <w:rPr>
                <w:sz w:val="17"/>
                <w:szCs w:val="17"/>
                <w:color w:val="auto"/>
              </w:rPr>
            </w:pPr>
          </w:p>
        </w:tc>
      </w:tr>
      <w:tr>
        <w:trPr>
          <w:trHeight w:val="230"/>
        </w:trPr>
        <w:tc>
          <w:tcPr>
            <w:tcW w:w="7040" w:type="dxa"/>
            <w:vAlign w:val="bottom"/>
            <w:gridSpan w:val="3"/>
          </w:tcPr>
          <w:p>
            <w:pPr>
              <w:spacing w:after="0"/>
              <w:rPr>
                <w:sz w:val="20"/>
                <w:szCs w:val="20"/>
                <w:color w:val="auto"/>
              </w:rPr>
            </w:pPr>
            <w:r>
              <w:rPr>
                <w:rFonts w:ascii="Arial" w:cs="Arial" w:eastAsia="Arial" w:hAnsi="Arial"/>
                <w:sz w:val="18"/>
                <w:szCs w:val="18"/>
                <w:color w:val="auto"/>
                <w:w w:val="96"/>
              </w:rPr>
              <w:t>political subdivision and the state or country or other place the acknowledgment was taken).</w:t>
            </w:r>
          </w:p>
        </w:tc>
        <w:tc>
          <w:tcPr>
            <w:tcW w:w="2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48"/>
        </w:trPr>
        <w:tc>
          <w:tcPr>
            <w:tcW w:w="7040" w:type="dxa"/>
            <w:vAlign w:val="bottom"/>
            <w:tcBorders>
              <w:bottom w:val="single" w:sz="8" w:color="auto"/>
            </w:tcBorders>
            <w:gridSpan w:val="3"/>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7040" w:type="dxa"/>
            <w:vAlign w:val="bottom"/>
            <w:gridSpan w:val="3"/>
          </w:tcPr>
          <w:p>
            <w:pPr>
              <w:spacing w:after="0"/>
              <w:rPr>
                <w:sz w:val="20"/>
                <w:szCs w:val="20"/>
                <w:color w:val="auto"/>
              </w:rPr>
            </w:pPr>
            <w:r>
              <w:rPr>
                <w:rFonts w:ascii="Arial" w:cs="Arial" w:eastAsia="Arial" w:hAnsi="Arial"/>
                <w:sz w:val="18"/>
                <w:szCs w:val="18"/>
                <w:color w:val="auto"/>
              </w:rPr>
              <w:t>(Signature and office of individual taking acknowledgment.)</w:t>
            </w:r>
          </w:p>
        </w:tc>
        <w:tc>
          <w:tcPr>
            <w:tcW w:w="21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60" w:type="dxa"/>
            <w:vAlign w:val="bottom"/>
          </w:tcPr>
          <w:p>
            <w:pPr>
              <w:jc w:val="center"/>
              <w:ind w:left="2710"/>
              <w:spacing w:after="0"/>
              <w:rPr>
                <w:sz w:val="20"/>
                <w:szCs w:val="20"/>
                <w:color w:val="auto"/>
              </w:rPr>
            </w:pPr>
            <w:r>
              <w:rPr>
                <w:rFonts w:ascii="Arial" w:cs="Arial" w:eastAsia="Arial" w:hAnsi="Arial"/>
                <w:sz w:val="18"/>
                <w:szCs w:val="18"/>
                <w:color w:val="auto"/>
                <w:w w:val="99"/>
              </w:rPr>
              <w:t>7</w:t>
            </w:r>
          </w:p>
        </w:tc>
        <w:tc>
          <w:tcPr>
            <w:tcW w:w="2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74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7560" w:type="dxa"/>
            <w:vAlign w:val="bottom"/>
            <w:tcBorders>
              <w:bottom w:val="single" w:sz="8" w:color="808080"/>
            </w:tcBorders>
            <w:gridSpan w:val="2"/>
          </w:tcPr>
          <w:p>
            <w:pPr>
              <w:spacing w:after="0"/>
              <w:rPr>
                <w:sz w:val="11"/>
                <w:szCs w:val="11"/>
                <w:color w:val="auto"/>
              </w:rPr>
            </w:pPr>
          </w:p>
        </w:tc>
        <w:tc>
          <w:tcPr>
            <w:tcW w:w="2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66"/>
        </w:trPr>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560" w:type="dxa"/>
            <w:vAlign w:val="bottom"/>
            <w:gridSpan w:val="2"/>
          </w:tcPr>
          <w:p>
            <w:pPr>
              <w:jc w:val="center"/>
              <w:ind w:left="610"/>
              <w:spacing w:after="0"/>
              <w:rPr>
                <w:sz w:val="20"/>
                <w:szCs w:val="20"/>
                <w:color w:val="auto"/>
              </w:rPr>
            </w:pPr>
            <w:r>
              <w:rPr>
                <w:rFonts w:ascii="Arial" w:cs="Arial" w:eastAsia="Arial" w:hAnsi="Arial"/>
                <w:sz w:val="18"/>
                <w:szCs w:val="18"/>
                <w:b w:val="1"/>
                <w:bCs w:val="1"/>
                <w:color w:val="auto"/>
              </w:rPr>
              <w:t>UNIFORM FORM CERTIFICATE OF ACKNOWLEDGMENT</w:t>
            </w: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60" w:type="dxa"/>
            <w:vAlign w:val="bottom"/>
          </w:tcPr>
          <w:p>
            <w:pPr>
              <w:jc w:val="center"/>
              <w:ind w:left="2730"/>
              <w:spacing w:after="0"/>
              <w:rPr>
                <w:sz w:val="20"/>
                <w:szCs w:val="20"/>
                <w:color w:val="auto"/>
              </w:rPr>
            </w:pPr>
            <w:r>
              <w:rPr>
                <w:rFonts w:ascii="Arial" w:cs="Arial" w:eastAsia="Arial" w:hAnsi="Arial"/>
                <w:sz w:val="18"/>
                <w:szCs w:val="18"/>
                <w:color w:val="auto"/>
                <w:w w:val="93"/>
              </w:rPr>
              <w:t>(Within New York State)</w:t>
            </w:r>
          </w:p>
        </w:tc>
        <w:tc>
          <w:tcPr>
            <w:tcW w:w="2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580" w:type="dxa"/>
            <w:vAlign w:val="bottom"/>
            <w:gridSpan w:val="2"/>
          </w:tcPr>
          <w:p>
            <w:pPr>
              <w:spacing w:after="0"/>
              <w:rPr>
                <w:sz w:val="20"/>
                <w:szCs w:val="20"/>
                <w:color w:val="auto"/>
              </w:rPr>
            </w:pPr>
            <w:r>
              <w:rPr>
                <w:rFonts w:ascii="Arial" w:cs="Arial" w:eastAsia="Arial" w:hAnsi="Arial"/>
                <w:sz w:val="18"/>
                <w:szCs w:val="18"/>
                <w:color w:val="auto"/>
                <w:w w:val="99"/>
              </w:rPr>
              <w:t>State of New York )</w:t>
            </w:r>
          </w:p>
        </w:tc>
        <w:tc>
          <w:tcPr>
            <w:tcW w:w="54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w w:val="93"/>
              </w:rPr>
              <w:t>County of</w:t>
            </w:r>
          </w:p>
        </w:tc>
        <w:tc>
          <w:tcPr>
            <w:tcW w:w="840" w:type="dxa"/>
            <w:vAlign w:val="bottom"/>
          </w:tcPr>
          <w:p>
            <w:pPr>
              <w:ind w:left="400"/>
              <w:spacing w:after="0"/>
              <w:rPr>
                <w:sz w:val="20"/>
                <w:szCs w:val="20"/>
                <w:color w:val="auto"/>
              </w:rPr>
            </w:pPr>
            <w:r>
              <w:rPr>
                <w:rFonts w:ascii="Arial" w:cs="Arial" w:eastAsia="Arial" w:hAnsi="Arial"/>
                <w:sz w:val="18"/>
                <w:szCs w:val="18"/>
                <w:color w:val="auto"/>
              </w:rPr>
              <w:t>) ss.:</w:t>
            </w:r>
          </w:p>
        </w:tc>
        <w:tc>
          <w:tcPr>
            <w:tcW w:w="54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On the</w:t>
            </w:r>
          </w:p>
        </w:tc>
        <w:tc>
          <w:tcPr>
            <w:tcW w:w="840" w:type="dxa"/>
            <w:vAlign w:val="bottom"/>
          </w:tcPr>
          <w:p>
            <w:pPr>
              <w:ind w:left="20"/>
              <w:spacing w:after="0"/>
              <w:rPr>
                <w:sz w:val="20"/>
                <w:szCs w:val="20"/>
                <w:color w:val="auto"/>
              </w:rPr>
            </w:pPr>
            <w:r>
              <w:rPr>
                <w:rFonts w:ascii="Arial" w:cs="Arial" w:eastAsia="Arial" w:hAnsi="Arial"/>
                <w:sz w:val="18"/>
                <w:szCs w:val="18"/>
                <w:color w:val="auto"/>
              </w:rPr>
              <w:t>day of</w:t>
            </w:r>
          </w:p>
        </w:tc>
        <w:tc>
          <w:tcPr>
            <w:tcW w:w="5460" w:type="dxa"/>
            <w:vAlign w:val="bottom"/>
          </w:tcPr>
          <w:p>
            <w:pPr>
              <w:ind w:left="80"/>
              <w:spacing w:after="0"/>
              <w:rPr>
                <w:sz w:val="20"/>
                <w:szCs w:val="20"/>
                <w:color w:val="auto"/>
              </w:rPr>
            </w:pPr>
            <w:r>
              <w:rPr>
                <w:rFonts w:ascii="Arial" w:cs="Arial" w:eastAsia="Arial" w:hAnsi="Arial"/>
                <w:sz w:val="18"/>
                <w:szCs w:val="18"/>
                <w:color w:val="auto"/>
              </w:rPr>
              <w:t>in the year   before me, the undersigned, personally appeared</w:t>
            </w:r>
          </w:p>
        </w:tc>
        <w:tc>
          <w:tcPr>
            <w:tcW w:w="4380" w:type="dxa"/>
            <w:vAlign w:val="bottom"/>
            <w:gridSpan w:val="2"/>
          </w:tcPr>
          <w:p>
            <w:pPr>
              <w:ind w:left="420"/>
              <w:spacing w:after="0"/>
              <w:rPr>
                <w:sz w:val="20"/>
                <w:szCs w:val="20"/>
                <w:color w:val="auto"/>
              </w:rPr>
            </w:pPr>
            <w:r>
              <w:rPr>
                <w:rFonts w:ascii="Arial" w:cs="Arial" w:eastAsia="Arial" w:hAnsi="Arial"/>
                <w:sz w:val="18"/>
                <w:szCs w:val="18"/>
                <w:color w:val="auto"/>
                <w:w w:val="91"/>
              </w:rPr>
              <w:t>, personally known to me or proved to me on the basis</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-1348105</wp:posOffset>
            </wp:positionV>
            <wp:extent cx="1270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-1348105</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right="140"/>
        <w:spacing w:after="0" w:line="255" w:lineRule="auto"/>
        <w:rPr>
          <w:sz w:val="20"/>
          <w:szCs w:val="20"/>
          <w:color w:val="auto"/>
        </w:rPr>
      </w:pPr>
      <w:r>
        <w:rPr>
          <w:rFonts w:ascii="Arial" w:cs="Arial" w:eastAsia="Arial" w:hAnsi="Arial"/>
          <w:sz w:val="18"/>
          <w:szCs w:val="18"/>
          <w:color w:val="auto"/>
        </w:rPr>
        <w:t>of satisfactory evidence to be the individual(s) whose name(s) is (are) subscribed to the within instrument and acknowledged to me that he/she/they executed the same in his/her/their capacity(ies), and that by his/her their signature(s) on the instrument, the individual(s), or the person upon behalf of which the individual(s) acted, executed the instrument.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Signature and Office of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taking acknowledgment</w:t>
      </w:r>
    </w:p>
    <w:p>
      <w:pPr>
        <w:spacing w:after="0" w:line="200" w:lineRule="exact"/>
        <w:rPr>
          <w:sz w:val="20"/>
          <w:szCs w:val="20"/>
          <w:color w:val="auto"/>
        </w:rPr>
      </w:pPr>
    </w:p>
    <w:p>
      <w:pPr>
        <w:spacing w:after="0" w:line="22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UNIFORM FORM CERTIFICATE OF ACKNOWLEDGMENT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(Outside of New York State)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State, District of Columbia, Territory, Possession, or Foreign Country</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ss.:</w:t>
      </w:r>
    </w:p>
    <w:p>
      <w:pPr>
        <w:spacing w:after="0" w:line="21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the day of in the year before me, the undersigned, personally appeared , personally known to me or proved to me on the basis of satisfactory evidence to be the individual(s) whose name(s) is (are) subscribed to the within instrument and acknowledged to me that he/she/they executed the same in his/her/their/ capacity (ies), that by his/her/their signature(s) on the instrument, the individual(s), or the person upon behalf of which the</w:t>
      </w:r>
    </w:p>
    <w:p>
      <w:pPr>
        <w:ind w:right="200"/>
        <w:spacing w:after="0" w:line="261" w:lineRule="auto"/>
        <w:rPr>
          <w:sz w:val="20"/>
          <w:szCs w:val="20"/>
          <w:color w:val="auto"/>
        </w:rPr>
      </w:pPr>
      <w:r>
        <w:rPr>
          <w:rFonts w:ascii="Arial" w:cs="Arial" w:eastAsia="Arial" w:hAnsi="Arial"/>
          <w:sz w:val="18"/>
          <w:szCs w:val="18"/>
          <w:color w:val="auto"/>
        </w:rPr>
        <w:t>individual(s) acted, executed the instrument, and that such individual made such appearance before the undersigned in the . (Insert the city or other political subdivision and the state or country or other place the acknowledgment was taken).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(Signature and office of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taking acknowledgment.)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DESCRIPTION OF SITE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ALL that certain plot, piece of land, situate, lying and being in the Town of Greenburgh, County of Westchester, and State of New York, being designated as Lot P-2 on a certain map entitled “Final Subdivision Plat prepared for Eastview Holdings LLC of premises located at Old Saw Mill River Road and NYS Route 9A, Town of Greenburgh, Westchester County, New York Scale 1”=100’“ prepared by John Meyer Consulting, PC, dated March 23, 2004 and last revised March 13, 2006, and filed on April 8, 2006 in the Office of the County Clerk of the County of Westchester as Filed Map No. 27754, and being more particularly described as:</w:t>
      </w:r>
    </w:p>
    <w:p>
      <w:pPr>
        <w:spacing w:after="0" w:line="188"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Beginning at a rebar set on the southwesterly right of way line of Old Saw Mill River Road, where said rebar is located South 35°43’37”West, a distance of 101.93 feet from the intersection formed by the dividing line between the lands n/f BMR-LANDMARK AT EASTVIEW (SBL 116.15-1-2.2 in the Town of Mount Pleasant), and other lands of BMR-LANDMARK AT EASTVIEW(SBL 116.15-1-2.1 in the Town of Mount Pleasant), thence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Running the following courses and distances along the reputed owner Town of Greensburgh</w:t>
      </w:r>
    </w:p>
    <w:p>
      <w:pPr>
        <w:spacing w:after="0" w:line="225" w:lineRule="exact"/>
        <w:rPr>
          <w:sz w:val="20"/>
          <w:szCs w:val="20"/>
          <w:color w:val="auto"/>
        </w:rPr>
      </w:pPr>
    </w:p>
    <w:p>
      <w:pPr>
        <w:ind w:left="180" w:hanging="172"/>
        <w:spacing w:after="0"/>
        <w:tabs>
          <w:tab w:leader="none" w:pos="1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South 00°05’33” East a distance of 93.33 feet to a rebar set, thence</w:t>
      </w:r>
    </w:p>
    <w:p>
      <w:pPr>
        <w:spacing w:after="0" w:line="225" w:lineRule="exact"/>
        <w:rPr>
          <w:rFonts w:ascii="Arial" w:cs="Arial" w:eastAsia="Arial" w:hAnsi="Arial"/>
          <w:sz w:val="18"/>
          <w:szCs w:val="18"/>
          <w:color w:val="auto"/>
        </w:rPr>
      </w:pPr>
    </w:p>
    <w:p>
      <w:pPr>
        <w:ind w:right="160" w:firstLine="8"/>
        <w:spacing w:after="0" w:line="277" w:lineRule="auto"/>
        <w:tabs>
          <w:tab w:leader="none" w:pos="18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100.00 feet, turning a central angle of 21°36’34”, for an arc length of 37.72 feet, the chord of said arc bearing South 10°42’49” West for a distance of 37.50 feet to a rebar set, thence</w:t>
      </w:r>
    </w:p>
    <w:p>
      <w:pPr>
        <w:sectPr>
          <w:pgSz w:w="11900" w:h="16838" w:orient="portrait"/>
          <w:cols w:equalWidth="0" w:num="1">
            <w:col w:w="11460"/>
          </w:cols>
          <w:pgMar w:left="240" w:top="341" w:right="199" w:bottom="0" w:gutter="0" w:footer="0" w:header="0"/>
        </w:sectPr>
      </w:pPr>
    </w:p>
    <w:bookmarkStart w:id="124" w:name="page125"/>
    <w:bookmarkEnd w:id="124"/>
    <w:p>
      <w:pPr>
        <w:ind w:left="172" w:hanging="172"/>
        <w:spacing w:after="0"/>
        <w:tabs>
          <w:tab w:leader="none" w:pos="17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South 21°31’01” West a distance of 81.08 feet to a rebar set, thence</w:t>
      </w:r>
    </w:p>
    <w:p>
      <w:pPr>
        <w:spacing w:after="0" w:line="225" w:lineRule="exact"/>
        <w:rPr>
          <w:rFonts w:ascii="Arial" w:cs="Arial" w:eastAsia="Arial" w:hAnsi="Arial"/>
          <w:sz w:val="18"/>
          <w:szCs w:val="18"/>
          <w:color w:val="auto"/>
        </w:rPr>
      </w:pPr>
    </w:p>
    <w:p>
      <w:pPr>
        <w:ind w:left="-8" w:right="280" w:firstLine="8"/>
        <w:spacing w:after="0" w:line="277" w:lineRule="auto"/>
        <w:tabs>
          <w:tab w:leader="none" w:pos="17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98.25 feet, turning a central angle of 17°06’57”, for an arc length of 29.35 feet, the chord of said arc bearing South 12°57’32” West for a distance of 29.24 feet to a rebar set, thence</w:t>
      </w:r>
    </w:p>
    <w:p>
      <w:pPr>
        <w:spacing w:after="0" w:line="170" w:lineRule="exact"/>
        <w:rPr>
          <w:rFonts w:ascii="Arial" w:cs="Arial" w:eastAsia="Arial" w:hAnsi="Arial"/>
          <w:sz w:val="18"/>
          <w:szCs w:val="18"/>
          <w:color w:val="auto"/>
        </w:rPr>
      </w:pPr>
    </w:p>
    <w:p>
      <w:pPr>
        <w:ind w:left="172" w:hanging="172"/>
        <w:spacing w:after="0"/>
        <w:tabs>
          <w:tab w:leader="none" w:pos="17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South 04°24’12” West a distance of 32.56 feet to a rebar set, thence</w:t>
      </w:r>
    </w:p>
    <w:p>
      <w:pPr>
        <w:spacing w:after="0" w:line="225" w:lineRule="exact"/>
        <w:rPr>
          <w:rFonts w:ascii="Arial" w:cs="Arial" w:eastAsia="Arial" w:hAnsi="Arial"/>
          <w:sz w:val="18"/>
          <w:szCs w:val="18"/>
          <w:color w:val="auto"/>
        </w:rPr>
      </w:pPr>
    </w:p>
    <w:p>
      <w:pPr>
        <w:ind w:left="172" w:hanging="172"/>
        <w:spacing w:after="0"/>
        <w:tabs>
          <w:tab w:leader="none" w:pos="17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South 03°48’59” West a distance of 30.15 feet to a rebar set, thence</w:t>
      </w:r>
    </w:p>
    <w:p>
      <w:pPr>
        <w:spacing w:after="0" w:line="225" w:lineRule="exact"/>
        <w:rPr>
          <w:rFonts w:ascii="Arial" w:cs="Arial" w:eastAsia="Arial" w:hAnsi="Arial"/>
          <w:sz w:val="18"/>
          <w:szCs w:val="18"/>
          <w:color w:val="auto"/>
        </w:rPr>
      </w:pPr>
    </w:p>
    <w:p>
      <w:pPr>
        <w:ind w:left="172" w:hanging="172"/>
        <w:spacing w:after="0"/>
        <w:tabs>
          <w:tab w:leader="none" w:pos="17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South 02°34’01” West a distance of 90.30 feet to a rebar set, thence</w:t>
      </w:r>
    </w:p>
    <w:p>
      <w:pPr>
        <w:spacing w:after="0" w:line="225" w:lineRule="exact"/>
        <w:rPr>
          <w:rFonts w:ascii="Arial" w:cs="Arial" w:eastAsia="Arial" w:hAnsi="Arial"/>
          <w:sz w:val="18"/>
          <w:szCs w:val="18"/>
          <w:color w:val="auto"/>
        </w:rPr>
      </w:pPr>
    </w:p>
    <w:p>
      <w:pPr>
        <w:ind w:left="-8" w:firstLine="8"/>
        <w:spacing w:after="0" w:line="277" w:lineRule="auto"/>
        <w:tabs>
          <w:tab w:leader="none" w:pos="172"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305.09 feet, turning a central angle of 34°07’44”, for an arc length of 181.73 feet, the chord of said arc bearing South 19°37’53” West for a distance of 179.06 feet to a rebar set, thence</w:t>
      </w:r>
    </w:p>
    <w:p>
      <w:pPr>
        <w:spacing w:after="0" w:line="17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EXHIBIT B</w:t>
      </w:r>
    </w:p>
    <w:p>
      <w:pPr>
        <w:spacing w:after="0" w:line="2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(to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726757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 w:right="120" w:firstLine="8"/>
        <w:spacing w:after="0" w:line="277" w:lineRule="auto"/>
        <w:tabs>
          <w:tab w:leader="none" w:pos="17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Along a reverse curve to the left having a radius of 362.65 feet, turning a central angle of 33°16’57”, for an arc length of 210.66 feet, the chord of said arc bearing South 20°03’17” West for a distance of 207.71 feet to a rebar set, thence</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South 03°24’29” West a distance of 152.00 feet to a rebar set, thence</w:t>
      </w:r>
    </w:p>
    <w:p>
      <w:pPr>
        <w:spacing w:after="0" w:line="225" w:lineRule="exact"/>
        <w:rPr>
          <w:rFonts w:ascii="Arial" w:cs="Arial" w:eastAsia="Arial" w:hAnsi="Arial"/>
          <w:sz w:val="18"/>
          <w:szCs w:val="18"/>
          <w:color w:val="auto"/>
        </w:rPr>
      </w:pPr>
    </w:p>
    <w:p>
      <w:pPr>
        <w:ind w:left="-8" w:right="20" w:firstLine="8"/>
        <w:spacing w:after="0" w:line="277" w:lineRule="auto"/>
        <w:tabs>
          <w:tab w:leader="none" w:pos="25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172.07 feet, turning a central angle of 31°44’41”, for an arc length of 95.33 feet, the chord of said arc bearing South 19°16’50” West for a distance of 94.12 feet to a rebar set, thence</w:t>
      </w:r>
    </w:p>
    <w:p>
      <w:pPr>
        <w:spacing w:after="0" w:line="170" w:lineRule="exact"/>
        <w:rPr>
          <w:rFonts w:ascii="Arial" w:cs="Arial" w:eastAsia="Arial" w:hAnsi="Arial"/>
          <w:sz w:val="18"/>
          <w:szCs w:val="18"/>
          <w:color w:val="auto"/>
        </w:rPr>
      </w:pPr>
    </w:p>
    <w:p>
      <w:pPr>
        <w:ind w:left="-8" w:right="280" w:firstLine="8"/>
        <w:spacing w:after="0" w:line="277" w:lineRule="auto"/>
        <w:tabs>
          <w:tab w:leader="none" w:pos="26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Along a compound curve to the right having a radius of 139.47 feet, turning a central angle of 71°37’16”, for an arc length of 174.34 feet, the chord of said arc bearing South 70°57’49” West for a distance of 163.21 feet to a rebar set, thence</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North 73°13’58” West a distance of 128.84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South 16°03’11” West a distance of 16.68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North 73°56’49” West a distance of 29.11 feet to a rebar set, thence</w:t>
      </w:r>
    </w:p>
    <w:p>
      <w:pPr>
        <w:spacing w:after="0" w:line="225" w:lineRule="exact"/>
        <w:rPr>
          <w:rFonts w:ascii="Arial" w:cs="Arial" w:eastAsia="Arial" w:hAnsi="Arial"/>
          <w:sz w:val="18"/>
          <w:szCs w:val="18"/>
          <w:color w:val="auto"/>
        </w:rPr>
      </w:pPr>
    </w:p>
    <w:p>
      <w:pPr>
        <w:ind w:left="-8" w:right="20" w:firstLine="8"/>
        <w:spacing w:after="0" w:line="277" w:lineRule="auto"/>
        <w:tabs>
          <w:tab w:leader="none" w:pos="26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242.01 feet, turning a central angle of 35°55’48”, for an arc length of 151.76 feet, the chord of said arc bearing South 88°05’17” West for a distance of 149.29 feet to a rebar set, thence</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South 70°07’17” West a distance of 92.14 feet to a rebar set, thence</w:t>
      </w:r>
    </w:p>
    <w:p>
      <w:pPr>
        <w:spacing w:after="0" w:line="225" w:lineRule="exact"/>
        <w:rPr>
          <w:rFonts w:ascii="Arial" w:cs="Arial" w:eastAsia="Arial" w:hAnsi="Arial"/>
          <w:sz w:val="18"/>
          <w:szCs w:val="18"/>
          <w:color w:val="auto"/>
        </w:rPr>
      </w:pPr>
    </w:p>
    <w:p>
      <w:pPr>
        <w:ind w:left="-8" w:right="180" w:firstLine="8"/>
        <w:spacing w:after="0" w:line="277" w:lineRule="auto"/>
        <w:tabs>
          <w:tab w:leader="none" w:pos="26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440.98 feet, turning a central angle of 40°10’49”, for an arc length of 309.25 feet, the chord of said arc bearing North 89°47’19” West for a distance of 302.95 feet to a rebar set, thence</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South 20°18’00” West a distance of 20.89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North 65°49’54” West a distance of 101.52 feet to a rebar set, thence</w:t>
      </w:r>
    </w:p>
    <w:p>
      <w:pPr>
        <w:spacing w:after="0" w:line="225" w:lineRule="exact"/>
        <w:rPr>
          <w:rFonts w:ascii="Arial" w:cs="Arial" w:eastAsia="Arial" w:hAnsi="Arial"/>
          <w:sz w:val="18"/>
          <w:szCs w:val="18"/>
          <w:color w:val="auto"/>
        </w:rPr>
      </w:pPr>
    </w:p>
    <w:p>
      <w:pPr>
        <w:ind w:left="-8" w:right="100" w:firstLine="8"/>
        <w:spacing w:after="0" w:line="277" w:lineRule="auto"/>
        <w:tabs>
          <w:tab w:leader="none" w:pos="26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1530.00 feet, turning a central angle of 21°27’50”, for an arc length of 573.16 feet, the chord of said arc bearing North 55°05’59” West for a distance of 569.81 feet to a rebar set, thence</w:t>
      </w:r>
    </w:p>
    <w:p>
      <w:pPr>
        <w:spacing w:after="0" w:line="170" w:lineRule="exact"/>
        <w:rPr>
          <w:rFonts w:ascii="Arial" w:cs="Arial" w:eastAsia="Arial" w:hAnsi="Arial"/>
          <w:sz w:val="18"/>
          <w:szCs w:val="18"/>
          <w:color w:val="auto"/>
        </w:rPr>
      </w:pPr>
    </w:p>
    <w:p>
      <w:pPr>
        <w:ind w:left="-8" w:right="280" w:firstLine="8"/>
        <w:spacing w:after="0" w:line="277" w:lineRule="auto"/>
        <w:tabs>
          <w:tab w:leader="none" w:pos="26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Along a compound curve to the right having a radius of 400.00 feet, turning a central angle of 37°36’43”, for an arc length of 262.58 feet, the chord of said arc bearing North 25°33’43” West for a distance of 257.89 feet to a rebar set, thence</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South 58°03’06” West a distance of 1501.30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North 11°11’33” West a distance of 441.76 feet to a rebar set, thence</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8" w:right="40" w:firstLine="8"/>
        <w:spacing w:after="0" w:line="264" w:lineRule="auto"/>
        <w:tabs>
          <w:tab w:leader="none" w:pos="26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Along reputed owner Consolidated Edison Company of New York, Inc North 34°43’49” East a distance of 1146.62 feet to a rebar set, thence Running the following courses and distances along Lot 1 on a map entitled “Final Subdivision Plat Prepared for Eastview Holdings LLC” filed in the Westchester County Clerk’s Office, Division of Land Records on 11/15/2005 as Map No. 27669.</w:t>
      </w:r>
    </w:p>
    <w:p>
      <w:pPr>
        <w:spacing w:after="0" w:line="181" w:lineRule="exact"/>
        <w:rPr>
          <w:rFonts w:ascii="Arial" w:cs="Arial" w:eastAsia="Arial" w:hAnsi="Arial"/>
          <w:sz w:val="18"/>
          <w:szCs w:val="18"/>
          <w:color w:val="auto"/>
        </w:rPr>
      </w:pPr>
    </w:p>
    <w:p>
      <w:pPr>
        <w:ind w:left="272" w:hanging="272"/>
        <w:spacing w:after="0"/>
        <w:tabs>
          <w:tab w:leader="none" w:pos="27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South 55°16’11” East a distance of 225.33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South 67°59’01” East a distance of 614.61 feet to a rebar set, thence</w:t>
      </w:r>
    </w:p>
    <w:p>
      <w:pPr>
        <w:spacing w:after="0" w:line="225" w:lineRule="exact"/>
        <w:rPr>
          <w:rFonts w:ascii="Arial" w:cs="Arial" w:eastAsia="Arial" w:hAnsi="Arial"/>
          <w:sz w:val="18"/>
          <w:szCs w:val="18"/>
          <w:color w:val="auto"/>
        </w:rPr>
      </w:pPr>
    </w:p>
    <w:p>
      <w:pPr>
        <w:ind w:left="-8" w:right="120" w:firstLine="8"/>
        <w:spacing w:after="0" w:line="277" w:lineRule="auto"/>
        <w:tabs>
          <w:tab w:leader="none" w:pos="26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Along a non-tangent curve to the right having a radius of 1124.93 feet, turning a central angle of 16°12’11”, for an arc length of 318.13 feet, the chord of said arc bearing North 30°03’42” East for a distance of 317.07 feet to a rebar set, thence</w:t>
      </w:r>
    </w:p>
    <w:p>
      <w:pPr>
        <w:sectPr>
          <w:pgSz w:w="11900" w:h="16838" w:orient="portrait"/>
          <w:cols w:equalWidth="0" w:num="1">
            <w:col w:w="11392"/>
          </w:cols>
          <w:pgMar w:left="248" w:top="341" w:right="259" w:bottom="0" w:gutter="0" w:footer="0" w:header="0"/>
        </w:sectPr>
      </w:pPr>
    </w:p>
    <w:bookmarkStart w:id="125" w:name="page126"/>
    <w:bookmarkEnd w:id="125"/>
    <w:p>
      <w:pPr>
        <w:spacing w:after="0" w:line="12" w:lineRule="exact"/>
        <w:rPr>
          <w:sz w:val="20"/>
          <w:szCs w:val="20"/>
          <w:color w:val="auto"/>
        </w:rPr>
      </w:pPr>
    </w:p>
    <w:p>
      <w:pPr>
        <w:ind w:firstLine="8"/>
        <w:spacing w:after="0" w:line="277" w:lineRule="auto"/>
        <w:tabs>
          <w:tab w:leader="none" w:pos="27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Along a compound curve to the right having a radius of 450.05 feet, turning a central angle of 10°26’59”, for an arc length of 82.08 feet, the chord of said arc bearing North 43°23’17” East for a distance of 81.97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North 32°22’35” East a distance of 262.04 feet to a rebar set, thence</w:t>
      </w:r>
    </w:p>
    <w:p>
      <w:pPr>
        <w:spacing w:after="0" w:line="225" w:lineRule="exact"/>
        <w:rPr>
          <w:rFonts w:ascii="Arial" w:cs="Arial" w:eastAsia="Arial" w:hAnsi="Arial"/>
          <w:sz w:val="18"/>
          <w:szCs w:val="18"/>
          <w:color w:val="auto"/>
        </w:rPr>
      </w:pPr>
    </w:p>
    <w:p>
      <w:pPr>
        <w:ind w:right="220" w:firstLine="8"/>
        <w:spacing w:after="0" w:line="277" w:lineRule="auto"/>
        <w:tabs>
          <w:tab w:leader="none" w:pos="27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North 27°10’46” East a distance of 172.97 feet to a rebar set, thence Running the following courses and distances along the southwesterly right of way line of Old Sawmill River Road,</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South 63°22’33” East a distance of 24.28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South 68°16’40” East a distance of 63.98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South 71°57’20” East a distance of 48.14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South 75°31’00” East a distance of 167.65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South 75°03’30” East a distance of 417.19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South 71°58’00” East a distance of 46.04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South 70°36’00” East a distance of 53.02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South 67°40’50” East a distance of 36.36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South 66°14’50” East a distance of 71.78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South 63°42’50” East a distance of 155.58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South 63°47’50” East a distance of 270.49 feet to the rebar set and place of beginning.</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Together with all the rights, title, privileges, interest, licenses and easements, real and personal in and to a certain pedestrian bridge over Old Saw Mill River Road, Route 303, including, but not limited to, the right and interest in that certain air rights parcel of land shown and designed as Lot PAR on Filed Map 27754 filed in the office of the Clerk of Westchester County and conveyed in a deed dated 12/28/07 made by Eastview Holdings LLC to BMR-Landmark at Eastview LLC, recorded 2/6/09 as Control No. 483310118.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 Section 7.71, Block 6, Lot 1 (Sub Lots 1.1, 1.1A, 1.1B, 1.1C and 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II:</w:t>
      </w:r>
    </w:p>
    <w:p>
      <w:pPr>
        <w:spacing w:after="0" w:line="229"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ALL that certain plot, piece or parcel of land, situate, lying and being in the Town of Mount Pleasant, County of Westchester and State of New York, being designated as Lot 1 on a certain map entitled “Final Subdivision Plat prepared for Eastview Holdings LLC of premises located at Old Saw Mill River Road and NYS Route 9A Town of Mount Pleasant, Westchester County, New York Scale 1”=100’“ prepared by John Meyer Consulting, PC, dated September 27, 2007 in the Office of the Clerk of the County of Westchester as Filed Map No. 28024, being more particularly described as:</w:t>
      </w:r>
    </w:p>
    <w:p>
      <w:pPr>
        <w:spacing w:after="0" w:line="171" w:lineRule="exact"/>
        <w:rPr>
          <w:sz w:val="20"/>
          <w:szCs w:val="20"/>
          <w:color w:val="auto"/>
        </w:rPr>
      </w:pPr>
    </w:p>
    <w:p>
      <w:pPr>
        <w:jc w:val="both"/>
        <w:ind w:right="120"/>
        <w:spacing w:after="0" w:line="308" w:lineRule="auto"/>
        <w:rPr>
          <w:sz w:val="20"/>
          <w:szCs w:val="20"/>
          <w:color w:val="auto"/>
        </w:rPr>
      </w:pPr>
      <w:r>
        <w:rPr>
          <w:rFonts w:ascii="Arial" w:cs="Arial" w:eastAsia="Arial" w:hAnsi="Arial"/>
          <w:sz w:val="17"/>
          <w:szCs w:val="17"/>
          <w:color w:val="auto"/>
        </w:rPr>
        <w:t>Beginning at a rebar set on the northeasterly right of way line of Old Saw Mill River Road, at the intersection formed by the dividing line between the lands n/f BMR-LANDMARK AT EASTVIEW (SBL 116.15-1-2.2), and other lands of BMR-LANDMARK AT EASTVIEW(SBL 116.15-1-2.1),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Running the following courses and distances along the northeasterly right of way line of Old Saw Mill River Road</w:t>
      </w:r>
    </w:p>
    <w:p>
      <w:pPr>
        <w:spacing w:after="0" w:line="225" w:lineRule="exact"/>
        <w:rPr>
          <w:sz w:val="20"/>
          <w:szCs w:val="20"/>
          <w:color w:val="auto"/>
        </w:rPr>
      </w:pPr>
    </w:p>
    <w:p>
      <w:pPr>
        <w:ind w:left="180" w:hanging="172"/>
        <w:spacing w:after="0"/>
        <w:tabs>
          <w:tab w:leader="none" w:pos="1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North 63°49’10” West a distance of 373.58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North 63°40’40” West a distance of 150.03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North 68°08’00” West a distance of 48.55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North 70°56’30” West a distance of 70.20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North 71°26’30” West a distance of 46.86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North 75°05’50” West a distance of 422.47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North 75°28’40” West a distance of 164.70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North 71°28’40” West a distance of 53.23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North 66°46’40” West a distance of 55.80 feet to a rebar set, thence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360"/>
          </w:cols>
          <w:pgMar w:left="240" w:top="125"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10. North 60°22’50” West a distance of 64.25 feet to a rebar set, thence</w:t>
      </w:r>
    </w:p>
    <w:p>
      <w:pPr>
        <w:sectPr>
          <w:pgSz w:w="11900" w:h="16851" w:orient="portrait"/>
          <w:cols w:equalWidth="0" w:num="1">
            <w:col w:w="11360"/>
          </w:cols>
          <w:pgMar w:left="240" w:top="125" w:right="299" w:bottom="0" w:gutter="0" w:footer="0" w:header="0"/>
          <w:type w:val="continuous"/>
        </w:sectPr>
      </w:pPr>
    </w:p>
    <w:bookmarkStart w:id="126" w:name="page127"/>
    <w:bookmarkEnd w:id="126"/>
    <w:p>
      <w:pPr>
        <w:ind w:left="272" w:hanging="272"/>
        <w:spacing w:after="0"/>
        <w:tabs>
          <w:tab w:leader="none" w:pos="27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North 55°46’50” West a distance of 168.67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North 57°50’10” West a distance of 23.25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North 55°10’55” West a distance of 315.52 feet to a rebar set, thence</w:t>
      </w:r>
    </w:p>
    <w:p>
      <w:pPr>
        <w:spacing w:after="0" w:line="225" w:lineRule="exact"/>
        <w:rPr>
          <w:rFonts w:ascii="Arial" w:cs="Arial" w:eastAsia="Arial" w:hAnsi="Arial"/>
          <w:sz w:val="18"/>
          <w:szCs w:val="18"/>
          <w:color w:val="auto"/>
        </w:rPr>
      </w:pPr>
    </w:p>
    <w:p>
      <w:pPr>
        <w:ind w:left="-8" w:firstLine="8"/>
        <w:spacing w:after="0" w:line="277" w:lineRule="auto"/>
        <w:tabs>
          <w:tab w:leader="none" w:pos="26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Along the dividing line between Reputed Owner Consolidated Edison and reputed owner BMR-LANDMARK AT EASTVIEW (SBL 116.15-1-2.1) North 41°22’40” East a distance of 117.30 feet to a rebar set, thence</w:t>
      </w:r>
    </w:p>
    <w:p>
      <w:pPr>
        <w:spacing w:after="0" w:line="170" w:lineRule="exact"/>
        <w:rPr>
          <w:rFonts w:ascii="Arial" w:cs="Arial" w:eastAsia="Arial" w:hAnsi="Arial"/>
          <w:sz w:val="18"/>
          <w:szCs w:val="18"/>
          <w:color w:val="auto"/>
        </w:rPr>
      </w:pPr>
    </w:p>
    <w:p>
      <w:pPr>
        <w:ind w:left="-8" w:right="420" w:firstLine="8"/>
        <w:spacing w:after="0" w:line="277" w:lineRule="auto"/>
        <w:tabs>
          <w:tab w:leader="none" w:pos="26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North 88°40’52” East a distance of 368.78 feet to a point in Saw Mill River, thence Running the following courses and distances along the same and following the Saw Mill River</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South 63°24’21” East a distance of 101.76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South 82°58’51” East a distance of 62.51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North 67°02’49” East a distance of 39.00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North 40°05’34” East a distance of 35.47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North 22°26’57” East a distance of 54.23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North 12°57’05” East a distance of 73.98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North 46°15’28” East a distance of 50.93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North 57°39’41” East a distance of 47.17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North 39°04’03” East a distance of 72.47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North 21°22’50” East a distance of 121.63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North 23°17’46” East a distance of 104.78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North 29°08’32” East a distance of 26.42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North 53°38’21” East a distance of 27.20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North 69°06’38” East a distance of 34.18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North 50°34’22” East a distance of 41.23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North 20°13’22” East a distance of 59.81 feet to a point, thence</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72" w:hanging="272"/>
        <w:spacing w:after="0"/>
        <w:tabs>
          <w:tab w:leader="none" w:pos="27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North 28°16’38” East a distance of 37.59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North 48°06’01” East a distance of 70.84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North 03°30’01” East a distance of 194.44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North 17°33’46” East a distance of 100.88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North 44°40’00” East a distance of 31.11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North 86°48’15” East a distance of 40.05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North 49°30’38” East a distance of 41.87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North 08°08’06” West a distance of 73.68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North 26°13’54” East a distance of 87.21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North 19°32’46” West a distance of 69.89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North 45°20’00” West a distance of 31.11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North 48°51’07” East a distance of 116.18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North 21°54’57” East a distance of 47.67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North 19°25’35” West a distance of 27.51 feet to a point, thence</w:t>
      </w:r>
    </w:p>
    <w:p>
      <w:pPr>
        <w:sectPr>
          <w:pgSz w:w="11900" w:h="16838" w:orient="portrait"/>
          <w:cols w:equalWidth="0" w:num="1">
            <w:col w:w="11392"/>
          </w:cols>
          <w:pgMar w:left="248" w:top="341" w:right="259" w:bottom="0" w:gutter="0" w:footer="0" w:header="0"/>
        </w:sectPr>
      </w:pPr>
    </w:p>
    <w:bookmarkStart w:id="127" w:name="page128"/>
    <w:bookmarkEnd w:id="127"/>
    <w:p>
      <w:pPr>
        <w:ind w:left="280" w:hanging="272"/>
        <w:spacing w:after="0"/>
        <w:tabs>
          <w:tab w:leader="none" w:pos="2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North 51°40’22” West a distance of 6.14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Along North 41°22’40” East a distance of 1119.15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Along South 73°06’25” East a distance of 37.33 feet to a rebar set, thence</w:t>
      </w:r>
    </w:p>
    <w:p>
      <w:pPr>
        <w:spacing w:after="0" w:line="225" w:lineRule="exact"/>
        <w:rPr>
          <w:rFonts w:ascii="Arial" w:cs="Arial" w:eastAsia="Arial" w:hAnsi="Arial"/>
          <w:sz w:val="18"/>
          <w:szCs w:val="18"/>
          <w:color w:val="auto"/>
        </w:rPr>
      </w:pPr>
    </w:p>
    <w:p>
      <w:pPr>
        <w:ind w:right="1340" w:firstLine="8"/>
        <w:spacing w:after="0" w:line="530" w:lineRule="auto"/>
        <w:tabs>
          <w:tab w:leader="none" w:pos="27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Along the southwesterly right of way line of Saw Mill River Road, South 07°54’30” East a distance of 532.24 feet to a rebar set, thence Running the following courses and distances along other lands of BMR-LANDMARK AT EASTVIEW (SBL 116.15-1-2.2)</w:t>
      </w:r>
    </w:p>
    <w:p>
      <w:pPr>
        <w:ind w:left="280" w:hanging="272"/>
        <w:spacing w:after="0"/>
        <w:tabs>
          <w:tab w:leader="none" w:pos="2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South 82°05’30” West a distance of 53.22 feet to a rebar set, thence</w:t>
      </w:r>
    </w:p>
    <w:p>
      <w:pPr>
        <w:spacing w:after="0" w:line="225" w:lineRule="exact"/>
        <w:rPr>
          <w:rFonts w:ascii="Arial" w:cs="Arial" w:eastAsia="Arial" w:hAnsi="Arial"/>
          <w:sz w:val="18"/>
          <w:szCs w:val="18"/>
          <w:color w:val="auto"/>
        </w:rPr>
      </w:pPr>
    </w:p>
    <w:p>
      <w:pPr>
        <w:ind w:right="20" w:firstLine="8"/>
        <w:spacing w:after="0" w:line="277" w:lineRule="auto"/>
        <w:tabs>
          <w:tab w:leader="none" w:pos="27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120.00 feet, turning a central angle of 66°50’29”, for an arc length of 139.99 feet, the chord of said arc bearing South 48°40’15” West for a distance of 132.19 feet to a rebar set, thence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8"/>
        <w:spacing w:after="0" w:line="277" w:lineRule="auto"/>
        <w:tabs>
          <w:tab w:leader="none" w:pos="27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Along a reverse curve to the right having a radius of 480.00 feet, turning a central angle of 21°46’49”, for an arc length of 182.47 feet, the chord of said arc bearing South 26°08’26” West for a distance of 181.37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South 37°01’48” West a distance of 287.70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South 46°17’40” West a distance of 85.62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South 57°32’20” West a distance of 65.29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North 61°07’50” West a distance of 113.60 feet to a rebar set, thence</w:t>
      </w:r>
    </w:p>
    <w:p>
      <w:pPr>
        <w:spacing w:after="0" w:line="225" w:lineRule="exact"/>
        <w:rPr>
          <w:rFonts w:ascii="Arial" w:cs="Arial" w:eastAsia="Arial" w:hAnsi="Arial"/>
          <w:sz w:val="18"/>
          <w:szCs w:val="18"/>
          <w:color w:val="auto"/>
        </w:rPr>
      </w:pPr>
    </w:p>
    <w:p>
      <w:pPr>
        <w:ind w:right="100" w:firstLine="8"/>
        <w:spacing w:after="0" w:line="277" w:lineRule="auto"/>
        <w:tabs>
          <w:tab w:leader="none" w:pos="27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73.50 feet, turning a central angle of 82°49’02”, for an arc length of 106.24 feet, the chord of said arc bearing South 77°27’39” West for a distance of 97.23 feet to a rebar set, thence</w:t>
      </w:r>
    </w:p>
    <w:p>
      <w:pPr>
        <w:spacing w:after="0" w:line="170" w:lineRule="exact"/>
        <w:rPr>
          <w:rFonts w:ascii="Arial" w:cs="Arial" w:eastAsia="Arial" w:hAnsi="Arial"/>
          <w:sz w:val="18"/>
          <w:szCs w:val="18"/>
          <w:color w:val="auto"/>
        </w:rPr>
      </w:pPr>
    </w:p>
    <w:p>
      <w:pPr>
        <w:ind w:right="140" w:firstLine="8"/>
        <w:spacing w:after="0" w:line="277" w:lineRule="auto"/>
        <w:tabs>
          <w:tab w:leader="none" w:pos="27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Along a compound curve to the left having a radius of 91.00 feet, turning a central angle of 68°00’38”, for an arc length of 108.02 feet, the chord of said arc bearing South 02°02’49” West for a distance of 101.79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South 31°57’30” East a distance of 305.66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South 30°02’00” West a distance of 347.72 feet to a point,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South 60°12’00” East a distance of 333.26 feet to a rebar set, thence</w:t>
      </w:r>
    </w:p>
    <w:p>
      <w:pPr>
        <w:spacing w:after="0" w:line="225" w:lineRule="exact"/>
        <w:rPr>
          <w:rFonts w:ascii="Arial" w:cs="Arial" w:eastAsia="Arial" w:hAnsi="Arial"/>
          <w:sz w:val="18"/>
          <w:szCs w:val="18"/>
          <w:color w:val="auto"/>
        </w:rPr>
      </w:pPr>
    </w:p>
    <w:p>
      <w:pPr>
        <w:ind w:right="180" w:firstLine="8"/>
        <w:spacing w:after="0" w:line="277" w:lineRule="auto"/>
        <w:tabs>
          <w:tab w:leader="none" w:pos="27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500.00 feet, turning a central angle of 21°06’38”, for an arc length of 184.22 feet, the chord of said arc bearing South 49°38’41” East for a distance of 183.18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South 39°05’22” East a distance of 174.39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160.00 feet, turning a central angle of 27°24’26”, for an arc length of 76.54 feet, the chord of said arc bearing South 25°23’09” East for a distance of 75.81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South 11°40’56” East a distance of 147.46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27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160.00 feet, turning a central angle of 26°20’55”, for an arc length of 73.58 feet, the chord of said arc bearing South 01°29’32” West for a distance of 72.93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South 14°40’00” West a distance of 417.48 feet to a rebar set, thence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8"/>
        <w:spacing w:after="0" w:line="277" w:lineRule="auto"/>
        <w:tabs>
          <w:tab w:leader="none" w:pos="27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160.00 feet, turning a central angle of 15°51’47”, for an arc length of 44.30 feet, the chord of said arc bearing South 22°35’53” West for a distance of 44.16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South 30°21’46” West a distance of 251.53 feet to the place of beginning.</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Together with all the rights, title, privileges, interest, licenses and easements, real and personal in and to a certain pedestrian bridge over Old Saw Mill River Road, Route 303, including, but not limited to, the right and interest in that certain air rights parcel of land shown and designed as Lot PAR on Filed Map 27754 filed in the office of the Clerk of Westchester County and conveyed in a deed dated 12/28/07 made by Eastview Holdings LLC to BMR-Landmark at Eastview LLC, recorded 2/6/09 as Control No. 483310118.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 Section 116.15, Block 1, Lot 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III:</w:t>
      </w:r>
    </w:p>
    <w:p>
      <w:pPr>
        <w:sectPr>
          <w:pgSz w:w="11900" w:h="16838" w:orient="portrait"/>
          <w:cols w:equalWidth="0" w:num="1">
            <w:col w:w="11400"/>
          </w:cols>
          <w:pgMar w:left="240" w:top="341" w:right="259" w:bottom="0" w:gutter="0" w:footer="0" w:header="0"/>
        </w:sectPr>
      </w:pPr>
    </w:p>
    <w:bookmarkStart w:id="128" w:name="page129"/>
    <w:bookmarkEnd w:id="128"/>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PARCEL A:</w:t>
      </w:r>
    </w:p>
    <w:p>
      <w:pPr>
        <w:spacing w:after="0" w:line="225"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Lot 2 on a certain map entitled “Final Subdivision Plat prepared for Eastview Holdings LLC of premises located at Old Saw Mill River Road and NYS Route 9A Town of Mount Pleasant Westchester County, New York Scale 1”=100’“ prepared by John Meyer Consulting, PC, dated September 5, 2007 and last revised September 18, 2007 and filed September 27, 2007 in the Office of the Clerk of the County of Westchester as Filed Map No. 28024.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Excepting therefrom the following tract of land:</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Section 116.15, Block 1, Tax Lot 2.3 of the Tax Records of the Town of Mount Pleasant and as more particularly described as follows:</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BEGINNING at a point along the West side of the Saw Mill River Road (New York State Highway No. 52), said point being North 07 degrees 04 minutes 50 seconds West 1190.38 feet measured along said West side of the Saw Mill River Road from the Northeasterly corner of Parcel 303-2 as shown on “Map of Land to be Acquired for the Improvement of: Old Saw Mill River Road” prepared by Westchester County Department of Public Works, filed as Map No. 19473 and recorded May 4, 1978;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THENCE through the aforesaid Tax Lot 2 the following courses and distances: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 82 degrees 05 minutes 30 seconds West, 81.27 feet to a point of curvature;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294.00 foot radius curve to the right, through a central angle of 23 degrees 01 minutes 21 seconds, an arc distance of 118.14 feet to a point of reverse curvature;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280.00 foot radius curve to the left, through a central angle of 19 degrees 12 minutes 52 seconds, an arc distance of 93.90 feet to a point of reverse curvature;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270.00 foot radius curve to the right, through a central angle of 41 degrees 53 minutes 41 seconds, an arc distance of 197.42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52 degrees 12 minutes 20 seconds West, 9.33 feet to a point of curvature;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445.00 foot radius curve to the right, through a central angle of 37 degrees 06 minutes 20 seconds, an arc distance of 288.19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15 degrees 06 minutes 00 seconds West, 310.50 feet to a point of curvature;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360.00 foot radius curve to the right, through a central angle of 52 degrees 07 minutes 50 seconds, an arc distance of 327.55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37 degrees 01 minutes 50 seconds East, 387.10 feet to a point of curvature;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THENCE along a 480.00 foot radius curve to the left, through a central angle of 21 degrees 46 minutes 49 seconds, an arc distance of 182.46 feet to a point of reverse curvature;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120.00 foot radius curve to the right, through a central angle of 66 degrees 50 minutes 29 seconds, an arc distance of 139.99 feet to a point of tangency;</w:t>
      </w:r>
    </w:p>
    <w:p>
      <w:pPr>
        <w:spacing w:after="0" w:line="17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THENCE still through the aforesaid Tax Lot 2, North 82 degrees 05 minutes 30 seconds East 53.22 feet to the aforesaid west side of Saw Mill River Road, said point being South 07 degrees 54 minutes 30 seconds East 532.24 feet measured along said West side of the Saw Mill River Road from the division line between lands now or formerly of Consolidated Edison Company of New York, Inc. and the aforesaid Tax Lot 2;</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THENCE along said West side of the Saw Mill River Road, South 07 degrees 54 minutes 30 seconds East, 800.05 feet and South 07 degrees 04 minutes 50 seconds East, 692.22 feet to the point of BEGINNING.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116.15, Block 1, Lot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PARCEL B:</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Section 116.15, Block 1, Tax Lot 2.3 of the Tax Records of the Town of Mount Pleasant and as more particularly described as follows: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BEGINNING at a point along the West side of the Saw Mill River Road (New York State Highway No. 52), said point being North 07 degrees 04 minutes 50 seconds West 1190.38 feet measured along said West side of the Saw Mill River Road from the Northeasterly corner of Parcel 303-2 as shown on “Map of Land to be Acquired for the Improvement of: Old Saw Mill River Road” prepared by Westchester County Department of Public Works, filed as Map No. 19473 and recorded May 4, 1978;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THENCE through the aforesaid Tax Lot 2 the following courses and distances:</w:t>
      </w:r>
    </w:p>
    <w:p>
      <w:pPr>
        <w:sectPr>
          <w:pgSz w:w="11900" w:h="16874" w:orient="portrait"/>
          <w:cols w:equalWidth="0" w:num="1">
            <w:col w:w="11400"/>
          </w:cols>
          <w:pgMar w:left="240" w:top="125" w:right="259" w:bottom="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South 82 degrees 05 minutes 30 seconds West, 81.27 feet to a point of curvature;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294.00 foot radius curve to the right, through a central angle of 23 degrees 01 minutes 21 seconds, an arc distance of 118.14 feet to a point of reverse curvature;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280.00 foot radius curve to the left, through a central angle of 19 degrees 12 minutes 52 seconds, an arc distance of 93.90 feet to a point of reverse curvature;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270.00 foot radius curve to the right, through a central angle of 41 degrees 53 minutes 41 seconds, an arc distance of 197.42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52 degrees 12 minutes 20 seconds West, 9.33 feet to a point of curvature;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445.00 foot radius curve to the right, through a central angle of 37 degrees 06 minutes 20 seconds, an arc distance of 288.19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15 degrees 06 minutes 00 seconds West, 310.50 feet to a point of curvature;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360.00 foot radius curve to the right, through a central angle of 52 degrees 07 minutes 50 seconds, an arc distance of 327.55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37 degrees 01 minutes 50 seconds East, 387.10 feet to a point of curvature;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THENCE along a 480.00 foot radius curve to the left, through a central angle of 21 degrees 46 minutes 49 seconds, an arc distance of 182.46 feet to a point of reverse curvature;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120.00 foot radius curve to the right, through a central angle of 66 degrees 50 minutes 29 seconds, an arc distance of 139.99 feet to a point of tangency;</w:t>
      </w:r>
    </w:p>
    <w:p>
      <w:pPr>
        <w:spacing w:after="0" w:line="17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THENCE still through the aforesaid Tax Lot 2, North 82 degrees 05 minutes 30 seconds East 53.22 feet to the aforesaid west side of Saw Mill River Road, said point being South 07 degrees 54 minutes 30 seconds East 532.24 feet measured along said West side of the Saw Mill River Road from the division line between lands now or formerly of Consolidated Edison Company of New York, Inc. and the aforesaid Tax Lot 2;</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THENCE along said West side of the Saw Mill River Road, South 07 degrees 54 minutes 30 seconds East, 800.05 feet and South 07 degrees 04 minutes 50 seconds East, 692.22 feet to the point of BEGINNING.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116.15, Block 1, Lot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IV:</w:t>
      </w:r>
    </w:p>
    <w:p>
      <w:pPr>
        <w:spacing w:after="0" w:line="2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Section 116.15, Block 1, Tax Lots 5 and 6 of the Tax Records of the Town of Mount Pleasant and as more particularly described as follows:</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BEGINNING at the intersection of the Northerly boundary line of Saw Mill River Road (State Highway No. 52), also known as Route 9A, as widened, with the Northerly boundary line of Grasslands Road;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THENCE along said Northerly boundary line of Grasslands Road South 86 degrees 43 minutes 47 seconds, West 34.19 feet to a point of curvature;</w:t>
      </w:r>
    </w:p>
    <w:p>
      <w:pPr>
        <w:spacing w:after="0" w:line="23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THENCE Westerly along a 225.00 foot radius curve deflecting to the right through a central angle of 47 degrees 34 minutes 53 seconds, an arc distance of 185.81 feet to a point on the Easterly boundary line of Old Saw Mill River Road;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Northerly along the Easterly boundary line of Old Saw Mill River Road the following courses and distances: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 23 degrees 24 minutes 20 seconds West 18.96 feet;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 33 degrees 37 minutes 30 seconds West 33.32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30 degrees 41 minutes 10 seconds West 79.50 feet to a point;</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THENCE Northerly on a course connecting the Easterly boundary line of Old Saw Mill River Road with the Southerly boundary line of a ramp connecting Old Saw Mill River Road with Saw Mill River Road, North 31 degrees 19 minutes 17 seconds East 52.17 feet to the intersection of a 185 foot radius curve, to which intersection a radial line bears South 05 degrees 46 minutes 57 seconds West;</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THENCE Easterly along said Southerly boundary line of the ramp along said 185.00 foot radius curve deflecting to the left through a central angle of 53 degrees 28 minutes 04 seconds, an arc distance of 172.64 feet;</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THENCE continuing along said Southerly boundary line of the ramp North 42 degrees 18 minutes 53 seconds East 80.44 feet to a point on the aforesaid Westerly boundary line of the Saw Mill River Road;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316" w:gutter="0" w:footer="0" w:header="0"/>
        </w:sectPr>
      </w:pPr>
    </w:p>
    <w:bookmarkStart w:id="130" w:name="page131"/>
    <w:bookmarkEnd w:id="130"/>
    <w:p>
      <w:pPr>
        <w:ind w:right="140"/>
        <w:spacing w:after="0" w:line="277" w:lineRule="auto"/>
        <w:rPr>
          <w:sz w:val="20"/>
          <w:szCs w:val="20"/>
          <w:color w:val="auto"/>
        </w:rPr>
      </w:pPr>
      <w:r>
        <w:rPr>
          <w:rFonts w:ascii="Arial" w:cs="Arial" w:eastAsia="Arial" w:hAnsi="Arial"/>
          <w:sz w:val="18"/>
          <w:szCs w:val="18"/>
          <w:color w:val="auto"/>
        </w:rPr>
        <w:t>THENCE Southerly along said Westerly boundary line of the Saw Mill River Road, South 05 degrees 38 minutes 30 seconds East 277.85 feet and South 06 degrees 07 minutes 00 seconds East 62.61 feet to the point or place of BEGINNING.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116.15, Block 1, Lots 5 &amp;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above property has street addresses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735 Old Saw Mill River Road (Building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Old Saw Mill River Road (Building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755 Old Saw Mill River Road (Building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763 Old Saw Mill River Road (Power Station);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765 &amp; 777 Old Saw Mill River Road (Buildings 1, 3 and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767 Old Saw Mill River Road (Building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769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771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785 Old Saw Mill River Road (Building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795 Old Saw Mill River Road (Building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799 Old Saw Mill River Road (Parking Garage);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 in Tarrytown, New York 10591;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Saw Mill River Road (Home Depot), Hawthorne, New York 10532.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EXHIBIT C</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TO LEASE</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OF SUBORDINATION, NON-DISTURBANCE AND ATTORNMENT AGREEMENT</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Recording requested by,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after recording, return 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Philip M. J. Edison,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Chapman and Cutler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111 West Monroe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60603-4080</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SUBORDINATION, NONDISTURBANCE AND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ATTORNMENT AGREEMENT</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9640" w:type="dxa"/>
            <w:vAlign w:val="bottom"/>
          </w:tcPr>
          <w:p>
            <w:pPr>
              <w:spacing w:after="0"/>
              <w:rPr>
                <w:sz w:val="20"/>
                <w:szCs w:val="20"/>
                <w:color w:val="auto"/>
              </w:rPr>
            </w:pPr>
            <w:r>
              <w:rPr>
                <w:rFonts w:ascii="Arial" w:cs="Arial" w:eastAsia="Arial" w:hAnsi="Arial"/>
                <w:sz w:val="18"/>
                <w:szCs w:val="18"/>
                <w:color w:val="auto"/>
                <w:w w:val="98"/>
              </w:rPr>
              <w:t>This SUBORDINATION, NONDISTURBANCE AND ATTORNMENT AGREEMENT (this “</w:t>
            </w:r>
            <w:r>
              <w:rPr>
                <w:rFonts w:ascii="Arial" w:cs="Arial" w:eastAsia="Arial" w:hAnsi="Arial"/>
                <w:sz w:val="18"/>
                <w:szCs w:val="18"/>
                <w:i w:val="1"/>
                <w:iCs w:val="1"/>
                <w:color w:val="auto"/>
                <w:w w:val="98"/>
              </w:rPr>
              <w:t>Agreement</w:t>
            </w:r>
            <w:r>
              <w:rPr>
                <w:rFonts w:ascii="Arial" w:cs="Arial" w:eastAsia="Arial" w:hAnsi="Arial"/>
                <w:sz w:val="18"/>
                <w:szCs w:val="18"/>
                <w:color w:val="auto"/>
                <w:w w:val="98"/>
              </w:rPr>
              <w:t>”) is entered into as of</w:t>
            </w:r>
          </w:p>
        </w:tc>
        <w:tc>
          <w:tcPr>
            <w:tcW w:w="1020" w:type="dxa"/>
            <w:vAlign w:val="bottom"/>
          </w:tcPr>
          <w:p>
            <w:pPr>
              <w:ind w:left="360"/>
              <w:spacing w:after="0"/>
              <w:rPr>
                <w:sz w:val="20"/>
                <w:szCs w:val="20"/>
                <w:color w:val="auto"/>
              </w:rPr>
            </w:pPr>
            <w:r>
              <w:rPr>
                <w:rFonts w:ascii="Arial" w:cs="Arial" w:eastAsia="Arial" w:hAnsi="Arial"/>
                <w:sz w:val="18"/>
                <w:szCs w:val="18"/>
                <w:color w:val="auto"/>
                <w:w w:val="92"/>
              </w:rPr>
              <w:t>, 20  , by</w:t>
            </w:r>
          </w:p>
        </w:tc>
      </w:tr>
    </w:tbl>
    <w:p>
      <w:pPr>
        <w:spacing w:after="0"/>
        <w:rPr>
          <w:sz w:val="20"/>
          <w:szCs w:val="20"/>
          <w:color w:val="auto"/>
        </w:rPr>
      </w:pPr>
      <w:r>
        <w:rPr>
          <w:rFonts w:ascii="Arial" w:cs="Arial" w:eastAsia="Arial" w:hAnsi="Arial"/>
          <w:sz w:val="17"/>
          <w:szCs w:val="17"/>
          <w:color w:val="auto"/>
        </w:rPr>
        <w:t>and among BA LEASING BSC, LLC, as Lessor (the “</w:t>
      </w:r>
      <w:r>
        <w:rPr>
          <w:rFonts w:ascii="Arial" w:cs="Arial" w:eastAsia="Arial" w:hAnsi="Arial"/>
          <w:sz w:val="17"/>
          <w:szCs w:val="17"/>
          <w:i w:val="1"/>
          <w:iCs w:val="1"/>
          <w:color w:val="auto"/>
        </w:rPr>
        <w:t>Lessor</w:t>
      </w:r>
      <w:r>
        <w:rPr>
          <w:rFonts w:ascii="Arial" w:cs="Arial" w:eastAsia="Arial" w:hAnsi="Arial"/>
          <w:sz w:val="17"/>
          <w:szCs w:val="17"/>
          <w:color w:val="auto"/>
        </w:rPr>
        <w:t>”), OLD SAW MILL HOLDINGS LLC, as Lessee (the “</w:t>
      </w:r>
      <w:r>
        <w:rPr>
          <w:rFonts w:ascii="Arial" w:cs="Arial" w:eastAsia="Arial" w:hAnsi="Arial"/>
          <w:sz w:val="17"/>
          <w:szCs w:val="17"/>
          <w:i w:val="1"/>
          <w:iCs w:val="1"/>
          <w:color w:val="auto"/>
        </w:rPr>
        <w:t>Lessee</w:t>
      </w:r>
      <w:r>
        <w:rPr>
          <w:rFonts w:ascii="Arial" w:cs="Arial" w:eastAsia="Arial" w:hAnsi="Arial"/>
          <w:sz w:val="17"/>
          <w:szCs w:val="17"/>
          <w:color w:val="auto"/>
        </w:rPr>
        <w:t>”), BANK OF AMERICA, N.A.,</w:t>
      </w:r>
    </w:p>
    <w:p>
      <w:pPr>
        <w:spacing w:after="0" w:line="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not in its individual capacity but solely as Administrative Agent (the “</w:t>
      </w:r>
      <w:r>
        <w:rPr>
          <w:rFonts w:ascii="Arial" w:cs="Arial" w:eastAsia="Arial" w:hAnsi="Arial"/>
          <w:sz w:val="18"/>
          <w:szCs w:val="18"/>
          <w:i w:val="1"/>
          <w:iCs w:val="1"/>
          <w:color w:val="auto"/>
        </w:rPr>
        <w:t>Administrative Agent</w:t>
      </w:r>
      <w:r>
        <w:rPr>
          <w:rFonts w:ascii="Arial" w:cs="Arial" w:eastAsia="Arial" w:hAnsi="Arial"/>
          <w:sz w:val="18"/>
          <w:szCs w:val="18"/>
          <w:color w:val="auto"/>
        </w:rPr>
        <w:t>”), and [ ], as Subtenant (the “</w:t>
      </w:r>
      <w:r>
        <w:rPr>
          <w:rFonts w:ascii="Arial" w:cs="Arial" w:eastAsia="Arial" w:hAnsi="Arial"/>
          <w:sz w:val="18"/>
          <w:szCs w:val="18"/>
          <w:i w:val="1"/>
          <w:iCs w:val="1"/>
          <w:color w:val="auto"/>
        </w:rPr>
        <w:t>Subtenant</w:t>
      </w:r>
      <w:r>
        <w:rPr>
          <w:rFonts w:ascii="Arial" w:cs="Arial" w:eastAsia="Arial" w:hAnsi="Arial"/>
          <w:sz w:val="18"/>
          <w:szCs w:val="18"/>
          <w:color w:val="auto"/>
        </w:rPr>
        <w:t>”). For all purposes hereof, the capitalized terms used herein and not otherwise defined herein shall have the meanings assigned thereto in Appendix 1 to the Participation Agreement (as such is hereinafter defined); and the rules of interpretation set forth in Appendix 1 to the Participation Agreement shall apply to this Agreement.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020" w:type="dxa"/>
            <w:vAlign w:val="bottom"/>
          </w:tcPr>
          <w:p>
            <w:pPr>
              <w:ind w:left="4560"/>
              <w:spacing w:after="0"/>
              <w:rPr>
                <w:sz w:val="20"/>
                <w:szCs w:val="20"/>
                <w:color w:val="auto"/>
              </w:rPr>
            </w:pPr>
            <w:r>
              <w:rPr>
                <w:rFonts w:ascii="Arial" w:cs="Arial" w:eastAsia="Arial" w:hAnsi="Arial"/>
                <w:sz w:val="18"/>
                <w:szCs w:val="18"/>
                <w:b w:val="1"/>
                <w:bCs w:val="1"/>
                <w:color w:val="auto"/>
              </w:rPr>
              <w:t>RECITALS</w:t>
            </w:r>
          </w:p>
        </w:tc>
        <w:tc>
          <w:tcPr>
            <w:tcW w:w="84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418"/>
        </w:trPr>
        <w:tc>
          <w:tcPr>
            <w:tcW w:w="7560" w:type="dxa"/>
            <w:vAlign w:val="bottom"/>
            <w:gridSpan w:val="3"/>
          </w:tcPr>
          <w:p>
            <w:pPr>
              <w:ind w:left="660"/>
              <w:spacing w:after="0"/>
              <w:rPr>
                <w:sz w:val="20"/>
                <w:szCs w:val="20"/>
                <w:color w:val="auto"/>
              </w:rPr>
            </w:pPr>
            <w:r>
              <w:rPr>
                <w:rFonts w:ascii="Arial" w:cs="Arial" w:eastAsia="Arial" w:hAnsi="Arial"/>
                <w:sz w:val="18"/>
                <w:szCs w:val="18"/>
                <w:color w:val="auto"/>
                <w:w w:val="89"/>
              </w:rPr>
              <w:t>WHEREAS, Lessee and Subtenant have entered into that certain [lease agreement], dated as of</w:t>
            </w:r>
          </w:p>
        </w:tc>
        <w:tc>
          <w:tcPr>
            <w:tcW w:w="3500" w:type="dxa"/>
            <w:vAlign w:val="bottom"/>
          </w:tcPr>
          <w:p>
            <w:pPr>
              <w:ind w:left="660"/>
              <w:spacing w:after="0"/>
              <w:rPr>
                <w:sz w:val="20"/>
                <w:szCs w:val="20"/>
                <w:color w:val="auto"/>
              </w:rPr>
            </w:pPr>
            <w:r>
              <w:rPr>
                <w:rFonts w:ascii="Arial" w:cs="Arial" w:eastAsia="Arial" w:hAnsi="Arial"/>
                <w:sz w:val="18"/>
                <w:szCs w:val="18"/>
                <w:color w:val="auto"/>
                <w:w w:val="92"/>
              </w:rPr>
              <w:t>, 20  (the “</w:t>
            </w:r>
            <w:r>
              <w:rPr>
                <w:rFonts w:ascii="Arial" w:cs="Arial" w:eastAsia="Arial" w:hAnsi="Arial"/>
                <w:sz w:val="18"/>
                <w:szCs w:val="18"/>
                <w:i w:val="1"/>
                <w:iCs w:val="1"/>
                <w:color w:val="auto"/>
                <w:w w:val="92"/>
              </w:rPr>
              <w:t>Sublease</w:t>
            </w:r>
            <w:r>
              <w:rPr>
                <w:rFonts w:ascii="Arial" w:cs="Arial" w:eastAsia="Arial" w:hAnsi="Arial"/>
                <w:sz w:val="18"/>
                <w:szCs w:val="18"/>
                <w:color w:val="auto"/>
                <w:w w:val="92"/>
              </w:rPr>
              <w:t>”), covering certain</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w w:val="97"/>
              </w:rPr>
              <w:t>premises located at the Property (as defined hereinafter), including, without limitation, [</w:t>
            </w:r>
          </w:p>
        </w:tc>
        <w:tc>
          <w:tcPr>
            <w:tcW w:w="8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3500" w:type="dxa"/>
            <w:vAlign w:val="bottom"/>
          </w:tcPr>
          <w:p>
            <w:pPr>
              <w:ind w:left="40"/>
              <w:spacing w:after="0"/>
              <w:rPr>
                <w:sz w:val="20"/>
                <w:szCs w:val="20"/>
                <w:color w:val="auto"/>
              </w:rPr>
            </w:pPr>
            <w:r>
              <w:rPr>
                <w:rFonts w:ascii="Arial" w:cs="Arial" w:eastAsia="Arial" w:hAnsi="Arial"/>
                <w:sz w:val="18"/>
                <w:szCs w:val="18"/>
                <w:color w:val="auto"/>
                <w:w w:val="95"/>
              </w:rPr>
              <w:t>](1), New York. The “</w:t>
            </w:r>
            <w:r>
              <w:rPr>
                <w:rFonts w:ascii="Arial" w:cs="Arial" w:eastAsia="Arial" w:hAnsi="Arial"/>
                <w:sz w:val="18"/>
                <w:szCs w:val="18"/>
                <w:i w:val="1"/>
                <w:iCs w:val="1"/>
                <w:color w:val="auto"/>
                <w:w w:val="95"/>
              </w:rPr>
              <w:t>Property</w:t>
            </w:r>
            <w:r>
              <w:rPr>
                <w:rFonts w:ascii="Arial" w:cs="Arial" w:eastAsia="Arial" w:hAnsi="Arial"/>
                <w:sz w:val="18"/>
                <w:szCs w:val="18"/>
                <w:color w:val="auto"/>
                <w:w w:val="95"/>
              </w:rPr>
              <w:t>” is described in</w:t>
            </w:r>
          </w:p>
        </w:tc>
      </w:tr>
      <w:tr>
        <w:trPr>
          <w:trHeight w:val="190"/>
        </w:trPr>
        <w:tc>
          <w:tcPr>
            <w:tcW w:w="6720" w:type="dxa"/>
            <w:vAlign w:val="bottom"/>
            <w:gridSpan w:val="2"/>
          </w:tcPr>
          <w:p>
            <w:pPr>
              <w:spacing w:after="0" w:line="190" w:lineRule="exact"/>
              <w:rPr>
                <w:sz w:val="20"/>
                <w:szCs w:val="20"/>
                <w:color w:val="auto"/>
              </w:rPr>
            </w:pPr>
            <w:r>
              <w:rPr>
                <w:rFonts w:ascii="Arial" w:cs="Arial" w:eastAsia="Arial" w:hAnsi="Arial"/>
                <w:sz w:val="18"/>
                <w:szCs w:val="18"/>
                <w:color w:val="auto"/>
              </w:rPr>
              <w:t>Exhibit A attached hereto and incorporated herein.</w:t>
            </w:r>
          </w:p>
        </w:tc>
        <w:tc>
          <w:tcPr>
            <w:tcW w:w="840" w:type="dxa"/>
            <w:vAlign w:val="bottom"/>
          </w:tcPr>
          <w:p>
            <w:pPr>
              <w:spacing w:after="0"/>
              <w:rPr>
                <w:sz w:val="16"/>
                <w:szCs w:val="16"/>
                <w:color w:val="auto"/>
              </w:rPr>
            </w:pPr>
          </w:p>
        </w:tc>
        <w:tc>
          <w:tcPr>
            <w:tcW w:w="3500" w:type="dxa"/>
            <w:vAlign w:val="bottom"/>
          </w:tcPr>
          <w:p>
            <w:pPr>
              <w:spacing w:after="0"/>
              <w:rPr>
                <w:sz w:val="16"/>
                <w:szCs w:val="16"/>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Lessee, Lessor, the Administrative Agent, and the financial institutions listed on Schedule II thereto, as Lenders have entered into</w:t>
      </w:r>
    </w:p>
    <w:p>
      <w:pPr>
        <w:spacing w:after="0" w:line="35" w:lineRule="exact"/>
        <w:rPr>
          <w:sz w:val="20"/>
          <w:szCs w:val="20"/>
          <w:color w:val="auto"/>
        </w:rPr>
      </w:pPr>
    </w:p>
    <w:p>
      <w:pPr>
        <w:ind w:right="60" w:firstLine="8"/>
        <w:spacing w:after="0" w:line="290" w:lineRule="auto"/>
        <w:tabs>
          <w:tab w:leader="none" w:pos="215" w:val="left"/>
        </w:tabs>
        <w:numPr>
          <w:ilvl w:val="0"/>
          <w:numId w:val="274"/>
        </w:numPr>
        <w:rPr>
          <w:rFonts w:ascii="Arial" w:cs="Arial" w:eastAsia="Arial" w:hAnsi="Arial"/>
          <w:sz w:val="17"/>
          <w:szCs w:val="17"/>
          <w:color w:val="auto"/>
        </w:rPr>
      </w:pPr>
      <w:r>
        <w:rPr>
          <w:rFonts w:ascii="Arial" w:cs="Arial" w:eastAsia="Arial" w:hAnsi="Arial"/>
          <w:sz w:val="17"/>
          <w:szCs w:val="17"/>
          <w:color w:val="auto"/>
        </w:rPr>
        <w:t xml:space="preserve">that certain Participation Agreement, dated as of March 3, 2017 (as amended, supplemented or otherwise modified from time to time pursuant thereto, the </w:t>
      </w:r>
      <w:r>
        <w:rPr>
          <w:rFonts w:ascii="Arial" w:cs="Arial" w:eastAsia="Arial" w:hAnsi="Arial"/>
          <w:sz w:val="17"/>
          <w:szCs w:val="17"/>
          <w:i w:val="1"/>
          <w:iCs w:val="1"/>
          <w:color w:val="auto"/>
        </w:rPr>
        <w:t>“Participation Agreement”</w:t>
      </w:r>
      <w:r>
        <w:rPr>
          <w:rFonts w:ascii="Arial" w:cs="Arial" w:eastAsia="Arial" w:hAnsi="Arial"/>
          <w:sz w:val="17"/>
          <w:szCs w:val="17"/>
          <w:color w:val="auto"/>
        </w:rPr>
        <w:t>) and (ii) other Operative Documents for the purpose of providing financing to fund Participant Costs.</w:t>
      </w:r>
    </w:p>
    <w:p>
      <w:pPr>
        <w:spacing w:after="0" w:line="16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WHEREAS, pursuant to the Loan Agreement, dated as of March 3, 2017 (the </w:t>
      </w:r>
      <w:r>
        <w:rPr>
          <w:rFonts w:ascii="Arial" w:cs="Arial" w:eastAsia="Arial" w:hAnsi="Arial"/>
          <w:sz w:val="18"/>
          <w:szCs w:val="18"/>
          <w:i w:val="1"/>
          <w:iCs w:val="1"/>
          <w:color w:val="auto"/>
        </w:rPr>
        <w:t>“Loan Agreement”</w:t>
      </w:r>
      <w:r>
        <w:rPr>
          <w:rFonts w:ascii="Arial" w:cs="Arial" w:eastAsia="Arial" w:hAnsi="Arial"/>
          <w:sz w:val="18"/>
          <w:szCs w:val="18"/>
          <w:color w:val="auto"/>
        </w:rPr>
        <w:t>), among Lessor, the Administrative Agent and the Lenders party thereto, the Lenders have severally agreed to make Loans to Lessor in an aggregate amount not to exceed $648,000,000 upon the terms and subject to the conditions set forth therein and the other Operative Documents, to be evidenced by notes issued by Lessor from time to time under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182689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(1) Insert street address.</w:t>
      </w:r>
    </w:p>
    <w:p>
      <w:pPr>
        <w:sectPr>
          <w:pgSz w:w="11900" w:h="16838" w:orient="portrait"/>
          <w:cols w:equalWidth="0" w:num="1">
            <w:col w:w="11360"/>
          </w:cols>
          <w:pgMar w:left="240" w:top="125" w:right="299" w:bottom="0" w:gutter="0" w:footer="0" w:header="0"/>
        </w:sect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0" w:gutter="0" w:footer="0" w:header="0"/>
          <w:type w:val="continuous"/>
        </w:sectPr>
      </w:pPr>
    </w:p>
    <w:bookmarkStart w:id="131" w:name="page132"/>
    <w:bookmarkEnd w:id="131"/>
    <w:p>
      <w:pPr>
        <w:ind w:right="40" w:firstLine="648"/>
        <w:spacing w:after="0" w:line="308" w:lineRule="auto"/>
        <w:rPr>
          <w:sz w:val="20"/>
          <w:szCs w:val="20"/>
          <w:color w:val="auto"/>
        </w:rPr>
      </w:pPr>
      <w:r>
        <w:rPr>
          <w:rFonts w:ascii="Arial" w:cs="Arial" w:eastAsia="Arial" w:hAnsi="Arial"/>
          <w:sz w:val="17"/>
          <w:szCs w:val="17"/>
          <w:color w:val="auto"/>
        </w:rPr>
        <w:t xml:space="preserve">WHEREAS, pursuant to the Participation Agreement, Lessor has agreed to fund an aggregate amount not to exceed $72,000,000 upon the terms and subject to the conditions set forth therein. The Lenders and Lessor are sometimes hereinafter collectively referred to as the </w:t>
      </w:r>
      <w:r>
        <w:rPr>
          <w:rFonts w:ascii="Arial" w:cs="Arial" w:eastAsia="Arial" w:hAnsi="Arial"/>
          <w:sz w:val="17"/>
          <w:szCs w:val="17"/>
          <w:i w:val="1"/>
          <w:iCs w:val="1"/>
          <w:color w:val="auto"/>
        </w:rPr>
        <w:t>“Participants.”</w:t>
      </w:r>
    </w:p>
    <w:p>
      <w:pPr>
        <w:spacing w:after="0" w:line="147" w:lineRule="exact"/>
        <w:rPr>
          <w:sz w:val="20"/>
          <w:szCs w:val="20"/>
          <w:color w:val="auto"/>
        </w:rPr>
      </w:pPr>
    </w:p>
    <w:p>
      <w:pPr>
        <w:jc w:val="both"/>
        <w:ind w:right="140" w:firstLine="648"/>
        <w:spacing w:after="0" w:line="291" w:lineRule="auto"/>
        <w:rPr>
          <w:sz w:val="20"/>
          <w:szCs w:val="20"/>
          <w:color w:val="auto"/>
        </w:rPr>
      </w:pPr>
      <w:r>
        <w:rPr>
          <w:rFonts w:ascii="Arial" w:cs="Arial" w:eastAsia="Arial" w:hAnsi="Arial"/>
          <w:sz w:val="16"/>
          <w:szCs w:val="16"/>
          <w:color w:val="auto"/>
        </w:rPr>
        <w:t>WHEREAS, Lessor will use the amounts funded by the Participants to finance Participant Costs, and Lessor will hold a fee interest in and to the Property subject to the rights of Lessee under the Lease and Remedies Agreement, dated as of March 3, 2017, between Lessee and Lessor (the “</w:t>
      </w:r>
      <w:r>
        <w:rPr>
          <w:rFonts w:ascii="Arial" w:cs="Arial" w:eastAsia="Arial" w:hAnsi="Arial"/>
          <w:sz w:val="16"/>
          <w:szCs w:val="16"/>
          <w:i w:val="1"/>
          <w:iCs w:val="1"/>
          <w:color w:val="auto"/>
        </w:rPr>
        <w:t>Lease</w:t>
      </w:r>
      <w:r>
        <w:rPr>
          <w:rFonts w:ascii="Arial" w:cs="Arial" w:eastAsia="Arial" w:hAnsi="Arial"/>
          <w:sz w:val="16"/>
          <w:szCs w:val="16"/>
          <w:color w:val="auto"/>
        </w:rPr>
        <w:t>”), the</w:t>
      </w:r>
    </w:p>
    <w:p>
      <w:pPr>
        <w:jc w:val="both"/>
        <w:ind w:right="140"/>
        <w:spacing w:after="0" w:line="255" w:lineRule="auto"/>
        <w:rPr>
          <w:sz w:val="20"/>
          <w:szCs w:val="20"/>
          <w:color w:val="auto"/>
        </w:rPr>
      </w:pPr>
      <w:r>
        <w:rPr>
          <w:rFonts w:ascii="Arial" w:cs="Arial" w:eastAsia="Arial" w:hAnsi="Arial"/>
          <w:sz w:val="18"/>
          <w:szCs w:val="18"/>
          <w:color w:val="auto"/>
        </w:rPr>
        <w:t xml:space="preserve">Memorandum of Lease dated as of March 3, 2017 [and recorded on [ ], 2017 in the Register’s Office of Westchester County, New York], and the other Operative Documents, to secure Lessee’s payment and performance under the Operative Documents. The Lease and Memorandum of Lease are sometimes hereinafter collectively referred to as the </w:t>
      </w:r>
      <w:r>
        <w:rPr>
          <w:rFonts w:ascii="Arial" w:cs="Arial" w:eastAsia="Arial" w:hAnsi="Arial"/>
          <w:sz w:val="18"/>
          <w:szCs w:val="18"/>
          <w:i w:val="1"/>
          <w:iCs w:val="1"/>
          <w:color w:val="auto"/>
        </w:rPr>
        <w:t>“Lease Documents.”</w:t>
      </w:r>
    </w:p>
    <w:p>
      <w:pPr>
        <w:spacing w:after="0" w:line="190"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WHEREAS, as set forth in the Participation Agreement and pursuant to the Lease Documents, Lessor has agreed to lease to Lessee and Lessee has agreed to lease from Lessor the Leased Property, and where Lessee has agreed, in the Lease Documents, to grant certain liens on the Leased Property for the benefit of Lessor, and Lessee has executed and delivered the Lease Documents and certain other Operative Documents.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Administrative Agent is the mortgagee under that certain Amended, Restated and Consolidated Mortgage, Assignment of Leases and</w:t>
      </w:r>
    </w:p>
    <w:p>
      <w:pPr>
        <w:spacing w:after="0" w:line="4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Security Agreement (“</w:t>
      </w:r>
      <w:r>
        <w:rPr>
          <w:rFonts w:ascii="Arial" w:cs="Arial" w:eastAsia="Arial" w:hAnsi="Arial"/>
          <w:sz w:val="18"/>
          <w:szCs w:val="18"/>
          <w:i w:val="1"/>
          <w:iCs w:val="1"/>
          <w:color w:val="auto"/>
        </w:rPr>
        <w:t>Mortgage</w:t>
      </w:r>
      <w:r>
        <w:rPr>
          <w:rFonts w:ascii="Arial" w:cs="Arial" w:eastAsia="Arial" w:hAnsi="Arial"/>
          <w:sz w:val="18"/>
          <w:szCs w:val="18"/>
          <w:color w:val="auto"/>
        </w:rPr>
        <w:t>”), dated as of March 3, 2017, [and recorded on [ ], 2017 as Instrument No. in the Register’s Office of Westchester County, New York,] encumbering the Property. The Mortgage secures certain obligations to the Administrative Agent and Participants as more particularly described therein (the “</w:t>
      </w:r>
      <w:r>
        <w:rPr>
          <w:rFonts w:ascii="Arial" w:cs="Arial" w:eastAsia="Arial" w:hAnsi="Arial"/>
          <w:sz w:val="18"/>
          <w:szCs w:val="18"/>
          <w:i w:val="1"/>
          <w:iCs w:val="1"/>
          <w:color w:val="auto"/>
        </w:rPr>
        <w:t>Secured Obligations</w:t>
      </w:r>
      <w:r>
        <w:rPr>
          <w:rFonts w:ascii="Arial" w:cs="Arial" w:eastAsia="Arial" w:hAnsi="Arial"/>
          <w:sz w:val="18"/>
          <w:szCs w:val="18"/>
          <w:color w:val="auto"/>
        </w:rPr>
        <w:t>”).</w:t>
      </w:r>
    </w:p>
    <w:p>
      <w:pPr>
        <w:spacing w:after="0" w:line="19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Whereas, on the terms and conditions in this Agreement, the parties desire to subordinate Subtenant’s leasehold interest in the Property to the Lease and lien of the Mortgage and to assure Subtenant possession of the Property for the entire term of the Sublease, even though Administrative Agent may foreclose the lien of the Mortgage before expiration of the Sublease.</w:t>
      </w:r>
    </w:p>
    <w:p>
      <w:pPr>
        <w:spacing w:after="0" w:line="181"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Therefore, in consideration of the mutual covenants and agreements contained in this Agreement, the parties agree as follows: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 SUBORDINATION.</w:t>
      </w:r>
    </w:p>
    <w:p>
      <w:pPr>
        <w:spacing w:after="0" w:line="229"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The Sublease, the leasehold estate created thereby, and all rights and privileges of Subtenant thereunder shall be subject and subordinate to the Lease and lien of the Mortgage and to any renewals, modifications, consolidations, replacements, amendments, restatements and extensions of the Lease and Mortgage to the full extent of the obligations now or hereafter secured by the Mortgage.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2. NONDISTURBANCE.</w:t>
      </w:r>
    </w:p>
    <w:p>
      <w:pPr>
        <w:spacing w:after="0" w:line="229" w:lineRule="exact"/>
        <w:rPr>
          <w:sz w:val="20"/>
          <w:szCs w:val="20"/>
          <w:color w:val="auto"/>
        </w:rPr>
      </w:pPr>
    </w:p>
    <w:p>
      <w:pPr>
        <w:ind w:right="60" w:firstLine="1297"/>
        <w:spacing w:after="0" w:line="288" w:lineRule="auto"/>
        <w:rPr>
          <w:sz w:val="20"/>
          <w:szCs w:val="20"/>
          <w:color w:val="auto"/>
        </w:rPr>
      </w:pPr>
      <w:r>
        <w:rPr>
          <w:rFonts w:ascii="Arial" w:cs="Arial" w:eastAsia="Arial" w:hAnsi="Arial"/>
          <w:sz w:val="16"/>
          <w:szCs w:val="16"/>
          <w:color w:val="auto"/>
        </w:rPr>
        <w:t>So long as no event of default by Subtenant has occurred and is continuing under the Sublease, beyond any period given to Subtenant to cure a default, in the payment of rent or in the performance of any of the terms, covenants, or conditions of the Sublease, Subtenant’s possession of the Property and Subtenant’s rights and privileges under the Sublease, including any extensions or renewals, shall not be diminished or interfered with by Lessor or Administrative Agent during the term of the Sublease or any extensions or renewals. So long as no event of default by Subtenant has occurred and is continuing under the Sublease, beyond any period given Subtenant to cure such default, in the payment of rent or in the performance of any of the terms, covenants, or conditions of the Sublease, Lessor and Administrative Agent will not join Subtenant as a party for the purpose of terminating or otherwise affecting Subtenant’s interest under the Sublease, in any action of foreclosure or other proceeding brought by Lessor or Administrative Agent to enforce any rights arising because of any default under the Lease or Mortgage. Lessor and Administrative Agent may, however, join Subtenant as a party if joinder is necessary under any statute or law to secure the remedies available to Lessor or Administrative Agent under the Lease or Mortgage, but joinder shall be for that purpose only and not for the purpose of terminating the Sublease or affecting Subtenant’s right to possession of the Property.</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3. ATTORNMENT.</w:t>
      </w:r>
    </w:p>
    <w:p>
      <w:pPr>
        <w:spacing w:after="0" w:line="229"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If the Lessee’s interest is transferred to and owned by Lessor, Administrative Agent or any successor of Lessor or Administrative Agent (“</w:t>
      </w:r>
      <w:r>
        <w:rPr>
          <w:rFonts w:ascii="Arial" w:cs="Arial" w:eastAsia="Arial" w:hAnsi="Arial"/>
          <w:sz w:val="17"/>
          <w:szCs w:val="17"/>
          <w:i w:val="1"/>
          <w:iCs w:val="1"/>
          <w:color w:val="auto"/>
        </w:rPr>
        <w:t>Acquiring Party</w:t>
      </w:r>
      <w:r>
        <w:rPr>
          <w:rFonts w:ascii="Arial" w:cs="Arial" w:eastAsia="Arial" w:hAnsi="Arial"/>
          <w:sz w:val="17"/>
          <w:szCs w:val="17"/>
          <w:color w:val="auto"/>
        </w:rPr>
        <w:t>”) because of foreclosure or other proceedings brought by Lessor or Administrative Agent, or by any other manner, and Lessor or Administrative Agent succeeds to Lessee’s interest under the Sublease, Subtenant shall be bound to the Acquiring Party, and Acquiring Party shall be bound to Subtenant under all of the terms, covenants and conditions of the Sublease for the balance of the remaining term, including any extensions or renewals, with the same effect as if Acquiring Party were Lessee under the Sublease. Subtenant agrees to attorn to Acquiring Party as the Lessee, with the attornment being effective and self-operative immediately upon Acquiring Party succeeding to the interest of Lessee under the Sublease, all without the execution by the parties of any further instruments. However, Subtenant shall not be obligated to pay rent to Acquiring Party until Subtenant receives written notice from Acquiring Party, together with evidence satisfactory to Subtenant, demonstrating that Acquiring Party has succeeded to Lessee’s interest under the Sublease and directing where rent should be mailed. The respective rights and obligations of Subtenant and Acquiring Party upon attornment, to the extent of the then-remaining balance of the term of the Sublease, shall be the same as in the Sublease, which is incorporated by reference in this Agreement. If Acquiring Party succeeds to Lessee’s interest in the Sublease, Acquiring Party shall be bound to Subtenant under all the terms, covenants and conditions of the Sublease, and Subtenant shall, after Acquiring Party’s succession to Lessee’s interest, have the same remedies against Acquiring Party for the breach of any agreement in the Sublease that Subtenant might have had against Lessee. The Acquiring Party shall have no obligation or liability to Subtenant for any obligations of Lessee under the terms of the Sublease which were owed or accruing prior to the date the Acquiring Party acquired Lessee’s interest, including without limitation, for acts or omissions of the Lessee, any default by the Lessee, offsets or defenses against the Lessee, advance rent, the refunding of any security deposit for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which the Acquiring Party has not received, the funding of any construction obligations or tenant improvements.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4. SUBTENANT ESTOPPEL CERTIFICATE.</w:t>
      </w:r>
    </w:p>
    <w:p>
      <w:pPr>
        <w:sectPr>
          <w:pgSz w:w="11900" w:h="16838" w:orient="portrait"/>
          <w:cols w:equalWidth="0" w:num="1">
            <w:col w:w="11380"/>
          </w:cols>
          <w:pgMar w:left="240" w:top="584" w:right="279" w:bottom="0" w:gutter="0" w:footer="0" w:header="0"/>
        </w:sectPr>
      </w:pPr>
    </w:p>
    <w:bookmarkStart w:id="132" w:name="page133"/>
    <w:bookmarkEnd w:id="132"/>
    <w:p>
      <w:pPr>
        <w:ind w:right="80" w:firstLine="648"/>
        <w:spacing w:after="0" w:line="302" w:lineRule="auto"/>
        <w:rPr>
          <w:sz w:val="20"/>
          <w:szCs w:val="20"/>
          <w:color w:val="auto"/>
        </w:rPr>
      </w:pPr>
      <w:r>
        <w:rPr>
          <w:rFonts w:ascii="Arial" w:cs="Arial" w:eastAsia="Arial" w:hAnsi="Arial"/>
          <w:sz w:val="16"/>
          <w:szCs w:val="16"/>
          <w:color w:val="auto"/>
        </w:rPr>
        <w:t>Within ten (10) business days after Lessor’s or Administrative Agent’s request, Subtenant shall deliver to Lessor or Administrative Agent, as applicable, and to any person designated by Lessor or Administrative Agent, estoppel certificates executed by Subtenant, certifying (if such is the case) that the Sublease is in full force and effect, that there are no defenses or offsets outstanding under the Sublease (or stating those claimed by Subtenant, as the case may be) and such other information about Subtenant or the Sublease as Lessor or Administrative Agent may reasonably request.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5. SUBTENANT’S PURCHASE OPTION.</w:t>
      </w:r>
    </w:p>
    <w:p>
      <w:pPr>
        <w:spacing w:after="0" w:line="229" w:lineRule="exact"/>
        <w:rPr>
          <w:sz w:val="20"/>
          <w:szCs w:val="20"/>
          <w:color w:val="auto"/>
        </w:rPr>
      </w:pPr>
    </w:p>
    <w:p>
      <w:pPr>
        <w:ind w:right="60" w:firstLine="1297"/>
        <w:spacing w:after="0" w:line="302" w:lineRule="auto"/>
        <w:rPr>
          <w:sz w:val="20"/>
          <w:szCs w:val="20"/>
          <w:color w:val="auto"/>
        </w:rPr>
      </w:pPr>
      <w:r>
        <w:rPr>
          <w:rFonts w:ascii="Arial" w:cs="Arial" w:eastAsia="Arial" w:hAnsi="Arial"/>
          <w:sz w:val="16"/>
          <w:szCs w:val="16"/>
          <w:color w:val="auto"/>
        </w:rPr>
        <w:t>The lien of the Mortgage shall unconditionally be and remain at all times a lien on the Property prior and superior to any existing or future option or right of first refusal of Subtenant to purchase the Property or any portion thereof. In the event of any transfer of Lessee’s interest in the Property by foreclosure or other action or proceeding for the enforcement of the Mortgage or by deed in lieu thereof, Subtenant specifically waives any right, whether arising out of the Sublease or otherwise, to exercise any purchase option or right of first refusal which remains unexercised at the time of such transfer.</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6. NO CHANGE IN SUBLEASE.</w:t>
      </w:r>
    </w:p>
    <w:p>
      <w:pPr>
        <w:spacing w:after="0" w:line="229"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Lessee and Subtenant agree not to change, alter, amend or otherwise modify the Sublease without the prior written consent of Lessor. Any change, alteration, amendment, or other modification to the Sublease without the prior written consent Lessor shall be void as to Lessor and Administrative Agent.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7. NOTICES.</w:t>
      </w:r>
    </w:p>
    <w:p>
      <w:pPr>
        <w:spacing w:after="0" w:line="22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In this Agreement, wherever it is required or permitted that notice and demand be given by any party to another party, that notice or demand shall be given in writing and forwarded by certified mail, addressed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Subtenant:</w:t>
      </w:r>
    </w:p>
    <w:p>
      <w:pPr>
        <w:sectPr>
          <w:pgSz w:w="11900" w:h="16838" w:orient="portrait"/>
          <w:cols w:equalWidth="0" w:num="1">
            <w:col w:w="11400"/>
          </w:cols>
          <w:pgMar w:left="240" w:top="34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For Lessee: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Old Saw Mill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777 Old Saw Mill River Road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Tarrytown, New York 10591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Attention: General Counsel</w:t>
      </w:r>
    </w:p>
    <w:p>
      <w:pPr>
        <w:spacing w:after="0" w:line="200" w:lineRule="exact"/>
        <w:rPr>
          <w:sz w:val="20"/>
          <w:szCs w:val="20"/>
          <w:color w:val="auto"/>
        </w:rPr>
      </w:pPr>
    </w:p>
    <w:p>
      <w:pPr>
        <w:sectPr>
          <w:pgSz w:w="11900" w:h="16838" w:orient="portrait"/>
          <w:cols w:equalWidth="0" w:num="2">
            <w:col w:w="1880" w:space="720"/>
            <w:col w:w="8800"/>
          </w:cols>
          <w:pgMar w:left="240" w:top="341" w:right="259" w:bottom="0" w:gutter="0" w:footer="0" w:header="0"/>
          <w:type w:val="continuous"/>
        </w:sectPr>
      </w:pPr>
    </w:p>
    <w:p>
      <w:pPr>
        <w:spacing w:after="0" w:line="22"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and:</w:t>
      </w:r>
    </w:p>
    <w:p>
      <w:pPr>
        <w:sectPr>
          <w:pgSz w:w="11900" w:h="16838" w:orient="portrait"/>
          <w:cols w:equalWidth="0" w:num="1">
            <w:col w:w="11400"/>
          </w:cols>
          <w:pgMar w:left="240" w:top="341" w:right="259" w:bottom="0" w:gutter="0" w:footer="0" w:header="0"/>
          <w:type w:val="continuous"/>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Old Saw Mill Holdings LLC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Vice President, Facilities</w:t>
      </w:r>
    </w:p>
    <w:p>
      <w:pPr>
        <w:sectPr>
          <w:pgSz w:w="11900" w:h="16838" w:orient="portrait"/>
          <w:cols w:equalWidth="0" w:num="1">
            <w:col w:w="11400"/>
          </w:cols>
          <w:pgMar w:left="240" w:top="341" w:right="259" w:bottom="0" w:gutter="0" w:footer="0" w:header="0"/>
          <w:type w:val="continuous"/>
        </w:sect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Lessor:</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 Leasing BSC,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11333 McCormick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Mailcode: MD5-032-07-05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Hunt Valley, Maryland 21031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Operations</w:t>
      </w:r>
    </w:p>
    <w:p>
      <w:pPr>
        <w:spacing w:after="0" w:line="200" w:lineRule="exact"/>
        <w:rPr>
          <w:sz w:val="20"/>
          <w:szCs w:val="20"/>
          <w:color w:val="auto"/>
        </w:rPr>
      </w:pPr>
    </w:p>
    <w:p>
      <w:pPr>
        <w:sectPr>
          <w:pgSz w:w="11900" w:h="16838" w:orient="portrait"/>
          <w:cols w:equalWidth="0" w:num="2">
            <w:col w:w="1880" w:space="720"/>
            <w:col w:w="8800"/>
          </w:cols>
          <w:pgMar w:left="240" w:top="341" w:right="259" w:bottom="0" w:gutter="0" w:footer="0" w:header="0"/>
          <w:type w:val="continuous"/>
        </w:sectPr>
      </w:pPr>
    </w:p>
    <w:p>
      <w:pPr>
        <w:spacing w:after="0" w:line="11"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For Administrative Agent:</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555 California Street, Fourth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94104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Aamir Saleem, Vice President, Agency Management</w:t>
      </w:r>
    </w:p>
    <w:p>
      <w:pPr>
        <w:spacing w:after="0" w:line="200" w:lineRule="exact"/>
        <w:rPr>
          <w:sz w:val="20"/>
          <w:szCs w:val="20"/>
          <w:color w:val="auto"/>
        </w:rPr>
      </w:pPr>
    </w:p>
    <w:p>
      <w:pPr>
        <w:sectPr>
          <w:pgSz w:w="11900" w:h="16838" w:orient="portrait"/>
          <w:cols w:equalWidth="0" w:num="2">
            <w:col w:w="2560" w:space="680"/>
            <w:col w:w="8160"/>
          </w:cols>
          <w:pgMar w:left="240" w:top="341" w:right="259" w:bottom="0" w:gutter="0" w:footer="0" w:header="0"/>
          <w:type w:val="continuous"/>
        </w:sectPr>
      </w:pPr>
    </w:p>
    <w:p>
      <w:pPr>
        <w:spacing w:after="0" w:line="34"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Any party may change an address given for notice by giving written notice of that change by certified mail to all other parties.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8. AUTHORITY.</w:t>
      </w:r>
    </w:p>
    <w:p>
      <w:pPr>
        <w:spacing w:after="0" w:line="229" w:lineRule="exact"/>
        <w:rPr>
          <w:sz w:val="20"/>
          <w:szCs w:val="20"/>
          <w:color w:val="auto"/>
        </w:rPr>
      </w:pPr>
    </w:p>
    <w:p>
      <w:pPr>
        <w:ind w:right="260" w:firstLine="1297"/>
        <w:spacing w:after="0" w:line="312" w:lineRule="auto"/>
        <w:rPr>
          <w:sz w:val="20"/>
          <w:szCs w:val="20"/>
          <w:color w:val="auto"/>
        </w:rPr>
      </w:pPr>
      <w:r>
        <w:rPr>
          <w:rFonts w:ascii="Arial" w:cs="Arial" w:eastAsia="Arial" w:hAnsi="Arial"/>
          <w:sz w:val="16"/>
          <w:szCs w:val="16"/>
          <w:color w:val="auto"/>
        </w:rPr>
        <w:t>If any party is a corporation, limited liability company, or a partnership, all individuals executing this Agreement on behalf of such corporation, limited liability company, or partnership represent and warrant that they are authorized to execute and deliver this Agreement on behalf of the corporation, limited liability company, or partnership and that this Agreement is binding upon such corporation, limited liability company, or partnership.</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 MISCELLANEOUS.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This Agreement may not be modified other than by an agreement in writing signed by the parties or by their respective successors in interest. If any party commences any action against any other party based on this Agreement, the prevailing party shall be entitled to recover reasonable attorney fees, expenses, and costs of suit. This Agreement shall be binding on and inure to the benefit of the parties and their respective heirs, successors and assigns. The headings of this Agreement are for reference only and shall not limit or define any meaning of this Agreement. This Agreement may be executed in one or more counterparts, each of which is an original, but all of which shall constitute one and the same instrument. This Agreement shall be construed in accordance with and governed by New York law.</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41" w:right="259" w:bottom="0" w:gutter="0" w:footer="0" w:header="0"/>
          <w:type w:val="continuous"/>
        </w:sectPr>
      </w:pPr>
    </w:p>
    <w:bookmarkStart w:id="133" w:name="page134"/>
    <w:bookmarkEnd w:id="133"/>
    <w:p>
      <w:pPr>
        <w:ind w:left="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duly executed this Agreement as of the date first above written.</w:t>
      </w:r>
    </w:p>
    <w:p>
      <w:pPr>
        <w:spacing w:after="0" w:line="248" w:lineRule="exact"/>
        <w:rPr>
          <w:sz w:val="20"/>
          <w:szCs w:val="20"/>
          <w:color w:val="auto"/>
        </w:rPr>
      </w:pPr>
    </w:p>
    <w:p>
      <w:pPr>
        <w:spacing w:after="0"/>
        <w:tabs>
          <w:tab w:leader="none" w:pos="3280" w:val="left"/>
        </w:tabs>
        <w:rPr>
          <w:sz w:val="20"/>
          <w:szCs w:val="20"/>
          <w:color w:val="auto"/>
        </w:rPr>
      </w:pPr>
      <w:r>
        <w:rPr>
          <w:rFonts w:ascii="Arial" w:cs="Arial" w:eastAsia="Arial" w:hAnsi="Arial"/>
          <w:sz w:val="18"/>
          <w:szCs w:val="18"/>
          <w:color w:val="auto"/>
        </w:rPr>
        <w:t>SUBTENANT: [</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-130810</wp:posOffset>
            </wp:positionV>
            <wp:extent cx="262445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5715</wp:posOffset>
            </wp:positionV>
            <wp:extent cx="262445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624455" cy="8890"/>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-130810</wp:posOffset>
            </wp:positionV>
            <wp:extent cx="262445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4"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LESSEE:</w:t>
      </w:r>
      <w:r>
        <w:rPr>
          <w:sz w:val="20"/>
          <w:szCs w:val="20"/>
          <w:color w:val="auto"/>
        </w:rPr>
        <w:tab/>
      </w:r>
      <w:r>
        <w:rPr>
          <w:rFonts w:ascii="Arial" w:cs="Arial" w:eastAsia="Arial" w:hAnsi="Arial"/>
          <w:sz w:val="18"/>
          <w:szCs w:val="18"/>
          <w:color w:val="auto"/>
        </w:rPr>
        <w:t>OLD SAW MILL HOLDINGS LLC</w:t>
      </w:r>
    </w:p>
    <w:p>
      <w:pPr>
        <w:spacing w:after="0" w:line="200" w:lineRule="exact"/>
        <w:rPr>
          <w:sz w:val="20"/>
          <w:szCs w:val="20"/>
          <w:color w:val="auto"/>
        </w:rPr>
      </w:pPr>
    </w:p>
    <w:p>
      <w:pPr>
        <w:spacing w:after="0" w:line="24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-130810</wp:posOffset>
            </wp:positionV>
            <wp:extent cx="262445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jc w:val="center"/>
        <w:ind w:right="7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5715</wp:posOffset>
            </wp:positionV>
            <wp:extent cx="262445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624455" cy="8890"/>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-130810</wp:posOffset>
            </wp:positionV>
            <wp:extent cx="262445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4"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LESSOR:</w:t>
      </w:r>
      <w:r>
        <w:rPr>
          <w:sz w:val="20"/>
          <w:szCs w:val="20"/>
          <w:color w:val="auto"/>
        </w:rPr>
        <w:tab/>
      </w:r>
      <w:r>
        <w:rPr>
          <w:rFonts w:ascii="Arial" w:cs="Arial" w:eastAsia="Arial" w:hAnsi="Arial"/>
          <w:sz w:val="18"/>
          <w:szCs w:val="18"/>
          <w:color w:val="auto"/>
        </w:rPr>
        <w:t>BA LEASING BSC, LLC</w:t>
      </w:r>
    </w:p>
    <w:p>
      <w:pPr>
        <w:spacing w:after="0" w:line="200" w:lineRule="exact"/>
        <w:rPr>
          <w:sz w:val="20"/>
          <w:szCs w:val="20"/>
          <w:color w:val="auto"/>
        </w:rPr>
      </w:pPr>
    </w:p>
    <w:p>
      <w:pPr>
        <w:spacing w:after="0" w:line="24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-130810</wp:posOffset>
            </wp:positionV>
            <wp:extent cx="262445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5715</wp:posOffset>
            </wp:positionV>
            <wp:extent cx="262445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624455" cy="8890"/>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-130810</wp:posOffset>
            </wp:positionV>
            <wp:extent cx="262445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ADMINISTRATIVE</w:t>
      </w:r>
    </w:p>
    <w:p>
      <w:pPr>
        <w:spacing w:after="0" w:line="23" w:lineRule="exact"/>
        <w:rPr>
          <w:sz w:val="20"/>
          <w:szCs w:val="20"/>
          <w:color w:val="auto"/>
        </w:rPr>
      </w:pPr>
    </w:p>
    <w:p>
      <w:pPr>
        <w:ind w:left="1620" w:right="5200" w:hanging="1619"/>
        <w:spacing w:after="0" w:line="261" w:lineRule="auto"/>
        <w:tabs>
          <w:tab w:leader="none" w:pos="1600" w:val="left"/>
        </w:tabs>
        <w:rPr>
          <w:sz w:val="20"/>
          <w:szCs w:val="20"/>
          <w:color w:val="auto"/>
        </w:rPr>
      </w:pPr>
      <w:r>
        <w:rPr>
          <w:rFonts w:ascii="Arial" w:cs="Arial" w:eastAsia="Arial" w:hAnsi="Arial"/>
          <w:sz w:val="18"/>
          <w:szCs w:val="18"/>
          <w:color w:val="auto"/>
        </w:rPr>
        <w:t>AGENT:</w:t>
      </w:r>
      <w:r>
        <w:rPr>
          <w:sz w:val="20"/>
          <w:szCs w:val="20"/>
          <w:color w:val="auto"/>
        </w:rPr>
        <w:tab/>
      </w:r>
      <w:r>
        <w:rPr>
          <w:rFonts w:ascii="Arial" w:cs="Arial" w:eastAsia="Arial" w:hAnsi="Arial"/>
          <w:sz w:val="18"/>
          <w:szCs w:val="18"/>
          <w:color w:val="auto"/>
        </w:rPr>
        <w:t>BANK OF AMERICA, N.A., not in its individual capacity, but solely as Administrative Agent</w:t>
      </w:r>
    </w:p>
    <w:p>
      <w:pPr>
        <w:spacing w:after="0" w:line="40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-130810</wp:posOffset>
            </wp:positionV>
            <wp:extent cx="262445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5715</wp:posOffset>
            </wp:positionV>
            <wp:extent cx="262445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624455" cy="8890"/>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-130810</wp:posOffset>
            </wp:positionV>
            <wp:extent cx="262445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[All signatures must be acknowledged]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UNIFORM FORM CERTIFICATE OF ACKNOWLEDGMENT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(Within New York State)</w:t>
      </w:r>
    </w:p>
    <w:p>
      <w:pPr>
        <w:sectPr>
          <w:pgSz w:w="11900" w:h="16838" w:orient="portrait"/>
          <w:cols w:equalWidth="0" w:num="1">
            <w:col w:w="11380"/>
          </w:cols>
          <w:pgMar w:left="240" w:top="733" w:right="279" w:bottom="21" w:gutter="0" w:footer="0" w:header="0"/>
        </w:sectPr>
      </w:pP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State of New York ) County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 ss.:</w:t>
      </w:r>
    </w:p>
    <w:p>
      <w:pPr>
        <w:spacing w:after="0" w:line="259" w:lineRule="exact"/>
        <w:rPr>
          <w:sz w:val="20"/>
          <w:szCs w:val="20"/>
          <w:color w:val="auto"/>
        </w:rPr>
      </w:pPr>
    </w:p>
    <w:p>
      <w:pPr>
        <w:sectPr>
          <w:pgSz w:w="11900" w:h="16838" w:orient="portrait"/>
          <w:cols w:equalWidth="0" w:num="2">
            <w:col w:w="1440" w:space="20"/>
            <w:col w:w="9920"/>
          </w:cols>
          <w:pgMar w:left="240" w:top="733" w:right="279" w:bottom="21" w:gutter="0" w:footer="0" w:header="0"/>
          <w:type w:val="continuous"/>
        </w:sectPr>
      </w:pPr>
    </w:p>
    <w:p>
      <w:pPr>
        <w:spacing w:after="0"/>
        <w:tabs>
          <w:tab w:leader="none" w:pos="920" w:val="left"/>
          <w:tab w:leader="none" w:pos="2180" w:val="left"/>
          <w:tab w:leader="none" w:pos="3400" w:val="left"/>
          <w:tab w:leader="none" w:pos="9320" w:val="left"/>
        </w:tabs>
        <w:rPr>
          <w:sz w:val="20"/>
          <w:szCs w:val="20"/>
          <w:color w:val="auto"/>
        </w:rPr>
      </w:pPr>
      <w:r>
        <w:rPr>
          <w:rFonts w:ascii="Arial" w:cs="Arial" w:eastAsia="Arial" w:hAnsi="Arial"/>
          <w:sz w:val="18"/>
          <w:szCs w:val="18"/>
          <w:color w:val="auto"/>
        </w:rPr>
        <w:t>On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in the year</w:t>
      </w:r>
      <w:r>
        <w:rPr>
          <w:sz w:val="20"/>
          <w:szCs w:val="20"/>
          <w:color w:val="auto"/>
        </w:rPr>
        <w:tab/>
      </w:r>
      <w:r>
        <w:rPr>
          <w:rFonts w:ascii="Arial" w:cs="Arial" w:eastAsia="Arial" w:hAnsi="Arial"/>
          <w:sz w:val="18"/>
          <w:szCs w:val="18"/>
          <w:color w:val="auto"/>
        </w:rPr>
        <w:t>before me, the undersigned, personally appeared</w:t>
      </w:r>
      <w:r>
        <w:rPr>
          <w:sz w:val="20"/>
          <w:szCs w:val="20"/>
          <w:color w:val="auto"/>
        </w:rPr>
        <w:tab/>
      </w:r>
      <w:r>
        <w:rPr>
          <w:rFonts w:ascii="Arial" w:cs="Arial" w:eastAsia="Arial" w:hAnsi="Arial"/>
          <w:sz w:val="16"/>
          <w:szCs w:val="16"/>
          <w:color w:val="auto"/>
        </w:rPr>
        <w:t>, personally known to me or</w:t>
      </w:r>
    </w:p>
    <w:p>
      <w:pPr>
        <w:sectPr>
          <w:pgSz w:w="11900" w:h="16838" w:orient="portrait"/>
          <w:cols w:equalWidth="0" w:num="1">
            <w:col w:w="11380"/>
          </w:cols>
          <w:pgMar w:left="240" w:top="733" w:right="279" w:bottom="21" w:gutter="0" w:footer="0" w:header="0"/>
          <w:type w:val="continuous"/>
        </w:sectPr>
      </w:pPr>
    </w:p>
    <w:p>
      <w:pPr>
        <w:spacing w:after="0" w:line="23"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proved to me on the basis of satisfactory evidence to be the individual(s) whose name(s) is (are) subscribed to the within instrument and acknowledged to me that he/she/they executed the same in his/her/their capacity(ies), and that by his/her their signature(s) on the instrument, the individual(s), or the person upon behalf of which the individual(s) acted, executed the instrument.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Signature and Office of individual taking acknowledgment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UNIFORM FORM CERTIFICATE OF ACKNOWLEDGMENT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(Outside of New York State)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State, District of Columbia, Territory, Possession, or Foreign Country</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ss.:</w:t>
      </w:r>
    </w:p>
    <w:p>
      <w:pPr>
        <w:spacing w:after="0" w:line="21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the day of in the year before me, the undersigned, personally appeared , personally known to me or proved to me on the basis of satisfactory evidence to be the individual(s) whose name(s) is (are) subscribed to the within instrument and acknowledged to me that he/she/they executed the same in his/her/their/ capacity (ies), that by his/her/their signature(s) on the instrument, the individual(s), or the person upon behalf of which the</w:t>
      </w:r>
    </w:p>
    <w:tbl>
      <w:tblPr>
        <w:tblLayout w:type="fixed"/>
        <w:tblInd w:w="0" w:type="dxa"/>
        <w:tblCellMar>
          <w:top w:w="0" w:type="dxa"/>
          <w:left w:w="0" w:type="dxa"/>
          <w:bottom w:w="0" w:type="dxa"/>
          <w:right w:w="0" w:type="dxa"/>
        </w:tblCellMar>
      </w:tblPr>
      <w:tr>
        <w:trPr>
          <w:trHeight w:val="202"/>
        </w:trPr>
        <w:tc>
          <w:tcPr>
            <w:tcW w:w="9500" w:type="dxa"/>
            <w:vAlign w:val="bottom"/>
            <w:gridSpan w:val="2"/>
          </w:tcPr>
          <w:p>
            <w:pPr>
              <w:spacing w:after="0" w:line="202" w:lineRule="exact"/>
              <w:rPr>
                <w:sz w:val="20"/>
                <w:szCs w:val="20"/>
                <w:color w:val="auto"/>
              </w:rPr>
            </w:pPr>
            <w:r>
              <w:rPr>
                <w:rFonts w:ascii="Arial" w:cs="Arial" w:eastAsia="Arial" w:hAnsi="Arial"/>
                <w:sz w:val="18"/>
                <w:szCs w:val="18"/>
                <w:color w:val="auto"/>
                <w:w w:val="96"/>
              </w:rPr>
              <w:t>individual(s) acted, executed the instrument, and that such individual made such appearance before the undersigned in the</w:t>
            </w:r>
          </w:p>
        </w:tc>
        <w:tc>
          <w:tcPr>
            <w:tcW w:w="1820" w:type="dxa"/>
            <w:vAlign w:val="bottom"/>
          </w:tcPr>
          <w:p>
            <w:pPr>
              <w:ind w:left="680"/>
              <w:spacing w:after="0" w:line="202" w:lineRule="exact"/>
              <w:rPr>
                <w:sz w:val="20"/>
                <w:szCs w:val="20"/>
                <w:color w:val="auto"/>
              </w:rPr>
            </w:pPr>
            <w:r>
              <w:rPr>
                <w:rFonts w:ascii="Arial" w:cs="Arial" w:eastAsia="Arial" w:hAnsi="Arial"/>
                <w:sz w:val="18"/>
                <w:szCs w:val="18"/>
                <w:color w:val="auto"/>
                <w:w w:val="90"/>
              </w:rPr>
              <w:t>. (Insert the city</w:t>
            </w:r>
          </w:p>
        </w:tc>
        <w:tc>
          <w:tcPr>
            <w:tcW w:w="0" w:type="dxa"/>
            <w:vAlign w:val="bottom"/>
          </w:tcPr>
          <w:p>
            <w:pPr>
              <w:spacing w:after="0"/>
              <w:rPr>
                <w:sz w:val="1"/>
                <w:szCs w:val="1"/>
                <w:color w:val="auto"/>
              </w:rPr>
            </w:pPr>
          </w:p>
        </w:tc>
      </w:tr>
      <w:tr>
        <w:trPr>
          <w:trHeight w:val="230"/>
        </w:trPr>
        <w:tc>
          <w:tcPr>
            <w:tcW w:w="9500" w:type="dxa"/>
            <w:vAlign w:val="bottom"/>
            <w:gridSpan w:val="2"/>
          </w:tcPr>
          <w:p>
            <w:pPr>
              <w:spacing w:after="0"/>
              <w:rPr>
                <w:sz w:val="20"/>
                <w:szCs w:val="20"/>
                <w:color w:val="auto"/>
              </w:rPr>
            </w:pPr>
            <w:r>
              <w:rPr>
                <w:rFonts w:ascii="Arial" w:cs="Arial" w:eastAsia="Arial" w:hAnsi="Arial"/>
                <w:sz w:val="18"/>
                <w:szCs w:val="18"/>
                <w:color w:val="auto"/>
              </w:rPr>
              <w:t>or other political subdivision and the state or country or other place the acknowledgment was taken).</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720" w:type="dxa"/>
            <w:vAlign w:val="bottom"/>
            <w:tcBorders>
              <w:bottom w:val="single" w:sz="8" w:color="auto"/>
            </w:tcBorders>
          </w:tcPr>
          <w:p>
            <w:pPr>
              <w:spacing w:after="0"/>
              <w:rPr>
                <w:sz w:val="24"/>
                <w:szCs w:val="24"/>
                <w:color w:val="auto"/>
              </w:rPr>
            </w:pPr>
          </w:p>
        </w:tc>
        <w:tc>
          <w:tcPr>
            <w:tcW w:w="3780" w:type="dxa"/>
            <w:vAlign w:val="bottom"/>
            <w:vMerge w:val="restart"/>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720" w:type="dxa"/>
            <w:vAlign w:val="bottom"/>
          </w:tcPr>
          <w:p>
            <w:pPr>
              <w:spacing w:after="0"/>
              <w:rPr>
                <w:sz w:val="20"/>
                <w:szCs w:val="20"/>
                <w:color w:val="auto"/>
              </w:rPr>
            </w:pPr>
            <w:r>
              <w:rPr>
                <w:rFonts w:ascii="Arial" w:cs="Arial" w:eastAsia="Arial" w:hAnsi="Arial"/>
                <w:sz w:val="18"/>
                <w:szCs w:val="18"/>
                <w:color w:val="auto"/>
              </w:rPr>
              <w:t>(Signature and office of individual taking acknowledgment.)</w:t>
            </w:r>
          </w:p>
        </w:tc>
        <w:tc>
          <w:tcPr>
            <w:tcW w:w="3780" w:type="dxa"/>
            <w:vAlign w:val="bottom"/>
            <w:vMerge w:val="continue"/>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733" w:right="279" w:bottom="21" w:gutter="0" w:footer="0" w:header="0"/>
          <w:type w:val="continuous"/>
        </w:sectPr>
      </w:pPr>
    </w:p>
    <w:bookmarkStart w:id="134" w:name="page135"/>
    <w:bookmarkEnd w:id="134"/>
    <w:p>
      <w:pPr>
        <w:jc w:val="center"/>
        <w:ind w:right="-3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ALL that certain plot, piece of land, situate, lying and being in the Town of Greenburgh, County of Westchester, and State of New York, being designated as Lot P-2 on a certain map entitled “Final Subdivision Plat prepared for Eastview Holdings LLC of premises located at Old Saw Mill River Road and NYS Route 9A, Town of Greenburgh, Westchester County, New York Scale 1”=100’“ prepared by John Meyer Consulting, PC, dated March 23, 2004 and last revised March 13, 2006, and filed on April 8, 2006 in the Office of the County Clerk of the County of Westchester as Filed Map No. 27754, and being more particularly described as:</w:t>
      </w:r>
    </w:p>
    <w:p>
      <w:pPr>
        <w:spacing w:after="0" w:line="188"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Beginning at a rebar set on the southwesterly right of way line of Old Saw Mill River Road, where said rebar is located South 35°43’37”West, a distance of 101.93 feet from the intersection formed by the dividing line between the lands n/f BMR-LANDMARK AT EASTVIEW (SBL 116.15-1-2.2 in the Town of Mount Pleasant), and other lands of BMR-LANDMARK AT EASTVIEW(SBL 116.15-1-2.1 in the Town of Mount Pleasant), thence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Running the following courses and distances along the reputed owner Town of Greensburgh</w:t>
      </w:r>
    </w:p>
    <w:p>
      <w:pPr>
        <w:spacing w:after="0" w:line="225" w:lineRule="exact"/>
        <w:rPr>
          <w:sz w:val="20"/>
          <w:szCs w:val="20"/>
          <w:color w:val="auto"/>
        </w:rPr>
      </w:pPr>
    </w:p>
    <w:p>
      <w:pPr>
        <w:ind w:left="180" w:hanging="172"/>
        <w:spacing w:after="0"/>
        <w:tabs>
          <w:tab w:leader="none" w:pos="1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South 00°05’33” East a distance of 93.33 feet to a rebar set, thence</w:t>
      </w:r>
    </w:p>
    <w:p>
      <w:pPr>
        <w:spacing w:after="0" w:line="225" w:lineRule="exact"/>
        <w:rPr>
          <w:rFonts w:ascii="Arial" w:cs="Arial" w:eastAsia="Arial" w:hAnsi="Arial"/>
          <w:sz w:val="18"/>
          <w:szCs w:val="18"/>
          <w:color w:val="auto"/>
        </w:rPr>
      </w:pPr>
    </w:p>
    <w:p>
      <w:pPr>
        <w:ind w:right="100" w:firstLine="8"/>
        <w:spacing w:after="0" w:line="277" w:lineRule="auto"/>
        <w:tabs>
          <w:tab w:leader="none" w:pos="1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100.00 feet, turning a central angle of 21°36’34”, for an arc length of 37.72 feet, the chord of said arc bearing South 10°42’49” West for a distance of 37.50 feet to a rebar set, thence</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South 21°31’01” West a distance of 81.08 feet to a rebar set, thence</w:t>
      </w:r>
    </w:p>
    <w:p>
      <w:pPr>
        <w:spacing w:after="0" w:line="225" w:lineRule="exact"/>
        <w:rPr>
          <w:rFonts w:ascii="Arial" w:cs="Arial" w:eastAsia="Arial" w:hAnsi="Arial"/>
          <w:sz w:val="18"/>
          <w:szCs w:val="18"/>
          <w:color w:val="auto"/>
        </w:rPr>
      </w:pPr>
    </w:p>
    <w:p>
      <w:pPr>
        <w:ind w:right="280" w:firstLine="8"/>
        <w:spacing w:after="0" w:line="277" w:lineRule="auto"/>
        <w:tabs>
          <w:tab w:leader="none" w:pos="1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98.25 feet, turning a central angle of 17°06’57”, for an arc length of 29.35 feet, the chord of said arc bearing South 12°57’32” West for a distance of 29.24 feet to a rebar set, thence</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South 04°24’12” West a distance of 32.56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South 03°48’59” West a distance of 30.15 feet to a rebar set, thence</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South 02°34’01” West a distance of 90.30 feet to a rebar set, thence</w:t>
      </w:r>
    </w:p>
    <w:p>
      <w:pPr>
        <w:spacing w:after="0" w:line="225" w:lineRule="exact"/>
        <w:rPr>
          <w:rFonts w:ascii="Arial" w:cs="Arial" w:eastAsia="Arial" w:hAnsi="Arial"/>
          <w:sz w:val="18"/>
          <w:szCs w:val="18"/>
          <w:color w:val="auto"/>
        </w:rPr>
      </w:pPr>
    </w:p>
    <w:p>
      <w:pPr>
        <w:ind w:firstLine="8"/>
        <w:spacing w:after="0" w:line="277" w:lineRule="auto"/>
        <w:tabs>
          <w:tab w:leader="none" w:pos="1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305.09 feet, turning a central angle of 34°07’44”, for an arc length of 181.73 feet, the chord of said arc bearing South 19°37’53” West for a distance of 179.06 feet to a rebar set, thence</w:t>
      </w:r>
    </w:p>
    <w:p>
      <w:pPr>
        <w:spacing w:after="0" w:line="170" w:lineRule="exact"/>
        <w:rPr>
          <w:rFonts w:ascii="Arial" w:cs="Arial" w:eastAsia="Arial" w:hAnsi="Arial"/>
          <w:sz w:val="18"/>
          <w:szCs w:val="18"/>
          <w:color w:val="auto"/>
        </w:rPr>
      </w:pPr>
    </w:p>
    <w:p>
      <w:pPr>
        <w:ind w:right="120" w:firstLine="8"/>
        <w:spacing w:after="0" w:line="277" w:lineRule="auto"/>
        <w:tabs>
          <w:tab w:leader="none" w:pos="18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Along a reverse curve to the left having a radius of 362.65 feet, turning a central angle of 33°16’57”, for an arc length of 210.66 feet, the chord of said arc bearing South 20°03’17” West for a distance of 207.71 feet to a rebar set, thence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80" w:hanging="272"/>
        <w:spacing w:after="0"/>
        <w:tabs>
          <w:tab w:leader="none" w:pos="2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South 03°24’29” West a distance of 152.00 feet to a rebar set, thence</w:t>
      </w:r>
    </w:p>
    <w:p>
      <w:pPr>
        <w:spacing w:after="0" w:line="225" w:lineRule="exact"/>
        <w:rPr>
          <w:rFonts w:ascii="Arial" w:cs="Arial" w:eastAsia="Arial" w:hAnsi="Arial"/>
          <w:sz w:val="18"/>
          <w:szCs w:val="18"/>
          <w:color w:val="auto"/>
        </w:rPr>
      </w:pPr>
    </w:p>
    <w:p>
      <w:pPr>
        <w:ind w:right="20" w:firstLine="8"/>
        <w:spacing w:after="0" w:line="277" w:lineRule="auto"/>
        <w:tabs>
          <w:tab w:leader="none" w:pos="263"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172.07 feet, turning a central angle of 31°44’41”, for an arc length of 95.33 feet, the chord of said arc bearing South 19°16’50” West for a distance of 94.12 feet to a rebar set, thence</w:t>
      </w:r>
    </w:p>
    <w:p>
      <w:pPr>
        <w:spacing w:after="0" w:line="170" w:lineRule="exact"/>
        <w:rPr>
          <w:rFonts w:ascii="Arial" w:cs="Arial" w:eastAsia="Arial" w:hAnsi="Arial"/>
          <w:sz w:val="18"/>
          <w:szCs w:val="18"/>
          <w:color w:val="auto"/>
        </w:rPr>
      </w:pPr>
    </w:p>
    <w:p>
      <w:pPr>
        <w:ind w:right="280" w:firstLine="8"/>
        <w:spacing w:after="0" w:line="277" w:lineRule="auto"/>
        <w:tabs>
          <w:tab w:leader="none" w:pos="27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Along a compound curve to the right having a radius of 139.47 feet, turning a central angle of 71°37’16”, for an arc length of 174.34 feet, the chord of said arc bearing South 70°57’49” West for a distance of 163.21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North 73°13’58” West a distance of 128.84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South 16°03’11” West a distance of 16.68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North 73°56’49” West a distance of 29.11 feet to a rebar set, thence</w:t>
      </w:r>
    </w:p>
    <w:p>
      <w:pPr>
        <w:spacing w:after="0" w:line="225" w:lineRule="exact"/>
        <w:rPr>
          <w:rFonts w:ascii="Arial" w:cs="Arial" w:eastAsia="Arial" w:hAnsi="Arial"/>
          <w:sz w:val="18"/>
          <w:szCs w:val="18"/>
          <w:color w:val="auto"/>
        </w:rPr>
      </w:pPr>
    </w:p>
    <w:p>
      <w:pPr>
        <w:ind w:right="20" w:firstLine="8"/>
        <w:spacing w:after="0" w:line="277" w:lineRule="auto"/>
        <w:tabs>
          <w:tab w:leader="none" w:pos="27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242.01 feet, turning a central angle of 35°55’48”, for an arc length of 151.76 feet, the chord of said arc bearing South 88°05’17” West for a distance of 149.29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South 70°07’17” West a distance of 92.14 feet to a rebar set, thence</w:t>
      </w:r>
    </w:p>
    <w:p>
      <w:pPr>
        <w:spacing w:after="0" w:line="225" w:lineRule="exact"/>
        <w:rPr>
          <w:rFonts w:ascii="Arial" w:cs="Arial" w:eastAsia="Arial" w:hAnsi="Arial"/>
          <w:sz w:val="18"/>
          <w:szCs w:val="18"/>
          <w:color w:val="auto"/>
        </w:rPr>
      </w:pPr>
    </w:p>
    <w:p>
      <w:pPr>
        <w:ind w:right="180" w:firstLine="8"/>
        <w:spacing w:after="0" w:line="277" w:lineRule="auto"/>
        <w:tabs>
          <w:tab w:leader="none" w:pos="27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440.98 feet, turning a central angle of 40°10’49”, for an arc length of 309.25 feet, the chord of said arc bearing North 89°47’19” West for a distance of 302.95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South 20°18’00” West a distance of 20.89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North 65°49’54” West a distance of 101.52 feet to a rebar set, thence</w:t>
      </w:r>
    </w:p>
    <w:p>
      <w:pPr>
        <w:spacing w:after="0" w:line="225" w:lineRule="exact"/>
        <w:rPr>
          <w:rFonts w:ascii="Arial" w:cs="Arial" w:eastAsia="Arial" w:hAnsi="Arial"/>
          <w:sz w:val="18"/>
          <w:szCs w:val="18"/>
          <w:color w:val="auto"/>
        </w:rPr>
      </w:pPr>
    </w:p>
    <w:p>
      <w:pPr>
        <w:ind w:right="100" w:firstLine="8"/>
        <w:spacing w:after="0" w:line="277" w:lineRule="auto"/>
        <w:tabs>
          <w:tab w:leader="none" w:pos="27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1530.00 feet, turning a central angle of 21°27’50”, for an arc length of 573.16 feet, the chord of said arc bearing North 55°05’59” West for a distance of 569.81 feet to a rebar set, thence</w:t>
      </w:r>
    </w:p>
    <w:p>
      <w:pPr>
        <w:sectPr>
          <w:pgSz w:w="11900" w:h="16838" w:orient="portrait"/>
          <w:cols w:equalWidth="0" w:num="1">
            <w:col w:w="11400"/>
          </w:cols>
          <w:pgMar w:left="240" w:top="580" w:right="259" w:bottom="18" w:gutter="0" w:footer="0" w:header="0"/>
        </w:sectPr>
      </w:pPr>
    </w:p>
    <w:bookmarkStart w:id="135" w:name="page136"/>
    <w:bookmarkEnd w:id="135"/>
    <w:p>
      <w:pPr>
        <w:spacing w:after="0" w:line="36" w:lineRule="exact"/>
        <w:rPr>
          <w:sz w:val="20"/>
          <w:szCs w:val="20"/>
          <w:color w:val="auto"/>
        </w:rPr>
      </w:pPr>
    </w:p>
    <w:p>
      <w:pPr>
        <w:ind w:right="240" w:firstLine="8"/>
        <w:spacing w:after="0" w:line="277" w:lineRule="auto"/>
        <w:tabs>
          <w:tab w:leader="none" w:pos="27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Along a compound curve to the right having a radius of 400.00 feet, turning a central angle of 37°36’43”, for an arc length of 262.58 feet, the chord of said arc bearing North 25°33’43” West for a distance of 257.89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South 58°03’06” West a distance of 1501.30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North 11°11’33” West a distance of 441.76 feet to a rebar set, thence</w:t>
      </w:r>
    </w:p>
    <w:p>
      <w:pPr>
        <w:spacing w:after="0" w:line="225" w:lineRule="exact"/>
        <w:rPr>
          <w:rFonts w:ascii="Arial" w:cs="Arial" w:eastAsia="Arial" w:hAnsi="Arial"/>
          <w:sz w:val="18"/>
          <w:szCs w:val="18"/>
          <w:color w:val="auto"/>
        </w:rPr>
      </w:pPr>
    </w:p>
    <w:p>
      <w:pPr>
        <w:ind w:firstLine="8"/>
        <w:spacing w:after="0" w:line="308" w:lineRule="auto"/>
        <w:tabs>
          <w:tab w:leader="none" w:pos="27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Along reputed owner Consolidated Edison Company of New York, Inc North 34°43’49” East a distance of 1146.62 feet to a rebar set, thence Running the following courses and distances along Lot 1 on a map entitled “Final Subdivision Plat Prepared for Eastview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filed in the Westchester County Clerk’s Office, Division of Land Records on 11/15/2005 as Map No. 27669.</w:t>
      </w:r>
    </w:p>
    <w:p>
      <w:pPr>
        <w:spacing w:after="0" w:line="225" w:lineRule="exact"/>
        <w:rPr>
          <w:sz w:val="20"/>
          <w:szCs w:val="20"/>
          <w:color w:val="auto"/>
        </w:rPr>
      </w:pPr>
    </w:p>
    <w:p>
      <w:pPr>
        <w:ind w:left="280" w:hanging="272"/>
        <w:spacing w:after="0"/>
        <w:tabs>
          <w:tab w:leader="none" w:pos="2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South 55°16’11” East a distance of 225.33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South 67°59’01” East a distance of 614.61 feet to a rebar set, thence</w:t>
      </w:r>
    </w:p>
    <w:p>
      <w:pPr>
        <w:spacing w:after="0" w:line="225" w:lineRule="exact"/>
        <w:rPr>
          <w:rFonts w:ascii="Arial" w:cs="Arial" w:eastAsia="Arial" w:hAnsi="Arial"/>
          <w:sz w:val="18"/>
          <w:szCs w:val="18"/>
          <w:color w:val="auto"/>
        </w:rPr>
      </w:pPr>
    </w:p>
    <w:p>
      <w:pPr>
        <w:ind w:right="80" w:firstLine="8"/>
        <w:spacing w:after="0" w:line="277" w:lineRule="auto"/>
        <w:tabs>
          <w:tab w:leader="none" w:pos="27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Along a non-tangent curve to the right having a radius of 1124.93 feet, turning a central angle of 16°12’11”, for an arc length of 318.13 feet, the chord of said arc bearing North 30°03’42” East for a distance of 317.07 feet to a rebar set, thence</w:t>
      </w:r>
    </w:p>
    <w:p>
      <w:pPr>
        <w:spacing w:after="0" w:line="170" w:lineRule="exact"/>
        <w:rPr>
          <w:rFonts w:ascii="Arial" w:cs="Arial" w:eastAsia="Arial" w:hAnsi="Arial"/>
          <w:sz w:val="18"/>
          <w:szCs w:val="18"/>
          <w:color w:val="auto"/>
        </w:rPr>
      </w:pPr>
    </w:p>
    <w:p>
      <w:pPr>
        <w:ind w:firstLine="8"/>
        <w:spacing w:after="0" w:line="277" w:lineRule="auto"/>
        <w:tabs>
          <w:tab w:leader="none" w:pos="27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Along a compound curve to the right having a radius of 450.05 feet, turning a central angle of 10°26’59”, for an arc length of 82.08 feet, the chord of said arc bearing North 43°23’17” East for a distance of 81.97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North 32°22’35” East a distance of 262.04 feet to a rebar set, thence</w:t>
      </w:r>
    </w:p>
    <w:p>
      <w:pPr>
        <w:spacing w:after="0" w:line="225" w:lineRule="exact"/>
        <w:rPr>
          <w:rFonts w:ascii="Arial" w:cs="Arial" w:eastAsia="Arial" w:hAnsi="Arial"/>
          <w:sz w:val="18"/>
          <w:szCs w:val="18"/>
          <w:color w:val="auto"/>
        </w:rPr>
      </w:pPr>
    </w:p>
    <w:p>
      <w:pPr>
        <w:ind w:right="220" w:firstLine="8"/>
        <w:spacing w:after="0" w:line="277" w:lineRule="auto"/>
        <w:tabs>
          <w:tab w:leader="none" w:pos="27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North 27°10’46” East a distance of 172.97 feet to a rebar set, thence Running the following courses and distances along the southwesterly right of way line of Old Sawmill River Road,</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South 63°22’33” East a distance of 24.28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South 68°16’40” East a distance of 63.98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South 71°57’20” East a distance of 48.14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South 75°31’00” East a distance of 167.65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South 75°03’30” East a distance of 417.19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South 71°58’00” East a distance of 46.04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South 70°36’00” East a distance of 53.02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South 67°40’50” East a distance of 36.36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South 66°14’50” East a distance of 71.78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South 63°42’50” East a distance of 155.58 feet to a rebar set, thence</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South 63°47’50” East a distance of 270.49 feet to the rebar set and place of beginning.</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Together with all the rights, title, privileges, interest, licenses and easements, real and personal in and to a certain pedestrian bridge over Old Saw Mill River Road, Route 303, including, but not limited to, the right and interest in that certain air rights parcel of land shown and designed as Lot PAR on Filed Map 27754 filed in the office of the Clerk of Westchester County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conveyed in a deed dated 12/28/07 made by Eastview Holdings LLC to BMR-Landmark at Eastview LLC, recorded 2/6/09 as Control No. 483310118.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 Section 7.71, Block 6, Lot 1 (Sub Lots 1.1, 1.1A, 1.1B, 1.1C and 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II:</w:t>
      </w:r>
    </w:p>
    <w:p>
      <w:pPr>
        <w:spacing w:after="0" w:line="229"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ALL that certain plot, piece or parcel of land, situate, lying and being in the Town of Mount Pleasant, County of Westchester and State of New York, being designated as Lot 1 on a certain map entitled “Final Subdivision Plat prepared for Eastview Holdings LLC of premises located at Old Saw Mill River Road and NYS Route 9A Town of Mount Pleasant, Westchester County, New York Scale 1”=100’“ prepared by John Meyer Consulting, PC, dated September 27, 2007 in the Office of the Clerk of the County of Westchester as Filed Map No. 28024, being more particularly described as:</w:t>
      </w:r>
    </w:p>
    <w:p>
      <w:pPr>
        <w:spacing w:after="0" w:line="171" w:lineRule="exact"/>
        <w:rPr>
          <w:sz w:val="20"/>
          <w:szCs w:val="20"/>
          <w:color w:val="auto"/>
        </w:rPr>
      </w:pPr>
    </w:p>
    <w:p>
      <w:pPr>
        <w:jc w:val="both"/>
        <w:ind w:right="120"/>
        <w:spacing w:after="0" w:line="308" w:lineRule="auto"/>
        <w:rPr>
          <w:sz w:val="20"/>
          <w:szCs w:val="20"/>
          <w:color w:val="auto"/>
        </w:rPr>
      </w:pPr>
      <w:r>
        <w:rPr>
          <w:rFonts w:ascii="Arial" w:cs="Arial" w:eastAsia="Arial" w:hAnsi="Arial"/>
          <w:sz w:val="17"/>
          <w:szCs w:val="17"/>
          <w:color w:val="auto"/>
        </w:rPr>
        <w:t>Beginning at a rebar set on the northeasterly right of way line of Old Saw Mill River Road, at the intersection formed by the dividing line between the lands n/f BMR-LANDMARK AT EASTVIEW (SBL 116.15-1-2.2), and other lands of BMR-LANDMARK AT EASTVIEW(SBL 116.15-1-2.1),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Running the following courses and distances along the northeasterly right of way line of Old Saw Mill River Road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North 63°49’10” West a distance of 373.58 feet to a rebar set, thence</w:t>
      </w:r>
    </w:p>
    <w:p>
      <w:pPr>
        <w:sectPr>
          <w:pgSz w:w="11900" w:h="16874" w:orient="portrait"/>
          <w:cols w:equalWidth="0" w:num="1">
            <w:col w:w="11360"/>
          </w:cols>
          <w:pgMar w:left="240" w:top="125" w:right="299" w:bottom="0" w:gutter="0" w:footer="0" w:header="0"/>
        </w:sectPr>
      </w:pPr>
    </w:p>
    <w:bookmarkStart w:id="136" w:name="page137"/>
    <w:bookmarkEnd w:id="136"/>
    <w:p>
      <w:pPr>
        <w:spacing w:after="0" w:line="36" w:lineRule="exact"/>
        <w:rPr>
          <w:sz w:val="20"/>
          <w:szCs w:val="20"/>
          <w:color w:val="auto"/>
        </w:rPr>
      </w:pPr>
    </w:p>
    <w:p>
      <w:pPr>
        <w:ind w:left="172" w:hanging="172"/>
        <w:spacing w:after="0"/>
        <w:tabs>
          <w:tab w:leader="none" w:pos="1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63°40’40” West a distance of 150.03 feet to a rebar set, thence</w:t>
      </w:r>
    </w:p>
    <w:p>
      <w:pPr>
        <w:spacing w:after="0" w:line="225" w:lineRule="exact"/>
        <w:rPr>
          <w:rFonts w:ascii="Arial" w:cs="Arial" w:eastAsia="Arial" w:hAnsi="Arial"/>
          <w:sz w:val="18"/>
          <w:szCs w:val="18"/>
          <w:color w:val="auto"/>
        </w:rPr>
      </w:pPr>
    </w:p>
    <w:p>
      <w:pPr>
        <w:ind w:left="172" w:hanging="172"/>
        <w:spacing w:after="0"/>
        <w:tabs>
          <w:tab w:leader="none" w:pos="1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68°08’00” West a distance of 48.55 feet to a rebar set, thence</w:t>
      </w:r>
    </w:p>
    <w:p>
      <w:pPr>
        <w:spacing w:after="0" w:line="225" w:lineRule="exact"/>
        <w:rPr>
          <w:rFonts w:ascii="Arial" w:cs="Arial" w:eastAsia="Arial" w:hAnsi="Arial"/>
          <w:sz w:val="18"/>
          <w:szCs w:val="18"/>
          <w:color w:val="auto"/>
        </w:rPr>
      </w:pPr>
    </w:p>
    <w:p>
      <w:pPr>
        <w:ind w:left="172" w:hanging="172"/>
        <w:spacing w:after="0"/>
        <w:tabs>
          <w:tab w:leader="none" w:pos="1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70°56’30” West a distance of 70.20 feet to a rebar set, thence</w:t>
      </w:r>
    </w:p>
    <w:p>
      <w:pPr>
        <w:spacing w:after="0" w:line="225" w:lineRule="exact"/>
        <w:rPr>
          <w:rFonts w:ascii="Arial" w:cs="Arial" w:eastAsia="Arial" w:hAnsi="Arial"/>
          <w:sz w:val="18"/>
          <w:szCs w:val="18"/>
          <w:color w:val="auto"/>
        </w:rPr>
      </w:pPr>
    </w:p>
    <w:p>
      <w:pPr>
        <w:ind w:left="172" w:hanging="172"/>
        <w:spacing w:after="0"/>
        <w:tabs>
          <w:tab w:leader="none" w:pos="1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71°26’30” West a distance of 46.86 feet to a rebar set, thence</w:t>
      </w:r>
    </w:p>
    <w:p>
      <w:pPr>
        <w:spacing w:after="0" w:line="225" w:lineRule="exact"/>
        <w:rPr>
          <w:rFonts w:ascii="Arial" w:cs="Arial" w:eastAsia="Arial" w:hAnsi="Arial"/>
          <w:sz w:val="18"/>
          <w:szCs w:val="18"/>
          <w:color w:val="auto"/>
        </w:rPr>
      </w:pPr>
    </w:p>
    <w:p>
      <w:pPr>
        <w:ind w:left="172" w:hanging="172"/>
        <w:spacing w:after="0"/>
        <w:tabs>
          <w:tab w:leader="none" w:pos="1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75°05’50” West a distance of 422.47 feet to a rebar set, thence</w:t>
      </w:r>
    </w:p>
    <w:p>
      <w:pPr>
        <w:spacing w:after="0" w:line="225" w:lineRule="exact"/>
        <w:rPr>
          <w:rFonts w:ascii="Arial" w:cs="Arial" w:eastAsia="Arial" w:hAnsi="Arial"/>
          <w:sz w:val="18"/>
          <w:szCs w:val="18"/>
          <w:color w:val="auto"/>
        </w:rPr>
      </w:pPr>
    </w:p>
    <w:p>
      <w:pPr>
        <w:ind w:left="172" w:hanging="172"/>
        <w:spacing w:after="0"/>
        <w:tabs>
          <w:tab w:leader="none" w:pos="1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75°28’40” West a distance of 164.70 feet to a rebar set, thence</w:t>
      </w:r>
    </w:p>
    <w:p>
      <w:pPr>
        <w:spacing w:after="0" w:line="225" w:lineRule="exact"/>
        <w:rPr>
          <w:rFonts w:ascii="Arial" w:cs="Arial" w:eastAsia="Arial" w:hAnsi="Arial"/>
          <w:sz w:val="18"/>
          <w:szCs w:val="18"/>
          <w:color w:val="auto"/>
        </w:rPr>
      </w:pPr>
    </w:p>
    <w:p>
      <w:pPr>
        <w:ind w:left="172" w:hanging="172"/>
        <w:spacing w:after="0"/>
        <w:tabs>
          <w:tab w:leader="none" w:pos="1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71°28’40” West a distance of 53.23 feet to a rebar set, thence</w:t>
      </w:r>
    </w:p>
    <w:p>
      <w:pPr>
        <w:spacing w:after="0" w:line="225" w:lineRule="exact"/>
        <w:rPr>
          <w:rFonts w:ascii="Arial" w:cs="Arial" w:eastAsia="Arial" w:hAnsi="Arial"/>
          <w:sz w:val="18"/>
          <w:szCs w:val="18"/>
          <w:color w:val="auto"/>
        </w:rPr>
      </w:pPr>
    </w:p>
    <w:p>
      <w:pPr>
        <w:ind w:left="172" w:hanging="172"/>
        <w:spacing w:after="0"/>
        <w:tabs>
          <w:tab w:leader="none" w:pos="1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66°46’40” West a distance of 55.80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60°22’50” West a distance of 64.25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55°46’50” West a distance of 168.67 feet to a rebar set, thence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272" w:hanging="272"/>
        <w:spacing w:after="0"/>
        <w:tabs>
          <w:tab w:leader="none" w:pos="2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57°50’10” West a distance of 23.25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55°10’55” West a distance of 315.52 feet to a rebar set, thence</w:t>
      </w:r>
    </w:p>
    <w:p>
      <w:pPr>
        <w:spacing w:after="0" w:line="225" w:lineRule="exact"/>
        <w:rPr>
          <w:rFonts w:ascii="Arial" w:cs="Arial" w:eastAsia="Arial" w:hAnsi="Arial"/>
          <w:sz w:val="18"/>
          <w:szCs w:val="18"/>
          <w:color w:val="auto"/>
        </w:rPr>
      </w:pPr>
    </w:p>
    <w:p>
      <w:pPr>
        <w:ind w:left="-8" w:firstLine="8"/>
        <w:spacing w:after="0" w:line="277" w:lineRule="auto"/>
        <w:tabs>
          <w:tab w:leader="none" w:pos="26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Along the dividing line between Reputed Owner Consolidated Edison and reputed owner BMR-LANDMARK AT EASTVIEW (SBL 116.15-1-2.1) North 41°22’40” East a distance of 117.30 feet to a rebar set, thence</w:t>
      </w:r>
    </w:p>
    <w:p>
      <w:pPr>
        <w:spacing w:after="0" w:line="170" w:lineRule="exact"/>
        <w:rPr>
          <w:rFonts w:ascii="Arial" w:cs="Arial" w:eastAsia="Arial" w:hAnsi="Arial"/>
          <w:sz w:val="18"/>
          <w:szCs w:val="18"/>
          <w:color w:val="auto"/>
        </w:rPr>
      </w:pPr>
    </w:p>
    <w:p>
      <w:pPr>
        <w:ind w:left="-8" w:right="420" w:firstLine="8"/>
        <w:spacing w:after="0" w:line="277" w:lineRule="auto"/>
        <w:tabs>
          <w:tab w:leader="none" w:pos="26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88°40’52” East a distance of 368.78 feet to a point in Saw Mill River, thence Running the following courses and distances along the same and following the Saw Mill River</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South 63°24’21” East a distance of 101.76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South 82°58’51” East a distance of 62.51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67°02’49” East a distance of 39.00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40°05’34” East a distance of 35.47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22°26’57” East a distance of 54.23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12°57’05” East a distance of 73.98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46°15’28” East a distance of 50.93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57°39’41” East a distance of 47.17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39°04’03” East a distance of 72.47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21°22’50” East a distance of 121.63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23°17’46” East a distance of 104.78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29°08’32” East a distance of 26.42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53°38’21” East a distance of 27.20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69°06’38” East a distance of 34.18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50°34’22” East a distance of 41.23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20°13’22” East a distance of 59.81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28°16’38” East a distance of 37.59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48°06’01” East a distance of 70.84 feet to a point, thence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272" w:hanging="272"/>
        <w:spacing w:after="0"/>
        <w:tabs>
          <w:tab w:leader="none" w:pos="2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03°30’01” East a distance of 194.44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North 17°33’46” East a distance of 100.88 feet to a point, thence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-7550150</wp:posOffset>
            </wp:positionV>
            <wp:extent cx="726757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-784225</wp:posOffset>
            </wp:positionV>
            <wp:extent cx="726757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74" w:orient="portrait"/>
          <w:cols w:equalWidth="0" w:num="1">
            <w:col w:w="11392"/>
          </w:cols>
          <w:pgMar w:left="248" w:top="341" w:right="259" w:bottom="0" w:gutter="0" w:footer="0" w:header="0"/>
        </w:sectPr>
      </w:pPr>
    </w:p>
    <w:bookmarkStart w:id="137" w:name="page138"/>
    <w:bookmarkEnd w:id="137"/>
    <w:p>
      <w:pPr>
        <w:ind w:left="272" w:hanging="272"/>
        <w:spacing w:after="0"/>
        <w:tabs>
          <w:tab w:leader="none" w:pos="2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North 44°40’00” East a distance of 31.11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North 86°48’15” East a distance of 40.05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North 49°30’38” East a distance of 41.87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North 08°08’06” West a distance of 73.68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North 26°13’54” East a distance of 87.21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North 19°32’46” West a distance of 69.89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North 45°20’00” West a distance of 31.11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North 48°51’07” East a distance of 116.18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North 21°54’57” East a distance of 47.67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North 19°25’35” West a distance of 27.51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North 51°40’22” West a distance of 6.14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Along North 41°22’40” East a distance of 1119.15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Along South 73°06’25” East a distance of 37.33 feet to a rebar set, thence</w:t>
      </w:r>
    </w:p>
    <w:p>
      <w:pPr>
        <w:spacing w:after="0" w:line="225" w:lineRule="exact"/>
        <w:rPr>
          <w:rFonts w:ascii="Arial" w:cs="Arial" w:eastAsia="Arial" w:hAnsi="Arial"/>
          <w:sz w:val="18"/>
          <w:szCs w:val="18"/>
          <w:color w:val="auto"/>
        </w:rPr>
      </w:pPr>
    </w:p>
    <w:p>
      <w:pPr>
        <w:ind w:left="-8" w:right="420" w:firstLine="8"/>
        <w:spacing w:after="0" w:line="277" w:lineRule="auto"/>
        <w:tabs>
          <w:tab w:leader="none" w:pos="26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Along the southwesterly right of way line of Saw Mill River Road, South 07°54’30” East a distance of 532.24 feet to a rebar set, thence Running the following courses and distances along other lands of BMR-LANDMARK AT EASTVIEW (SBL 116.15-1-2.2)</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South 82°05’30” West a distance of 53.22 feet to a rebar set, thence</w:t>
      </w:r>
    </w:p>
    <w:p>
      <w:pPr>
        <w:spacing w:after="0" w:line="225" w:lineRule="exact"/>
        <w:rPr>
          <w:rFonts w:ascii="Arial" w:cs="Arial" w:eastAsia="Arial" w:hAnsi="Arial"/>
          <w:sz w:val="18"/>
          <w:szCs w:val="18"/>
          <w:color w:val="auto"/>
        </w:rPr>
      </w:pPr>
    </w:p>
    <w:p>
      <w:pPr>
        <w:ind w:left="-8" w:right="20" w:firstLine="8"/>
        <w:spacing w:after="0" w:line="277" w:lineRule="auto"/>
        <w:tabs>
          <w:tab w:leader="none" w:pos="26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120.00 feet, turning a central angle of 66°50’29”, for an arc length of 139.99 feet, the chord of said arc bearing South 48°40’15” West for a distance of 132.19 feet to a rebar set, thence</w:t>
      </w:r>
    </w:p>
    <w:p>
      <w:pPr>
        <w:spacing w:after="0" w:line="170" w:lineRule="exact"/>
        <w:rPr>
          <w:rFonts w:ascii="Arial" w:cs="Arial" w:eastAsia="Arial" w:hAnsi="Arial"/>
          <w:sz w:val="18"/>
          <w:szCs w:val="18"/>
          <w:color w:val="auto"/>
        </w:rPr>
      </w:pPr>
    </w:p>
    <w:p>
      <w:pPr>
        <w:ind w:left="-8" w:right="200" w:firstLine="8"/>
        <w:spacing w:after="0" w:line="277" w:lineRule="auto"/>
        <w:tabs>
          <w:tab w:leader="none" w:pos="26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Along a reverse curve to the right having a radius of 480.00 feet, turning a central angle of 21°46’49”, for an arc length of 182.47 feet, the chord of said arc bearing South 26°08’26” West for a distance of 181.37 feet to a rebar set, thence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272" w:hanging="272"/>
        <w:spacing w:after="0"/>
        <w:tabs>
          <w:tab w:leader="none" w:pos="2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South 37°01’48” West a distance of 287.70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South 46°17’40” West a distance of 85.62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South 57°32’20” West a distance of 65.29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North 61°07’50” West a distance of 113.60 feet to a rebar set, thence</w:t>
      </w:r>
    </w:p>
    <w:p>
      <w:pPr>
        <w:spacing w:after="0" w:line="225" w:lineRule="exact"/>
        <w:rPr>
          <w:rFonts w:ascii="Arial" w:cs="Arial" w:eastAsia="Arial" w:hAnsi="Arial"/>
          <w:sz w:val="18"/>
          <w:szCs w:val="18"/>
          <w:color w:val="auto"/>
        </w:rPr>
      </w:pPr>
    </w:p>
    <w:p>
      <w:pPr>
        <w:ind w:left="-8" w:right="100" w:firstLine="8"/>
        <w:spacing w:after="0" w:line="277" w:lineRule="auto"/>
        <w:tabs>
          <w:tab w:leader="none" w:pos="26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Along a tangent curve to the left having a radius of 73.50 feet, turning a central angle of 82°49’02”, for an arc length of 106.24 feet, the chord of said arc bearing South 77°27’39” West for a distance of 97.23 feet to a rebar set, thence</w:t>
      </w:r>
    </w:p>
    <w:p>
      <w:pPr>
        <w:spacing w:after="0" w:line="170" w:lineRule="exact"/>
        <w:rPr>
          <w:rFonts w:ascii="Arial" w:cs="Arial" w:eastAsia="Arial" w:hAnsi="Arial"/>
          <w:sz w:val="18"/>
          <w:szCs w:val="18"/>
          <w:color w:val="auto"/>
        </w:rPr>
      </w:pPr>
    </w:p>
    <w:p>
      <w:pPr>
        <w:ind w:left="-8" w:right="140" w:firstLine="8"/>
        <w:spacing w:after="0" w:line="277" w:lineRule="auto"/>
        <w:tabs>
          <w:tab w:leader="none" w:pos="26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Along a compound curve to the left having a radius of 91.00 feet, turning a central angle of 68°00’38”, for an arc length of 108.02 feet, the chord of said arc bearing South 02°02’49” West for a distance of 101.79 feet to a rebar set, thence</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South 31°57’30” East a distance of 305.66 feet to a rebar set,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South 30°02’00” West a distance of 347.72 feet to a point, thence</w:t>
      </w:r>
    </w:p>
    <w:p>
      <w:pPr>
        <w:spacing w:after="0" w:line="225" w:lineRule="exact"/>
        <w:rPr>
          <w:rFonts w:ascii="Arial" w:cs="Arial" w:eastAsia="Arial" w:hAnsi="Arial"/>
          <w:sz w:val="18"/>
          <w:szCs w:val="18"/>
          <w:color w:val="auto"/>
        </w:rPr>
      </w:pPr>
    </w:p>
    <w:p>
      <w:pPr>
        <w:ind w:left="272" w:hanging="272"/>
        <w:spacing w:after="0"/>
        <w:tabs>
          <w:tab w:leader="none" w:pos="2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South 60°12’00” East a distance of 333.26 feet to a rebar set, thence</w:t>
      </w:r>
    </w:p>
    <w:p>
      <w:pPr>
        <w:spacing w:after="0" w:line="225" w:lineRule="exact"/>
        <w:rPr>
          <w:rFonts w:ascii="Arial" w:cs="Arial" w:eastAsia="Arial" w:hAnsi="Arial"/>
          <w:sz w:val="18"/>
          <w:szCs w:val="18"/>
          <w:color w:val="auto"/>
        </w:rPr>
      </w:pPr>
    </w:p>
    <w:p>
      <w:pPr>
        <w:ind w:left="-8" w:right="180" w:firstLine="8"/>
        <w:spacing w:after="0" w:line="277" w:lineRule="auto"/>
        <w:tabs>
          <w:tab w:leader="none" w:pos="26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500.00 feet, turning a central angle of 21°06’38”, for an arc length of 184.22 feet, the chord of said arc bearing South 49°38’41” East for a distance of 183.18 feet to a rebar set, thence</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South 39°05’22” East a distance of 174.39 feet to a rebar set, thence</w:t>
      </w:r>
    </w:p>
    <w:p>
      <w:pPr>
        <w:spacing w:after="0" w:line="225" w:lineRule="exact"/>
        <w:rPr>
          <w:rFonts w:ascii="Arial" w:cs="Arial" w:eastAsia="Arial" w:hAnsi="Arial"/>
          <w:sz w:val="18"/>
          <w:szCs w:val="18"/>
          <w:color w:val="auto"/>
        </w:rPr>
      </w:pPr>
    </w:p>
    <w:p>
      <w:pPr>
        <w:ind w:left="-8" w:firstLine="8"/>
        <w:spacing w:after="0" w:line="277" w:lineRule="auto"/>
        <w:tabs>
          <w:tab w:leader="none" w:pos="26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160.00 feet, turning a central angle of 27°24’26”, for an arc length of 76.54 feet, the chord of said arc bearing South 25°23’09” East for a distance of 75.81 feet to a rebar set, thence</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South 11°40’56” East a distance of 147.46 feet to a rebar set, thence</w:t>
      </w:r>
    </w:p>
    <w:p>
      <w:pPr>
        <w:spacing w:after="0" w:line="225" w:lineRule="exact"/>
        <w:rPr>
          <w:rFonts w:ascii="Arial" w:cs="Arial" w:eastAsia="Arial" w:hAnsi="Arial"/>
          <w:sz w:val="18"/>
          <w:szCs w:val="18"/>
          <w:color w:val="auto"/>
        </w:rPr>
      </w:pPr>
    </w:p>
    <w:p>
      <w:pPr>
        <w:ind w:left="-8" w:firstLine="8"/>
        <w:spacing w:after="0" w:line="277" w:lineRule="auto"/>
        <w:tabs>
          <w:tab w:leader="none" w:pos="26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160.00 feet, turning a central angle of 26°20’55”, for an arc length of 73.58 feet, the chord of said arc bearing South 01°29’32” West for a distance of 72.93 feet to a rebar set, thence</w:t>
      </w:r>
    </w:p>
    <w:p>
      <w:pPr>
        <w:spacing w:after="0" w:line="170" w:lineRule="exact"/>
        <w:rPr>
          <w:rFonts w:ascii="Arial" w:cs="Arial" w:eastAsia="Arial" w:hAnsi="Arial"/>
          <w:sz w:val="18"/>
          <w:szCs w:val="18"/>
          <w:color w:val="auto"/>
        </w:rPr>
      </w:pPr>
    </w:p>
    <w:p>
      <w:pPr>
        <w:ind w:left="272" w:hanging="272"/>
        <w:spacing w:after="0"/>
        <w:tabs>
          <w:tab w:leader="none" w:pos="27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South 14°40’00” West a distance of 417.48 feet to a rebar set, thence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-5037455</wp:posOffset>
            </wp:positionV>
            <wp:extent cx="72675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0" w:gutter="0" w:footer="0" w:header="0"/>
        </w:sectPr>
      </w:pPr>
    </w:p>
    <w:bookmarkStart w:id="138" w:name="page139"/>
    <w:bookmarkEnd w:id="138"/>
    <w:p>
      <w:pPr>
        <w:spacing w:after="0" w:line="35" w:lineRule="exact"/>
        <w:rPr>
          <w:sz w:val="20"/>
          <w:szCs w:val="20"/>
          <w:color w:val="auto"/>
        </w:rPr>
      </w:pPr>
    </w:p>
    <w:p>
      <w:pPr>
        <w:ind w:firstLine="8"/>
        <w:spacing w:after="0" w:line="277" w:lineRule="auto"/>
        <w:tabs>
          <w:tab w:leader="none" w:pos="27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Along a tangent curve to the right having a radius of 160.00 feet, turning a central angle of 15°51’47”, for an arc length of 44.30 feet, the chord of said arc bearing South 22°35’53” West for a distance of 44.16 feet to a rebar set, thence</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South 30°21’46” West a distance of 251.53 feet to the place of beginning.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Together with all the rights, title, privileges, interest, licenses and easements, real and personal in and to a certain pedestrian bridge over Old Saw Mill River Road, Route 303, including, but not limited to, the right and interest in that certain air rights parcel of land shown and designed as Lot PAR on Filed Map 27754 filed in the office of the Clerk of Westchester County and conveyed in a deed dated 12/28/07 made by Eastview Holdings LLC to BMR-Landmark at Eastview LLC, recorded 2/6/09 as Control No. 483310118.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 Section 116.15, Block 1, Lot 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PARCEL A:</w:t>
      </w:r>
    </w:p>
    <w:p>
      <w:pPr>
        <w:spacing w:after="0" w:line="225"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Lot 2 on a certain map entitled “Final Subdivision Plat prepared for Eastview Holdings LLC of premises located at Old Saw Mill River Road and NYS Route 9A Town of Mount Pleasant Westchester County, New York Scale 1”=100’“ prepared by John Meyer Consulting, PC, dated September 5, 2007 and last revised September 18, 2007 and filed September 27, 2007 in the Office of the Clerk of the County of Westchester as Filed Map No. 28024.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Excepting therefrom the following tract of land:</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Section 116.15, Block 1, Tax Lot 2.3 of the Tax Records of the Town of Mount Pleasant and as more particularly described as follows:</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BEGINNING at a point along the West side of the Saw Mill River Road (New York State Highway No. 52), said point being North 07 degrees 04 minutes 50 seconds West 1190.38 feet measured along said West side of the Saw Mill River Road from the Northeasterly corner of Parcel 303-2 as shown on “Map of Land to be Acquired for the Improvement of: Old Saw Mill River Road” prepared by Westchester County Department of Public Works, filed as Map No. 19473 and recorded May 4, 1978;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THENCE through the aforesaid Tax Lot 2 the following courses and distances: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 82 degrees 05 minutes 30 seconds West, 81.27 feet to a point of curvature;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294.00 foot radius curve to the right, through a central angle of 23 degrees 01 minutes 21 seconds, an arc distance of 118.14 feet to a point of reverse curvature;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280.00 foot radius curve to the left, through a central angle of 19 degrees 12 minutes 52 seconds, an arc distance of 93.90 feet to a point of reverse curvature;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270.00 foot radius curve to the right, through a central angle of 41 degrees 53 minutes 41 seconds, an arc distance of 197.42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52 degrees 12 minutes 20 seconds West, 9.33 feet to a point of curvature;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445.00 foot radius curve to the right, through a central angle of 37 degrees 06 minutes 20 seconds, an arc distance of 288.19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15 degrees 06 minutes 00 seconds West, 310.50 feet to a point of curvature;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360.00 foot radius curve to the right, through a central angle of 52 degrees 07 minutes 50 seconds, an arc distance of 327.55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37 degrees 01 minutes 50 seconds East, 387.10 feet to a point of curvature;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THENCE along a 480.00 foot radius curve to the left, through a central angle of 21 degrees 46 minutes 49 seconds, an arc distance of 182.46 feet to a point of reverse curvature;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120.00 foot radius curve to the right, through a central angle of 66 degrees 50 minutes 29 seconds, an arc distance of 139.99 feet to a point of tangency;</w:t>
      </w:r>
    </w:p>
    <w:p>
      <w:pPr>
        <w:spacing w:after="0" w:line="17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THENCE still through the aforesaid Tax Lot 2, North 82 degrees 05 minutes 30 seconds East 53.22 feet to the aforesaid west side of Saw Mill River Road, said point being South 07 degrees 54 minutes 30 seconds East 532.24 feet measured along said West side of the Saw Mill River Road from the division line between lands now or formerly of Consolidated Edison Company of New York, Inc. and the aforesaid Tax Lot 2;</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THENCE along said West side of the Saw Mill River Road, South 07 degrees 54 minutes 30 seconds East, 800.05 feet and South 07 degrees 04 minutes 50 seconds East, 692.22 feet to the point of BEGINNING.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116.15, Block 1, Lot 2.3</w:t>
      </w:r>
    </w:p>
    <w:p>
      <w:pPr>
        <w:sectPr>
          <w:pgSz w:w="11900" w:h="16874" w:orient="portrait"/>
          <w:cols w:equalWidth="0" w:num="1">
            <w:col w:w="11400"/>
          </w:cols>
          <w:pgMar w:left="240" w:top="125" w:right="259" w:bottom="0" w:gutter="0" w:footer="0" w:header="0"/>
        </w:sectPr>
      </w:pPr>
    </w:p>
    <w:bookmarkStart w:id="139" w:name="page140"/>
    <w:bookmarkEnd w:id="139"/>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PARCEL B:</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Section 116.15, Block 1, Tax Lot 2.3 of the Tax Records of the Town of Mount Pleasant and as more particularly described as follows:</w:t>
      </w:r>
    </w:p>
    <w:p>
      <w:pPr>
        <w:spacing w:after="0" w:line="12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BEGINNING at a point along the West side of the Saw Mill River Road (New York State Highway No. 52), said point being North 07 degrees 04 minutes 50 seconds West 1190.38 feet measured along said West side of the Saw Mill River Road from the Northeasterly corner of Parcel 303-2 as shown on “Map of Land to be Acquired for the Improvement of: Old Saw 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River Road” prepared by Westchester County Department of Public Works, filed as Map No. 19473 and recorded May 4, 1978;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through the aforesaid Tax Lot 2 the following courses and distances: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South 82 degrees 05 minutes 30 seconds West, 81.27 feet to a point of curvature;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294.00 foot radius curve to the right, through a central angle of 23 degrees 01 minutes 21 seconds, an arc distance of 118.14 feet to a point of reverse curvature;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280.00 foot radius curve to the left, through a central angle of 19 degrees 12 minutes 52 seconds, an arc distance of 93.90 feet to a point of reverse curvature;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270.00 foot radius curve to the right, through a central angle of 41 degrees 53 minutes 41 seconds, an arc distance of 197.42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52 degrees 12 minutes 20 seconds West, 9.33 feet to a point of curvature;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445.00 foot radius curve to the right, through a central angle of 37 degrees 06 minutes 20 seconds, an arc distance of 288.19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15 degrees 06 minutes 00 seconds West, 310.50 feet to a point of curvature;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360.00 foot radius curve to the right, through a central angle of 52 degrees 07 minutes 50 seconds, an arc distance of 327.55 feet to a point of tangency;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 37 degrees 01 minutes 50 seconds East, 387.10 feet to a point of curvature;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THENCE along a 480.00 foot radius curve to the left, through a central angle of 21 degrees 46 minutes 49 seconds, an arc distance of 182.46 feet to a point of reverse curvature;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THENCE along a 120.00 foot radius curve to the right, through a central angle of 66 degrees 50 minutes 29 seconds, an arc distance of 139.99 feet to a point of tangency;</w:t>
      </w:r>
    </w:p>
    <w:p>
      <w:pPr>
        <w:spacing w:after="0" w:line="170"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THENCE still through the aforesaid Tax Lot 2, North 82 degrees 05 minutes 30 seconds East 53.22 feet to the aforesaid west side of Saw Mill River Road, said point being South 07 degrees 54 minutes 30 seconds East 532.24 feet measured along said West side of the Saw Mill River Road from the division line between lands now or formerly of Consolidated Edison Company of New York, Inc. and the aforesaid Tax Lot 2;</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THENCE along said West side of the Saw Mill River Road, South 07 degrees 54 minutes 30 seconds East, 800.05 feet and South 07 degrees 04 minutes 50 seconds East, 692.22 feet to the point of BEGINNING.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116.15, Block 1, Lot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TRACT IV:</w:t>
      </w:r>
    </w:p>
    <w:p>
      <w:pPr>
        <w:spacing w:after="0" w:line="2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ALL that certain plot, piece or parcel of land, situate, lying and being in the Town of Mount Pleasant, County of Westchester and State of New York, being designated as Section 116.15, Block 1, Tax Lots 5 and 6 of the Tax Records of the Town of Mount Pleasant and as more particularly described as follows:</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BEGINNING at the intersection of the Northerly boundary line of Saw Mill River Road (State Highway No. 52), also known as Route 9A, as widened, with the Northerly boundary line of Grasslands Road;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THENCE along said Northerly boundary line of Grasslands Road South 86 degrees 43 minutes 47 seconds, West 34.19 feet to a point of curvature;</w:t>
      </w:r>
    </w:p>
    <w:p>
      <w:pPr>
        <w:spacing w:after="0" w:line="23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THENCE Westerly along a 225.00 foot radius curve deflecting to the right through a central angle of 47 degrees 34 minutes 53 seconds, an arc distance of 185.81 feet to a point on the Easterly boundary line of Old Saw Mill River Road;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Northerly along the Easterly boundary line of Old Saw Mill River Road the following courses and distances: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North 23 degrees 24 minutes 20 seconds West 18.96 feet;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 33 degrees 37 minutes 30 seconds West 33.32 feet;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30 degrees 41 minutes 10 seconds West 79.50 feet to a point;</w:t>
      </w:r>
    </w:p>
    <w:p>
      <w:pPr>
        <w:sectPr>
          <w:pgSz w:w="11900" w:h="16888" w:orient="portrait"/>
          <w:cols w:equalWidth="0" w:num="1">
            <w:col w:w="11400"/>
          </w:cols>
          <w:pgMar w:left="240" w:top="341" w:right="259" w:bottom="0" w:gutter="0" w:footer="0" w:header="0"/>
        </w:sectPr>
      </w:pPr>
    </w:p>
    <w:bookmarkStart w:id="140" w:name="page141"/>
    <w:bookmarkEnd w:id="140"/>
    <w:p>
      <w:pPr>
        <w:ind w:right="20"/>
        <w:spacing w:after="0" w:line="264" w:lineRule="auto"/>
        <w:rPr>
          <w:sz w:val="20"/>
          <w:szCs w:val="20"/>
          <w:color w:val="auto"/>
        </w:rPr>
      </w:pPr>
      <w:r>
        <w:rPr>
          <w:rFonts w:ascii="Arial" w:cs="Arial" w:eastAsia="Arial" w:hAnsi="Arial"/>
          <w:sz w:val="18"/>
          <w:szCs w:val="18"/>
          <w:color w:val="auto"/>
        </w:rPr>
        <w:t>THENCE Northerly on a course connecting the Easterly boundary line of Old Saw Mill River Road with the Southerly boundary line of a ramp connecting Old Saw Mill River Road with Saw Mill River Road, North 31 degrees 19 minutes 17 seconds East 52.17 feet to the intersection of a 185 foot radius curve, to which intersection a radial line bears South 05 degrees 46 minutes 57 seconds West;</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THENCE Easterly along said Southerly boundary line of the ramp along said 185.00 foot radius curve deflecting to the left through a central angle of 53 degrees 28 minutes 04 seconds, an arc distance of 172.64 feet;</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THENCE continuing along said Southerly boundary line of the ramp North 42 degrees 18 minutes 53 seconds East 80.44 feet to a point on the aforesaid Westerly boundary line of the Saw Mill River Road;</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THENCE Southerly along said Westerly boundary line of the Saw Mill River Road, South 05 degrees 38 minutes 30 seconds East 277.85 feet and South 06 degrees 07 minutes 00 seconds East 62.61 feet to the point or place of BEGINNING.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FOR INFORMATION ONLY: Known as Tax Parcel 116.15, Block 1, Lots 5 &amp;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above property has street addresses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735 Old Saw Mill River Road (Building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Old Saw Mill River Road (Building 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755 Old Saw Mill River Road (Building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763 Old Saw Mill River Road (Power Station);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765 &amp; 777 Old Saw Mill River Road (Buildings 1, 3 and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767 Old Saw Mill River Road (Building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769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771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785 Old Saw Mill River Road (Building 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795 Old Saw Mill River Road (Building 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799 Old Saw Mill River Road (Parking Garage);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each in Tarrytown, New York 10591;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Saw Mill River Road (Home Depot), Hawthorne, New York 10532.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PERMITTED DEVELOPMENT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Existing Development Plans with respect to Undeveloped Areas</w:t>
      </w:r>
    </w:p>
    <w:p>
      <w:pPr>
        <w:spacing w:after="0" w:line="22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Project Description: Construction of a new four (4) story building totaling 128,564 square feet, off-street parking, landscaping and related amenities, which will affect certain real property known and designated on Tax Assessment Map of the Town of Greenburgh as Parcel ID: 7.71-6- 1, and situated on the south side of Old Saw Mill River Road approximately 500 ft. from the intersection of Saw Mill River Road (NCYS Route 9A) and Old Saw Mill River Road.</w:t>
      </w:r>
    </w:p>
    <w:p>
      <w:pPr>
        <w:spacing w:after="0" w:line="147" w:lineRule="exact"/>
        <w:rPr>
          <w:sz w:val="20"/>
          <w:szCs w:val="20"/>
          <w:color w:val="auto"/>
        </w:rPr>
      </w:pPr>
    </w:p>
    <w:p>
      <w:pPr>
        <w:ind w:left="220" w:hanging="212"/>
        <w:spacing w:after="0"/>
        <w:tabs>
          <w:tab w:leader="none" w:pos="220" w:val="left"/>
        </w:tabs>
        <w:numPr>
          <w:ilvl w:val="0"/>
          <w:numId w:val="282"/>
        </w:numPr>
        <w:rPr>
          <w:rFonts w:ascii="Arial" w:cs="Arial" w:eastAsia="Arial" w:hAnsi="Arial"/>
          <w:sz w:val="18"/>
          <w:szCs w:val="18"/>
          <w:color w:val="auto"/>
        </w:rPr>
      </w:pPr>
      <w:r>
        <w:rPr>
          <w:rFonts w:ascii="Arial" w:cs="Arial" w:eastAsia="Arial" w:hAnsi="Arial"/>
          <w:sz w:val="18"/>
          <w:szCs w:val="18"/>
          <w:i w:val="1"/>
          <w:iCs w:val="1"/>
          <w:color w:val="auto"/>
        </w:rPr>
        <w:t>Existing Development Plans with respect to Permitted Developed Areas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Current Entitlements: While current development entitlements allow for demolition of two (2) outdated buildings totaling 137,110 square feet of building space and the redevelopment of certain real property known and designated on the Tax Assessment Map of the Town of Mount Pleasant as Section 116.15, Block 1, Tax Lot 2.1, which totals 69.88 acres, to support four (4) new laboratory and research buildings totaling 519,140 square feet, the Project Development Plans are as follows:</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Project Description: Demolition of one (1) outdated building totaling 72,894 square feet of building space and the redevelopment of certain real property known and designated on the Tax Assessment Map of the Town of Mount Pleasant as Section 116.15, Block 1, Tax Lot 2.1, which totals 69.88 acres, to support two (2) or three (3) new laboratory and research buildings totaling approximately 416,440 square feet. The new buildings are intended to be supported by cafe and amenity spaces for the building tenants, accessory parking garage structures accommodating up to two parking garages with between 1,045 and 1,880 parking spaces, related storm water management, utility, landscaping and associated site improvements.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PERMITTED DEVELOPMENT AREAS</w:t>
      </w:r>
    </w:p>
    <w:p>
      <w:pPr>
        <w:sectPr>
          <w:pgSz w:w="11900" w:h="16838" w:orient="portrait"/>
          <w:cols w:equalWidth="0" w:num="1">
            <w:col w:w="11420"/>
          </w:cols>
          <w:pgMar w:left="240" w:top="341" w:right="239" w:bottom="185" w:gutter="0" w:footer="0" w:header="0"/>
        </w:sectPr>
      </w:pPr>
    </w:p>
    <w:bookmarkStart w:id="141" w:name="page142"/>
    <w:bookmarkEnd w:id="141"/>
    <w:p>
      <w:pPr>
        <w:jc w:val="center"/>
        <w:ind w:right="40"/>
        <w:spacing w:after="0"/>
        <w:rPr>
          <w:sz w:val="20"/>
          <w:szCs w:val="20"/>
          <w:color w:val="auto"/>
        </w:rPr>
      </w:pPr>
      <w:r>
        <w:rPr>
          <w:rFonts w:ascii="Arial" w:cs="Arial" w:eastAsia="Arial" w:hAnsi="Arial"/>
          <w:sz w:val="18"/>
          <w:szCs w:val="18"/>
          <w:b w:val="1"/>
          <w:bCs w:val="1"/>
          <w:i w:val="1"/>
          <w:iCs w:val="1"/>
          <w:color w:val="auto"/>
        </w:rPr>
        <w:t>[A copy of Schedule B to the Lease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is on file with the Lessee and the Lessor]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SCHEDULE B</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(to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PERMITTED 767 IMPROVEMENTS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Description</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project is known as “Building 767 Renovation Project” and will deliver a lab, specialty lab and office fit out in the three level plus basement and penthouse, 78,000 SF fully demolished shell space. The building does have core HVAC and fire protection services installed, although it has not been determined to the extent that these services will remain or be replaced. Levels 1 &amp; 2 will be configured at roughly 70% laboratories and 30% open office workstations, private offices, conference rooms, general circulation and ancillary support and amenities. The third level will be fully dedicated to specialty lab operations.</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Location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project is located at 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767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NY 10591</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Project Scope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project consists of the following scope:</w:t>
      </w:r>
    </w:p>
    <w:p>
      <w:pPr>
        <w:spacing w:after="0" w:line="225" w:lineRule="exact"/>
        <w:rPr>
          <w:sz w:val="20"/>
          <w:szCs w:val="20"/>
          <w:color w:val="auto"/>
        </w:rPr>
      </w:pPr>
    </w:p>
    <w:p>
      <w:pPr>
        <w:ind w:left="620" w:hanging="288"/>
        <w:spacing w:after="0"/>
        <w:tabs>
          <w:tab w:leader="none" w:pos="6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Curtainwall Replacement</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Entrance canopy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Building Structural Upgrades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MEP Equipment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Roofing Modifications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Penthouse Modifications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Building prep work</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New loading dock</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Interior Fit-out Lab/Lab Support/Specialty Lab</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BMS/IT/AV/DAS/Security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FF&amp;E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Site Work</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Landscaping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LEED Silver requirements (minimum)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Exclusions from scope are:</w:t>
      </w:r>
    </w:p>
    <w:p>
      <w:pPr>
        <w:spacing w:after="0" w:line="225" w:lineRule="exact"/>
        <w:rPr>
          <w:sz w:val="20"/>
          <w:szCs w:val="20"/>
          <w:color w:val="auto"/>
        </w:rPr>
      </w:pPr>
    </w:p>
    <w:p>
      <w:pPr>
        <w:ind w:left="620" w:hanging="288"/>
        <w:spacing w:after="0"/>
        <w:tabs>
          <w:tab w:leader="none" w:pos="62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Fuel Cell (outside of contract but coordination with building renovation scope included)</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DNA Learning Center</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Exact scope of work is subject to change and will be adjusted as design progresses.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SCHEDULE 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(to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Value</w:t>
      </w:r>
    </w:p>
    <w:p>
      <w:pPr>
        <w:spacing w:after="0" w:line="22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Preliminary estimates place the value of the project at $55M — $65M. The anticipated Architectural/Engineering design, site works, project management, other consulting services, and construction budget based on the Scheme Design (titled the Design Development progress set dated 12/20/16) has yet to be defined.</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High Level Construction Plan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ind w:left="660"/>
              <w:spacing w:after="0"/>
              <w:rPr>
                <w:sz w:val="20"/>
                <w:szCs w:val="20"/>
                <w:color w:val="auto"/>
              </w:rPr>
            </w:pPr>
            <w:r>
              <w:rPr>
                <w:rFonts w:ascii="Arial" w:cs="Arial" w:eastAsia="Arial" w:hAnsi="Arial"/>
                <w:sz w:val="18"/>
                <w:szCs w:val="18"/>
                <w:color w:val="auto"/>
              </w:rPr>
              <w:t>Scheduled Start:</w:t>
            </w:r>
          </w:p>
        </w:tc>
        <w:tc>
          <w:tcPr>
            <w:tcW w:w="9000" w:type="dxa"/>
            <w:vAlign w:val="bottom"/>
          </w:tcPr>
          <w:p>
            <w:pPr>
              <w:ind w:left="120"/>
              <w:spacing w:after="0"/>
              <w:rPr>
                <w:sz w:val="20"/>
                <w:szCs w:val="20"/>
                <w:color w:val="auto"/>
              </w:rPr>
            </w:pPr>
            <w:r>
              <w:rPr>
                <w:rFonts w:ascii="Arial" w:cs="Arial" w:eastAsia="Arial" w:hAnsi="Arial"/>
                <w:sz w:val="18"/>
                <w:szCs w:val="18"/>
                <w:color w:val="auto"/>
              </w:rPr>
              <w:t>June 2017</w:t>
            </w:r>
          </w:p>
        </w:tc>
      </w:tr>
      <w:tr>
        <w:trPr>
          <w:trHeight w:val="230"/>
        </w:trPr>
        <w:tc>
          <w:tcPr>
            <w:tcW w:w="2460" w:type="dxa"/>
            <w:vAlign w:val="bottom"/>
          </w:tcPr>
          <w:p>
            <w:pPr>
              <w:ind w:left="660"/>
              <w:spacing w:after="0"/>
              <w:rPr>
                <w:sz w:val="20"/>
                <w:szCs w:val="20"/>
                <w:color w:val="auto"/>
              </w:rPr>
            </w:pPr>
            <w:r>
              <w:rPr>
                <w:rFonts w:ascii="Arial" w:cs="Arial" w:eastAsia="Arial" w:hAnsi="Arial"/>
                <w:sz w:val="18"/>
                <w:szCs w:val="18"/>
                <w:color w:val="auto"/>
                <w:w w:val="95"/>
              </w:rPr>
              <w:t>Scheduled Completion:</w:t>
            </w:r>
          </w:p>
        </w:tc>
        <w:tc>
          <w:tcPr>
            <w:tcW w:w="9000" w:type="dxa"/>
            <w:vAlign w:val="bottom"/>
          </w:tcPr>
          <w:p>
            <w:pPr>
              <w:ind w:left="120"/>
              <w:spacing w:after="0"/>
              <w:rPr>
                <w:sz w:val="20"/>
                <w:szCs w:val="20"/>
                <w:color w:val="auto"/>
              </w:rPr>
            </w:pPr>
            <w:r>
              <w:rPr>
                <w:rFonts w:ascii="Arial" w:cs="Arial" w:eastAsia="Arial" w:hAnsi="Arial"/>
                <w:sz w:val="18"/>
                <w:szCs w:val="18"/>
                <w:color w:val="auto"/>
              </w:rPr>
              <w:t>May 2018</w:t>
            </w:r>
          </w:p>
        </w:tc>
      </w:tr>
      <w:tr>
        <w:trPr>
          <w:trHeight w:val="348"/>
        </w:trPr>
        <w:tc>
          <w:tcPr>
            <w:tcW w:w="2460" w:type="dxa"/>
            <w:vAlign w:val="bottom"/>
            <w:tcBorders>
              <w:bottom w:val="single" w:sz="8" w:color="808080"/>
            </w:tcBorders>
          </w:tcPr>
          <w:p>
            <w:pPr>
              <w:spacing w:after="0"/>
              <w:rPr>
                <w:sz w:val="24"/>
                <w:szCs w:val="24"/>
                <w:color w:val="auto"/>
              </w:rPr>
            </w:pPr>
          </w:p>
        </w:tc>
        <w:tc>
          <w:tcPr>
            <w:tcW w:w="9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721" w:gutter="0" w:footer="0" w:header="0"/>
        </w:sectPr>
      </w:pPr>
    </w:p>
    <w:bookmarkStart w:id="142" w:name="page143"/>
    <w:bookmarkEnd w:id="142"/>
    <w:p>
      <w:pPr>
        <w:jc w:val="right"/>
        <w:ind w:right="40"/>
        <w:spacing w:after="0"/>
        <w:rPr>
          <w:sz w:val="20"/>
          <w:szCs w:val="20"/>
          <w:color w:val="auto"/>
        </w:rPr>
      </w:pPr>
      <w:r>
        <w:rPr>
          <w:rFonts w:ascii="Arial" w:cs="Arial" w:eastAsia="Arial" w:hAnsi="Arial"/>
          <w:sz w:val="18"/>
          <w:szCs w:val="18"/>
          <w:b w:val="1"/>
          <w:bCs w:val="1"/>
          <w:color w:val="auto"/>
        </w:rPr>
        <w:t>Exhibit 10.3</w:t>
      </w: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GUARANTY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dated as of March 3, 2017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made by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as Parent Guarantor,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Subsidiary Guarantors party hereto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398780</wp:posOffset>
            </wp:positionV>
            <wp:extent cx="726757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SECTION</w:t>
            </w: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760" w:type="dxa"/>
            <w:vAlign w:val="bottom"/>
            <w:tcBorders>
              <w:bottom w:val="single" w:sz="8" w:color="auto"/>
            </w:tcBorders>
          </w:tcPr>
          <w:p>
            <w:pPr>
              <w:ind w:left="2880"/>
              <w:spacing w:after="0"/>
              <w:rPr>
                <w:sz w:val="20"/>
                <w:szCs w:val="20"/>
                <w:color w:val="auto"/>
              </w:rPr>
            </w:pPr>
            <w:r>
              <w:rPr>
                <w:rFonts w:ascii="Arial" w:cs="Arial" w:eastAsia="Arial" w:hAnsi="Arial"/>
                <w:sz w:val="14"/>
                <w:szCs w:val="14"/>
                <w:b w:val="1"/>
                <w:bCs w:val="1"/>
                <w:color w:val="auto"/>
              </w:rPr>
              <w:t>HEADING</w:t>
            </w:r>
          </w:p>
        </w:tc>
        <w:tc>
          <w:tcPr>
            <w:tcW w:w="29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411"/>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1.</w:t>
            </w: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w w:val="91"/>
              </w:rPr>
              <w:t>Guarantee</w:t>
            </w:r>
          </w:p>
        </w:tc>
        <w:tc>
          <w:tcPr>
            <w:tcW w:w="5760" w:type="dxa"/>
            <w:vAlign w:val="bottom"/>
          </w:tcPr>
          <w:p>
            <w:pPr>
              <w:spacing w:after="0"/>
              <w:rPr>
                <w:sz w:val="24"/>
                <w:szCs w:val="24"/>
                <w:color w:val="auto"/>
              </w:rPr>
            </w:pP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2.</w:t>
            </w:r>
          </w:p>
        </w:tc>
        <w:tc>
          <w:tcPr>
            <w:tcW w:w="6860" w:type="dxa"/>
            <w:vAlign w:val="bottom"/>
            <w:gridSpan w:val="3"/>
          </w:tcPr>
          <w:p>
            <w:pPr>
              <w:ind w:left="300"/>
              <w:spacing w:after="0"/>
              <w:rPr>
                <w:sz w:val="20"/>
                <w:szCs w:val="20"/>
                <w:color w:val="auto"/>
              </w:rPr>
            </w:pPr>
            <w:r>
              <w:rPr>
                <w:rFonts w:ascii="Arial" w:cs="Arial" w:eastAsia="Arial" w:hAnsi="Arial"/>
                <w:sz w:val="18"/>
                <w:szCs w:val="18"/>
                <w:color w:val="auto"/>
              </w:rPr>
              <w:t>Guarantor’s Obligations Unconditional</w:t>
            </w: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3.</w:t>
            </w:r>
          </w:p>
        </w:tc>
        <w:tc>
          <w:tcPr>
            <w:tcW w:w="6860" w:type="dxa"/>
            <w:vAlign w:val="bottom"/>
            <w:gridSpan w:val="3"/>
          </w:tcPr>
          <w:p>
            <w:pPr>
              <w:ind w:left="300"/>
              <w:spacing w:after="0"/>
              <w:rPr>
                <w:sz w:val="20"/>
                <w:szCs w:val="20"/>
                <w:color w:val="auto"/>
              </w:rPr>
            </w:pPr>
            <w:r>
              <w:rPr>
                <w:rFonts w:ascii="Arial" w:cs="Arial" w:eastAsia="Arial" w:hAnsi="Arial"/>
                <w:sz w:val="18"/>
                <w:szCs w:val="18"/>
                <w:color w:val="auto"/>
              </w:rPr>
              <w:t>Waiver of Subrogation</w:t>
            </w: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4.</w:t>
            </w:r>
          </w:p>
        </w:tc>
        <w:tc>
          <w:tcPr>
            <w:tcW w:w="6860" w:type="dxa"/>
            <w:vAlign w:val="bottom"/>
            <w:gridSpan w:val="3"/>
          </w:tcPr>
          <w:p>
            <w:pPr>
              <w:ind w:left="300"/>
              <w:spacing w:after="0"/>
              <w:rPr>
                <w:sz w:val="20"/>
                <w:szCs w:val="20"/>
                <w:color w:val="auto"/>
              </w:rPr>
            </w:pPr>
            <w:r>
              <w:rPr>
                <w:rFonts w:ascii="Arial" w:cs="Arial" w:eastAsia="Arial" w:hAnsi="Arial"/>
                <w:sz w:val="18"/>
                <w:szCs w:val="18"/>
                <w:color w:val="auto"/>
              </w:rPr>
              <w:t>Reasonableness and Effect of Waivers</w:t>
            </w: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5.</w:t>
            </w:r>
          </w:p>
        </w:tc>
        <w:tc>
          <w:tcPr>
            <w:tcW w:w="6860" w:type="dxa"/>
            <w:vAlign w:val="bottom"/>
            <w:gridSpan w:val="3"/>
          </w:tcPr>
          <w:p>
            <w:pPr>
              <w:ind w:left="300"/>
              <w:spacing w:after="0"/>
              <w:rPr>
                <w:sz w:val="20"/>
                <w:szCs w:val="20"/>
                <w:color w:val="auto"/>
              </w:rPr>
            </w:pPr>
            <w:r>
              <w:rPr>
                <w:rFonts w:ascii="Arial" w:cs="Arial" w:eastAsia="Arial" w:hAnsi="Arial"/>
                <w:sz w:val="18"/>
                <w:szCs w:val="18"/>
                <w:color w:val="auto"/>
              </w:rPr>
              <w:t>Transfers by Beneficiaries</w:t>
            </w: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6.</w:t>
            </w:r>
          </w:p>
        </w:tc>
        <w:tc>
          <w:tcPr>
            <w:tcW w:w="6860" w:type="dxa"/>
            <w:vAlign w:val="bottom"/>
            <w:gridSpan w:val="3"/>
          </w:tcPr>
          <w:p>
            <w:pPr>
              <w:ind w:left="300"/>
              <w:spacing w:after="0"/>
              <w:rPr>
                <w:sz w:val="20"/>
                <w:szCs w:val="20"/>
                <w:color w:val="auto"/>
              </w:rPr>
            </w:pPr>
            <w:r>
              <w:rPr>
                <w:rFonts w:ascii="Arial" w:cs="Arial" w:eastAsia="Arial" w:hAnsi="Arial"/>
                <w:sz w:val="18"/>
                <w:szCs w:val="18"/>
                <w:color w:val="auto"/>
              </w:rPr>
              <w:t>No Waiver by Beneficiaries</w:t>
            </w: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7.</w:t>
            </w:r>
          </w:p>
        </w:tc>
        <w:tc>
          <w:tcPr>
            <w:tcW w:w="6860" w:type="dxa"/>
            <w:vAlign w:val="bottom"/>
            <w:gridSpan w:val="3"/>
          </w:tcPr>
          <w:p>
            <w:pPr>
              <w:ind w:left="300"/>
              <w:spacing w:after="0"/>
              <w:rPr>
                <w:sz w:val="20"/>
                <w:szCs w:val="20"/>
                <w:color w:val="auto"/>
              </w:rPr>
            </w:pPr>
            <w:r>
              <w:rPr>
                <w:rFonts w:ascii="Arial" w:cs="Arial" w:eastAsia="Arial" w:hAnsi="Arial"/>
                <w:sz w:val="18"/>
                <w:szCs w:val="18"/>
                <w:color w:val="auto"/>
              </w:rPr>
              <w:t>Guarantor Representations and Warranties</w:t>
            </w: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8.</w:t>
            </w:r>
          </w:p>
        </w:tc>
        <w:tc>
          <w:tcPr>
            <w:tcW w:w="6860" w:type="dxa"/>
            <w:vAlign w:val="bottom"/>
            <w:gridSpan w:val="3"/>
          </w:tcPr>
          <w:p>
            <w:pPr>
              <w:ind w:left="300"/>
              <w:spacing w:after="0"/>
              <w:rPr>
                <w:sz w:val="20"/>
                <w:szCs w:val="20"/>
                <w:color w:val="auto"/>
              </w:rPr>
            </w:pPr>
            <w:r>
              <w:rPr>
                <w:rFonts w:ascii="Arial" w:cs="Arial" w:eastAsia="Arial" w:hAnsi="Arial"/>
                <w:sz w:val="18"/>
                <w:szCs w:val="18"/>
                <w:color w:val="auto"/>
              </w:rPr>
              <w:t>Guarantor Affirmative Covenants</w:t>
            </w: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9.</w:t>
            </w:r>
          </w:p>
        </w:tc>
        <w:tc>
          <w:tcPr>
            <w:tcW w:w="6860" w:type="dxa"/>
            <w:vAlign w:val="bottom"/>
            <w:gridSpan w:val="3"/>
          </w:tcPr>
          <w:p>
            <w:pPr>
              <w:ind w:left="300"/>
              <w:spacing w:after="0"/>
              <w:rPr>
                <w:sz w:val="20"/>
                <w:szCs w:val="20"/>
                <w:color w:val="auto"/>
              </w:rPr>
            </w:pPr>
            <w:r>
              <w:rPr>
                <w:rFonts w:ascii="Arial" w:cs="Arial" w:eastAsia="Arial" w:hAnsi="Arial"/>
                <w:sz w:val="18"/>
                <w:szCs w:val="18"/>
                <w:color w:val="auto"/>
              </w:rPr>
              <w:t>Guarantor Negative Covenants</w:t>
            </w: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10.</w:t>
            </w:r>
          </w:p>
        </w:tc>
        <w:tc>
          <w:tcPr>
            <w:tcW w:w="6860" w:type="dxa"/>
            <w:vAlign w:val="bottom"/>
            <w:gridSpan w:val="3"/>
          </w:tcPr>
          <w:p>
            <w:pPr>
              <w:ind w:left="300"/>
              <w:spacing w:after="0"/>
              <w:rPr>
                <w:sz w:val="20"/>
                <w:szCs w:val="20"/>
                <w:color w:val="auto"/>
              </w:rPr>
            </w:pPr>
            <w:r>
              <w:rPr>
                <w:rFonts w:ascii="Arial" w:cs="Arial" w:eastAsia="Arial" w:hAnsi="Arial"/>
                <w:sz w:val="18"/>
                <w:szCs w:val="18"/>
                <w:color w:val="auto"/>
              </w:rPr>
              <w:t>Successors and Assigns</w:t>
            </w: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11.</w:t>
            </w:r>
          </w:p>
        </w:tc>
        <w:tc>
          <w:tcPr>
            <w:tcW w:w="6860" w:type="dxa"/>
            <w:vAlign w:val="bottom"/>
            <w:gridSpan w:val="3"/>
          </w:tcPr>
          <w:p>
            <w:pPr>
              <w:ind w:left="300"/>
              <w:spacing w:after="0"/>
              <w:rPr>
                <w:sz w:val="20"/>
                <w:szCs w:val="20"/>
                <w:color w:val="auto"/>
              </w:rPr>
            </w:pPr>
            <w:r>
              <w:rPr>
                <w:rFonts w:ascii="Arial" w:cs="Arial" w:eastAsia="Arial" w:hAnsi="Arial"/>
                <w:sz w:val="18"/>
                <w:szCs w:val="18"/>
                <w:color w:val="auto"/>
              </w:rPr>
              <w:t>Severability</w:t>
            </w: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12.</w:t>
            </w:r>
          </w:p>
        </w:tc>
        <w:tc>
          <w:tcPr>
            <w:tcW w:w="6860" w:type="dxa"/>
            <w:vAlign w:val="bottom"/>
            <w:gridSpan w:val="3"/>
          </w:tcPr>
          <w:p>
            <w:pPr>
              <w:ind w:left="300"/>
              <w:spacing w:after="0"/>
              <w:rPr>
                <w:sz w:val="20"/>
                <w:szCs w:val="20"/>
                <w:color w:val="auto"/>
              </w:rPr>
            </w:pPr>
            <w:r>
              <w:rPr>
                <w:rFonts w:ascii="Arial" w:cs="Arial" w:eastAsia="Arial" w:hAnsi="Arial"/>
                <w:sz w:val="18"/>
                <w:szCs w:val="18"/>
                <w:color w:val="auto"/>
              </w:rPr>
              <w:t>Submission to Jurisdiction; Service of Process</w:t>
            </w: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13.</w:t>
            </w: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Notices</w:t>
            </w:r>
          </w:p>
        </w:tc>
        <w:tc>
          <w:tcPr>
            <w:tcW w:w="5760" w:type="dxa"/>
            <w:vAlign w:val="bottom"/>
          </w:tcPr>
          <w:p>
            <w:pPr>
              <w:spacing w:after="0"/>
              <w:rPr>
                <w:sz w:val="18"/>
                <w:szCs w:val="18"/>
                <w:color w:val="auto"/>
              </w:rPr>
            </w:pP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14.</w:t>
            </w:r>
          </w:p>
        </w:tc>
        <w:tc>
          <w:tcPr>
            <w:tcW w:w="6860" w:type="dxa"/>
            <w:vAlign w:val="bottom"/>
            <w:gridSpan w:val="3"/>
          </w:tcPr>
          <w:p>
            <w:pPr>
              <w:ind w:left="300"/>
              <w:spacing w:after="0"/>
              <w:rPr>
                <w:sz w:val="20"/>
                <w:szCs w:val="20"/>
                <w:color w:val="auto"/>
              </w:rPr>
            </w:pPr>
            <w:r>
              <w:rPr>
                <w:rFonts w:ascii="Arial" w:cs="Arial" w:eastAsia="Arial" w:hAnsi="Arial"/>
                <w:sz w:val="18"/>
                <w:szCs w:val="18"/>
                <w:color w:val="auto"/>
              </w:rPr>
              <w:t>Amendment</w:t>
            </w: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15.</w:t>
            </w:r>
          </w:p>
        </w:tc>
        <w:tc>
          <w:tcPr>
            <w:tcW w:w="6860" w:type="dxa"/>
            <w:vAlign w:val="bottom"/>
            <w:gridSpan w:val="3"/>
          </w:tcPr>
          <w:p>
            <w:pPr>
              <w:ind w:left="300"/>
              <w:spacing w:after="0"/>
              <w:rPr>
                <w:sz w:val="20"/>
                <w:szCs w:val="20"/>
                <w:color w:val="auto"/>
              </w:rPr>
            </w:pPr>
            <w:r>
              <w:rPr>
                <w:rFonts w:ascii="Arial" w:cs="Arial" w:eastAsia="Arial" w:hAnsi="Arial"/>
                <w:sz w:val="18"/>
                <w:szCs w:val="18"/>
                <w:color w:val="auto"/>
              </w:rPr>
              <w:t>Governing Law; Waiver of Jury Trial</w:t>
            </w: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16.</w:t>
            </w:r>
          </w:p>
        </w:tc>
        <w:tc>
          <w:tcPr>
            <w:tcW w:w="6860" w:type="dxa"/>
            <w:vAlign w:val="bottom"/>
            <w:gridSpan w:val="3"/>
          </w:tcPr>
          <w:p>
            <w:pPr>
              <w:ind w:left="300"/>
              <w:spacing w:after="0"/>
              <w:rPr>
                <w:sz w:val="20"/>
                <w:szCs w:val="20"/>
                <w:color w:val="auto"/>
              </w:rPr>
            </w:pPr>
            <w:r>
              <w:rPr>
                <w:rFonts w:ascii="Arial" w:cs="Arial" w:eastAsia="Arial" w:hAnsi="Arial"/>
                <w:sz w:val="18"/>
                <w:szCs w:val="18"/>
                <w:color w:val="auto"/>
              </w:rPr>
              <w:t>No Advisory or Fiduciary Responsibility</w:t>
            </w: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17.</w:t>
            </w:r>
          </w:p>
        </w:tc>
        <w:tc>
          <w:tcPr>
            <w:tcW w:w="6860" w:type="dxa"/>
            <w:vAlign w:val="bottom"/>
            <w:gridSpan w:val="3"/>
          </w:tcPr>
          <w:p>
            <w:pPr>
              <w:ind w:left="300"/>
              <w:spacing w:after="0"/>
              <w:rPr>
                <w:sz w:val="20"/>
                <w:szCs w:val="20"/>
                <w:color w:val="auto"/>
              </w:rPr>
            </w:pPr>
            <w:r>
              <w:rPr>
                <w:rFonts w:ascii="Arial" w:cs="Arial" w:eastAsia="Arial" w:hAnsi="Arial"/>
                <w:sz w:val="18"/>
                <w:szCs w:val="18"/>
                <w:color w:val="auto"/>
              </w:rPr>
              <w:t>Releases; Termination of Guaranty</w:t>
            </w: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r>
      <w:tr>
        <w:trPr>
          <w:trHeight w:val="230"/>
        </w:trPr>
        <w:tc>
          <w:tcPr>
            <w:tcW w:w="1620" w:type="dxa"/>
            <w:vAlign w:val="bottom"/>
            <w:gridSpan w:val="2"/>
          </w:tcPr>
          <w:p>
            <w:pPr>
              <w:ind w:left="520"/>
              <w:spacing w:after="0"/>
              <w:rPr>
                <w:sz w:val="20"/>
                <w:szCs w:val="20"/>
                <w:color w:val="auto"/>
              </w:rPr>
            </w:pPr>
            <w:r>
              <w:rPr>
                <w:rFonts w:ascii="Arial" w:cs="Arial" w:eastAsia="Arial" w:hAnsi="Arial"/>
                <w:sz w:val="18"/>
                <w:szCs w:val="18"/>
                <w:color w:val="auto"/>
              </w:rPr>
              <w:t>Section 18.</w:t>
            </w:r>
          </w:p>
        </w:tc>
        <w:tc>
          <w:tcPr>
            <w:tcW w:w="6860" w:type="dxa"/>
            <w:vAlign w:val="bottom"/>
            <w:gridSpan w:val="3"/>
          </w:tcPr>
          <w:p>
            <w:pPr>
              <w:ind w:left="300"/>
              <w:spacing w:after="0"/>
              <w:rPr>
                <w:sz w:val="20"/>
                <w:szCs w:val="20"/>
                <w:color w:val="auto"/>
              </w:rPr>
            </w:pPr>
            <w:r>
              <w:rPr>
                <w:rFonts w:ascii="Arial" w:cs="Arial" w:eastAsia="Arial" w:hAnsi="Arial"/>
                <w:sz w:val="18"/>
                <w:szCs w:val="18"/>
                <w:color w:val="auto"/>
              </w:rPr>
              <w:t>Contribution with Respect to Liabilities</w:t>
            </w: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392"/>
        </w:trPr>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SCHEDULES</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8"/>
        </w:trPr>
        <w:tc>
          <w:tcPr>
            <w:tcW w:w="1620" w:type="dxa"/>
            <w:vAlign w:val="bottom"/>
            <w:gridSpan w:val="2"/>
          </w:tcPr>
          <w:p>
            <w:pPr>
              <w:spacing w:after="0"/>
              <w:rPr>
                <w:sz w:val="20"/>
                <w:szCs w:val="20"/>
                <w:color w:val="auto"/>
              </w:rPr>
            </w:pPr>
            <w:r>
              <w:rPr>
                <w:rFonts w:ascii="Arial" w:cs="Arial" w:eastAsia="Arial" w:hAnsi="Arial"/>
                <w:sz w:val="18"/>
                <w:szCs w:val="18"/>
                <w:color w:val="auto"/>
              </w:rPr>
              <w:t>SCHEDULE 7(a)</w:t>
            </w:r>
          </w:p>
        </w:tc>
        <w:tc>
          <w:tcPr>
            <w:tcW w:w="600" w:type="dxa"/>
            <w:vAlign w:val="bottom"/>
          </w:tcPr>
          <w:p>
            <w:pPr>
              <w:spacing w:after="0"/>
              <w:rPr>
                <w:sz w:val="24"/>
                <w:szCs w:val="24"/>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rPr>
              <w:t>—</w:t>
            </w:r>
          </w:p>
        </w:tc>
        <w:tc>
          <w:tcPr>
            <w:tcW w:w="5760" w:type="dxa"/>
            <w:vAlign w:val="bottom"/>
          </w:tcPr>
          <w:p>
            <w:pPr>
              <w:ind w:left="60"/>
              <w:spacing w:after="0"/>
              <w:rPr>
                <w:sz w:val="20"/>
                <w:szCs w:val="20"/>
                <w:color w:val="auto"/>
              </w:rPr>
            </w:pPr>
            <w:r>
              <w:rPr>
                <w:rFonts w:ascii="Arial" w:cs="Arial" w:eastAsia="Arial" w:hAnsi="Arial"/>
                <w:sz w:val="18"/>
                <w:szCs w:val="18"/>
                <w:color w:val="auto"/>
              </w:rPr>
              <w:t>Subsidiaries</w:t>
            </w:r>
          </w:p>
        </w:tc>
        <w:tc>
          <w:tcPr>
            <w:tcW w:w="2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620" w:type="dxa"/>
            <w:vAlign w:val="bottom"/>
            <w:gridSpan w:val="2"/>
          </w:tcPr>
          <w:p>
            <w:pPr>
              <w:spacing w:after="0"/>
              <w:rPr>
                <w:sz w:val="20"/>
                <w:szCs w:val="20"/>
                <w:color w:val="auto"/>
              </w:rPr>
            </w:pPr>
            <w:r>
              <w:rPr>
                <w:rFonts w:ascii="Arial" w:cs="Arial" w:eastAsia="Arial" w:hAnsi="Arial"/>
                <w:sz w:val="18"/>
                <w:szCs w:val="18"/>
                <w:color w:val="auto"/>
              </w:rPr>
              <w:t>SCHEDULE 9(a)</w:t>
            </w:r>
          </w:p>
        </w:tc>
        <w:tc>
          <w:tcPr>
            <w:tcW w:w="600" w:type="dxa"/>
            <w:vAlign w:val="bottom"/>
          </w:tcPr>
          <w:p>
            <w:pPr>
              <w:spacing w:after="0"/>
              <w:rPr>
                <w:sz w:val="18"/>
                <w:szCs w:val="18"/>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rPr>
              <w:t>—</w:t>
            </w:r>
          </w:p>
        </w:tc>
        <w:tc>
          <w:tcPr>
            <w:tcW w:w="5760" w:type="dxa"/>
            <w:vAlign w:val="bottom"/>
          </w:tcPr>
          <w:p>
            <w:pPr>
              <w:ind w:left="60"/>
              <w:spacing w:after="0"/>
              <w:rPr>
                <w:sz w:val="20"/>
                <w:szCs w:val="20"/>
                <w:color w:val="auto"/>
              </w:rPr>
            </w:pPr>
            <w:r>
              <w:rPr>
                <w:rFonts w:ascii="Arial" w:cs="Arial" w:eastAsia="Arial" w:hAnsi="Arial"/>
                <w:sz w:val="18"/>
                <w:szCs w:val="18"/>
                <w:color w:val="auto"/>
              </w:rPr>
              <w:t>Existing Indebtedness</w:t>
            </w:r>
          </w:p>
        </w:tc>
        <w:tc>
          <w:tcPr>
            <w:tcW w:w="2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620" w:type="dxa"/>
            <w:vAlign w:val="bottom"/>
            <w:gridSpan w:val="2"/>
          </w:tcPr>
          <w:p>
            <w:pPr>
              <w:spacing w:after="0"/>
              <w:rPr>
                <w:sz w:val="20"/>
                <w:szCs w:val="20"/>
                <w:color w:val="auto"/>
              </w:rPr>
            </w:pPr>
            <w:r>
              <w:rPr>
                <w:rFonts w:ascii="Arial" w:cs="Arial" w:eastAsia="Arial" w:hAnsi="Arial"/>
                <w:sz w:val="18"/>
                <w:szCs w:val="18"/>
                <w:color w:val="auto"/>
              </w:rPr>
              <w:t>SCHEDULE 9(b)</w:t>
            </w:r>
          </w:p>
        </w:tc>
        <w:tc>
          <w:tcPr>
            <w:tcW w:w="600" w:type="dxa"/>
            <w:vAlign w:val="bottom"/>
          </w:tcPr>
          <w:p>
            <w:pPr>
              <w:spacing w:after="0"/>
              <w:rPr>
                <w:sz w:val="20"/>
                <w:szCs w:val="20"/>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rPr>
              <w:t>—</w:t>
            </w:r>
          </w:p>
        </w:tc>
        <w:tc>
          <w:tcPr>
            <w:tcW w:w="5760" w:type="dxa"/>
            <w:vAlign w:val="bottom"/>
          </w:tcPr>
          <w:p>
            <w:pPr>
              <w:ind w:left="60"/>
              <w:spacing w:after="0"/>
              <w:rPr>
                <w:sz w:val="20"/>
                <w:szCs w:val="20"/>
                <w:color w:val="auto"/>
              </w:rPr>
            </w:pPr>
            <w:r>
              <w:rPr>
                <w:rFonts w:ascii="Arial" w:cs="Arial" w:eastAsia="Arial" w:hAnsi="Arial"/>
                <w:sz w:val="18"/>
                <w:szCs w:val="18"/>
                <w:color w:val="auto"/>
              </w:rPr>
              <w:t>Existing Liens</w:t>
            </w:r>
          </w:p>
        </w:tc>
        <w:tc>
          <w:tcPr>
            <w:tcW w:w="29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2"/>
        </w:trPr>
        <w:tc>
          <w:tcPr>
            <w:tcW w:w="2720" w:type="dxa"/>
            <w:vAlign w:val="bottom"/>
            <w:gridSpan w:val="4"/>
          </w:tcPr>
          <w:p>
            <w:pPr>
              <w:spacing w:after="0"/>
              <w:rPr>
                <w:sz w:val="20"/>
                <w:szCs w:val="20"/>
                <w:color w:val="auto"/>
              </w:rPr>
            </w:pPr>
            <w:r>
              <w:rPr>
                <w:rFonts w:ascii="Arial" w:cs="Arial" w:eastAsia="Arial" w:hAnsi="Arial"/>
                <w:sz w:val="18"/>
                <w:szCs w:val="18"/>
                <w:b w:val="1"/>
                <w:bCs w:val="1"/>
                <w:color w:val="auto"/>
              </w:rPr>
              <w:t>ANNEXES AND EXHIBITS</w:t>
            </w:r>
          </w:p>
        </w:tc>
        <w:tc>
          <w:tcPr>
            <w:tcW w:w="57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6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ANNEX I</w:t>
            </w:r>
          </w:p>
        </w:tc>
        <w:tc>
          <w:tcPr>
            <w:tcW w:w="600" w:type="dxa"/>
            <w:vAlign w:val="bottom"/>
            <w:tcBorders>
              <w:top w:val="single" w:sz="8" w:color="auto"/>
            </w:tcBorders>
          </w:tcPr>
          <w:p>
            <w:pPr>
              <w:spacing w:after="0"/>
              <w:rPr>
                <w:sz w:val="24"/>
                <w:szCs w:val="24"/>
                <w:color w:val="auto"/>
              </w:rPr>
            </w:pPr>
          </w:p>
        </w:tc>
        <w:tc>
          <w:tcPr>
            <w:tcW w:w="500" w:type="dxa"/>
            <w:vAlign w:val="bottom"/>
          </w:tcPr>
          <w:p>
            <w:pPr>
              <w:ind w:left="40"/>
              <w:spacing w:after="0"/>
              <w:rPr>
                <w:sz w:val="20"/>
                <w:szCs w:val="20"/>
                <w:color w:val="auto"/>
              </w:rPr>
            </w:pPr>
            <w:r>
              <w:rPr>
                <w:rFonts w:ascii="Arial" w:cs="Arial" w:eastAsia="Arial" w:hAnsi="Arial"/>
                <w:sz w:val="18"/>
                <w:szCs w:val="18"/>
                <w:color w:val="auto"/>
              </w:rPr>
              <w:t>—</w:t>
            </w:r>
          </w:p>
        </w:tc>
        <w:tc>
          <w:tcPr>
            <w:tcW w:w="5760" w:type="dxa"/>
            <w:vAlign w:val="bottom"/>
          </w:tcPr>
          <w:p>
            <w:pPr>
              <w:ind w:left="60"/>
              <w:spacing w:after="0"/>
              <w:rPr>
                <w:sz w:val="20"/>
                <w:szCs w:val="20"/>
                <w:color w:val="auto"/>
              </w:rPr>
            </w:pPr>
            <w:r>
              <w:rPr>
                <w:rFonts w:ascii="Arial" w:cs="Arial" w:eastAsia="Arial" w:hAnsi="Arial"/>
                <w:sz w:val="18"/>
                <w:szCs w:val="18"/>
                <w:color w:val="auto"/>
              </w:rPr>
              <w:t>Form of Guaranty Supplement</w:t>
            </w:r>
          </w:p>
        </w:tc>
        <w:tc>
          <w:tcPr>
            <w:tcW w:w="2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110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5760" w:type="dxa"/>
            <w:vAlign w:val="bottom"/>
            <w:tcBorders>
              <w:bottom w:val="single" w:sz="8" w:color="808080"/>
            </w:tcBorders>
          </w:tcPr>
          <w:p>
            <w:pPr>
              <w:spacing w:after="0"/>
              <w:rPr>
                <w:sz w:val="24"/>
                <w:szCs w:val="24"/>
                <w:color w:val="auto"/>
              </w:rPr>
            </w:pPr>
          </w:p>
        </w:tc>
        <w:tc>
          <w:tcPr>
            <w:tcW w:w="29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GUARANTY</w:t>
      </w:r>
    </w:p>
    <w:p>
      <w:pPr>
        <w:spacing w:after="0" w:line="22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THIS GUARANTY (as amended, restated, supplemented or otherwise modified from time to time, this “</w:t>
      </w:r>
      <w:r>
        <w:rPr>
          <w:rFonts w:ascii="Arial" w:cs="Arial" w:eastAsia="Arial" w:hAnsi="Arial"/>
          <w:sz w:val="18"/>
          <w:szCs w:val="18"/>
          <w:i w:val="1"/>
          <w:iCs w:val="1"/>
          <w:color w:val="auto"/>
        </w:rPr>
        <w:t>Guaranty</w:t>
      </w:r>
      <w:r>
        <w:rPr>
          <w:rFonts w:ascii="Arial" w:cs="Arial" w:eastAsia="Arial" w:hAnsi="Arial"/>
          <w:sz w:val="18"/>
          <w:szCs w:val="18"/>
          <w:color w:val="auto"/>
        </w:rPr>
        <w:t>”), dated as of March 3, 2017, is made by (i) REGENERON PHARMACEUTICALS, INC., a New York corporation (the “</w:t>
      </w:r>
      <w:r>
        <w:rPr>
          <w:rFonts w:ascii="Arial" w:cs="Arial" w:eastAsia="Arial" w:hAnsi="Arial"/>
          <w:sz w:val="18"/>
          <w:szCs w:val="18"/>
          <w:i w:val="1"/>
          <w:iCs w:val="1"/>
          <w:color w:val="auto"/>
        </w:rPr>
        <w:t>Parent Guarantor</w:t>
      </w:r>
      <w:r>
        <w:rPr>
          <w:rFonts w:ascii="Arial" w:cs="Arial" w:eastAsia="Arial" w:hAnsi="Arial"/>
          <w:sz w:val="18"/>
          <w:szCs w:val="18"/>
          <w:color w:val="auto"/>
        </w:rPr>
        <w:t>”), (ii) each of the undersigned Subsidiaries (as hereinafter defined) of the Parent Guarantor (the “</w:t>
      </w:r>
      <w:r>
        <w:rPr>
          <w:rFonts w:ascii="Arial" w:cs="Arial" w:eastAsia="Arial" w:hAnsi="Arial"/>
          <w:sz w:val="18"/>
          <w:szCs w:val="18"/>
          <w:i w:val="1"/>
          <w:iCs w:val="1"/>
          <w:color w:val="auto"/>
        </w:rPr>
        <w:t>Initial Subsidiary Guarantors</w:t>
      </w:r>
      <w:r>
        <w:rPr>
          <w:rFonts w:ascii="Arial" w:cs="Arial" w:eastAsia="Arial" w:hAnsi="Arial"/>
          <w:sz w:val="18"/>
          <w:szCs w:val="18"/>
          <w:color w:val="auto"/>
        </w:rPr>
        <w:t>” and together with Parent Guarantor, the “</w:t>
      </w:r>
      <w:r>
        <w:rPr>
          <w:rFonts w:ascii="Arial" w:cs="Arial" w:eastAsia="Arial" w:hAnsi="Arial"/>
          <w:sz w:val="18"/>
          <w:szCs w:val="18"/>
          <w:i w:val="1"/>
          <w:iCs w:val="1"/>
          <w:color w:val="auto"/>
        </w:rPr>
        <w:t>Initial Guarantors</w:t>
      </w:r>
      <w:r>
        <w:rPr>
          <w:rFonts w:ascii="Arial" w:cs="Arial" w:eastAsia="Arial" w:hAnsi="Arial"/>
          <w:sz w:val="18"/>
          <w:szCs w:val="18"/>
          <w:color w:val="auto"/>
        </w:rPr>
        <w:t>”) and (iii) any additional Subsidiaries of the Parent Guarantor which become parties to this Guaranty by executing a supplement hereto in the form attached as Annex I (collectively with the Initial Subsidiary Guarantors, the “</w:t>
      </w:r>
      <w:r>
        <w:rPr>
          <w:rFonts w:ascii="Arial" w:cs="Arial" w:eastAsia="Arial" w:hAnsi="Arial"/>
          <w:sz w:val="18"/>
          <w:szCs w:val="18"/>
          <w:i w:val="1"/>
          <w:iCs w:val="1"/>
          <w:color w:val="auto"/>
        </w:rPr>
        <w:t>Subsidiary Guarantors</w:t>
      </w:r>
      <w:r>
        <w:rPr>
          <w:rFonts w:ascii="Arial" w:cs="Arial" w:eastAsia="Arial" w:hAnsi="Arial"/>
          <w:sz w:val="18"/>
          <w:szCs w:val="18"/>
          <w:color w:val="auto"/>
        </w:rPr>
        <w:t>” and together with Parent Guarantor, the “</w:t>
      </w:r>
      <w:r>
        <w:rPr>
          <w:rFonts w:ascii="Arial" w:cs="Arial" w:eastAsia="Arial" w:hAnsi="Arial"/>
          <w:sz w:val="18"/>
          <w:szCs w:val="18"/>
          <w:i w:val="1"/>
          <w:iCs w:val="1"/>
          <w:color w:val="auto"/>
        </w:rPr>
        <w:t>Guarantors</w:t>
      </w:r>
      <w:r>
        <w:rPr>
          <w:rFonts w:ascii="Arial" w:cs="Arial" w:eastAsia="Arial" w:hAnsi="Arial"/>
          <w:sz w:val="18"/>
          <w:szCs w:val="18"/>
          <w:color w:val="auto"/>
        </w:rPr>
        <w:t>”) in favor of (a) each Participant (as hereinafter defined) and (b) the Administrative Agent (as hereinafter defined), for the benefit of itself and the other Beneficiaries (as hereinafter defined).</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 I T N E S S E T H:</w:t>
      </w:r>
    </w:p>
    <w:p>
      <w:pPr>
        <w:spacing w:after="0" w:line="229" w:lineRule="exact"/>
        <w:rPr>
          <w:sz w:val="20"/>
          <w:szCs w:val="20"/>
          <w:color w:val="auto"/>
        </w:rPr>
      </w:pPr>
    </w:p>
    <w:p>
      <w:pPr>
        <w:jc w:val="both"/>
        <w:ind w:right="40" w:firstLine="648"/>
        <w:spacing w:after="0" w:line="297" w:lineRule="auto"/>
        <w:rPr>
          <w:sz w:val="20"/>
          <w:szCs w:val="20"/>
          <w:color w:val="auto"/>
        </w:rPr>
      </w:pPr>
      <w:r>
        <w:rPr>
          <w:rFonts w:ascii="Arial" w:cs="Arial" w:eastAsia="Arial" w:hAnsi="Arial"/>
          <w:sz w:val="16"/>
          <w:szCs w:val="16"/>
          <w:color w:val="auto"/>
        </w:rPr>
        <w:t>WHEREAS, Old Saw Mill Holdings LLC, a New York limited liability company, as Lessee (together with its successors and permitted assigns, in its capacity as Lessee, “</w:t>
      </w:r>
      <w:r>
        <w:rPr>
          <w:rFonts w:ascii="Arial" w:cs="Arial" w:eastAsia="Arial" w:hAnsi="Arial"/>
          <w:sz w:val="16"/>
          <w:szCs w:val="16"/>
          <w:i w:val="1"/>
          <w:iCs w:val="1"/>
          <w:color w:val="auto"/>
        </w:rPr>
        <w:t>Lessee</w:t>
      </w:r>
      <w:r>
        <w:rPr>
          <w:rFonts w:ascii="Arial" w:cs="Arial" w:eastAsia="Arial" w:hAnsi="Arial"/>
          <w:sz w:val="16"/>
          <w:szCs w:val="16"/>
          <w:color w:val="auto"/>
        </w:rPr>
        <w:t>”), BA Leasing BSC LLC, a Delaware limited liability company, as Lessor (</w:t>
      </w:r>
      <w:r>
        <w:rPr>
          <w:rFonts w:ascii="Arial" w:cs="Arial" w:eastAsia="Arial" w:hAnsi="Arial"/>
          <w:sz w:val="15"/>
          <w:szCs w:val="15"/>
          <w:color w:val="auto"/>
        </w:rPr>
        <w:t>together with its successors and permitted assigns, in its</w:t>
      </w:r>
      <w:r>
        <w:rPr>
          <w:rFonts w:ascii="Arial" w:cs="Arial" w:eastAsia="Arial" w:hAnsi="Arial"/>
          <w:sz w:val="16"/>
          <w:szCs w:val="16"/>
          <w:color w:val="auto"/>
        </w:rPr>
        <w:t xml:space="preserve"> </w:t>
      </w:r>
      <w:r>
        <w:rPr>
          <w:rFonts w:ascii="Arial" w:cs="Arial" w:eastAsia="Arial" w:hAnsi="Arial"/>
          <w:sz w:val="15"/>
          <w:szCs w:val="15"/>
          <w:color w:val="auto"/>
        </w:rPr>
        <w:t xml:space="preserve">capacity as Lessor, </w:t>
      </w:r>
      <w:r>
        <w:rPr>
          <w:rFonts w:ascii="Arial" w:cs="Arial" w:eastAsia="Arial" w:hAnsi="Arial"/>
          <w:sz w:val="16"/>
          <w:szCs w:val="16"/>
          <w:color w:val="auto"/>
        </w:rPr>
        <w:t>“</w:t>
      </w:r>
      <w:r>
        <w:rPr>
          <w:rFonts w:ascii="Arial" w:cs="Arial" w:eastAsia="Arial" w:hAnsi="Arial"/>
          <w:sz w:val="16"/>
          <w:szCs w:val="16"/>
          <w:i w:val="1"/>
          <w:iCs w:val="1"/>
          <w:color w:val="auto"/>
        </w:rPr>
        <w:t>Lessor</w:t>
      </w:r>
      <w:r>
        <w:rPr>
          <w:rFonts w:ascii="Arial" w:cs="Arial" w:eastAsia="Arial" w:hAnsi="Arial"/>
          <w:sz w:val="16"/>
          <w:szCs w:val="16"/>
          <w:color w:val="auto"/>
        </w:rPr>
        <w:t>”), the Lenders party thereto and Bank of America, N.A., not in its individual capacity, except as expressly stated therein, but solely</w:t>
      </w:r>
      <w:r>
        <w:rPr>
          <w:rFonts w:ascii="Arial" w:cs="Arial" w:eastAsia="Arial" w:hAnsi="Arial"/>
          <w:sz w:val="15"/>
          <w:szCs w:val="15"/>
          <w:color w:val="auto"/>
        </w:rPr>
        <w:t xml:space="preserve"> </w:t>
      </w:r>
      <w:r>
        <w:rPr>
          <w:rFonts w:ascii="Arial" w:cs="Arial" w:eastAsia="Arial" w:hAnsi="Arial"/>
          <w:sz w:val="16"/>
          <w:szCs w:val="16"/>
          <w:color w:val="auto"/>
        </w:rPr>
        <w:t>as Administrative Agent (together with its successors and permitted assigns, in its capacity as Administrative Agent, the “</w:t>
      </w:r>
      <w:r>
        <w:rPr>
          <w:rFonts w:ascii="Arial" w:cs="Arial" w:eastAsia="Arial" w:hAnsi="Arial"/>
          <w:sz w:val="16"/>
          <w:szCs w:val="16"/>
          <w:i w:val="1"/>
          <w:iCs w:val="1"/>
          <w:color w:val="auto"/>
        </w:rPr>
        <w:t>Administrative Agent</w:t>
      </w:r>
      <w:r>
        <w:rPr>
          <w:rFonts w:ascii="Arial" w:cs="Arial" w:eastAsia="Arial" w:hAnsi="Arial"/>
          <w:sz w:val="16"/>
          <w:szCs w:val="16"/>
          <w:color w:val="auto"/>
        </w:rPr>
        <w:t>”) have entered into that certain Participation Agreement, dated as of March 3, 2017 (as amended, restated, supplemented or otherwise modified from time to time, the</w:t>
      </w:r>
    </w:p>
    <w:p>
      <w:pPr>
        <w:sectPr>
          <w:pgSz w:w="11900" w:h="16838" w:orient="portrait"/>
          <w:cols w:equalWidth="0" w:num="1">
            <w:col w:w="11460"/>
          </w:cols>
          <w:pgMar w:left="240" w:top="121" w:right="199" w:bottom="0" w:gutter="0" w:footer="0" w:header="0"/>
        </w:sectPr>
      </w:pPr>
    </w:p>
    <w:bookmarkStart w:id="143" w:name="page144"/>
    <w:bookmarkEnd w:id="143"/>
    <w:p>
      <w:pPr>
        <w:spacing w:after="0" w:line="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Participation Agreement</w:t>
      </w:r>
      <w:r>
        <w:rPr>
          <w:rFonts w:ascii="Arial" w:cs="Arial" w:eastAsia="Arial" w:hAnsi="Arial"/>
          <w:sz w:val="18"/>
          <w:szCs w:val="18"/>
          <w:color w:val="auto"/>
        </w:rPr>
        <w:t>”; unless otherwise defined herein or the context hereof otherwise requires, terms which are defined or defined by reference in the Participation Agreement shall have the same meanings when used herein as such terms have therein); and</w:t>
      </w:r>
    </w:p>
    <w:p>
      <w:pPr>
        <w:spacing w:after="0" w:line="170"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color w:val="auto"/>
        </w:rPr>
        <w:t>WHEREAS, it is a condition precedent to the consummation by the Participants (as hereinafter defined) of the Overall Transaction to be consummated on the Document Closing Date that the Initial Guarantors execute and deliver this Guaranty; and</w:t>
      </w:r>
    </w:p>
    <w:p>
      <w:pPr>
        <w:spacing w:after="0" w:line="170"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WHEREAS, each Subsidiary Guarantor is an affiliate of Lessee, and Lessee and each Subsidiary Guarantor is a direct or indirect wholly-owned Subsidiary of Parent Guarantor and it is in the best interests of Parent Guarantor and each Subsidiary Guarantor that the Overall Transaction and the Document Closing Date occur;</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by each Guarantor, each Guarantor hereby agrees as follows:</w:t>
      </w:r>
    </w:p>
    <w:p>
      <w:pPr>
        <w:spacing w:after="0" w:line="170" w:lineRule="exact"/>
        <w:rPr>
          <w:sz w:val="20"/>
          <w:szCs w:val="20"/>
          <w:color w:val="auto"/>
        </w:rPr>
      </w:pPr>
    </w:p>
    <w:p>
      <w:pPr>
        <w:jc w:val="both"/>
        <w:ind w:right="140" w:firstLine="816"/>
        <w:spacing w:after="0" w:line="264" w:lineRule="auto"/>
        <w:rPr>
          <w:sz w:val="20"/>
          <w:szCs w:val="20"/>
          <w:color w:val="auto"/>
        </w:rPr>
      </w:pPr>
      <w:r>
        <w:rPr>
          <w:rFonts w:ascii="Arial" w:cs="Arial" w:eastAsia="Arial" w:hAnsi="Arial"/>
          <w:sz w:val="18"/>
          <w:szCs w:val="18"/>
          <w:i w:val="1"/>
          <w:iCs w:val="1"/>
          <w:color w:val="auto"/>
        </w:rPr>
        <w:t>Section 1. Guarantee</w:t>
      </w:r>
      <w:r>
        <w:rPr>
          <w:rFonts w:ascii="Arial" w:cs="Arial" w:eastAsia="Arial" w:hAnsi="Arial"/>
          <w:sz w:val="18"/>
          <w:szCs w:val="18"/>
          <w:color w:val="auto"/>
        </w:rPr>
        <w:t>. Each Guarantor, jointly and severally, hereby irrevocably and unconditionally guarantees to (i) each Participant,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of itself and its Related Parties that are Beneficiaries (as hereinafter defined), and (ii) the Administrative Agent, for the benefit of itself and the other Beneficiaries (a) the full and prompt payment when due, whether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acceleration or otherwise, and at all times thereafter, and (b) the full and prompt performance when due of all of the Liabilities (as hereinafter defined) (or, in the case of such guarantee to each Participant, all of the Liabilities owed to such Participant and its Related Parties that are Beneficiaries), including, interest or yield on any such Liabilities, whether accruing before or after any bankruptcy or insolvency case or proceeding involving Lessee or any other Person, and, if interest or yield on any portion of such obligations ceases to accrue by operation of law by reason of the commencement of such case or proceeding, including such interest and yield as would have accrued on any such portion of such obligations if such case or proceeding had not commenced. Each Guarantor further agrees to pay all expenses (including reasonable attorneys’ fees actually incurred and legal expenses) paid or incurred by any Beneficiary in endeavoring to collect the Liabilities, or any part thereof, and in enforcing this Guaranty, subject to the limitations set forth in Section 15.17 of the Participation Agreement (including with respect to attorneys’ fees). The term “</w:t>
      </w:r>
      <w:r>
        <w:rPr>
          <w:rFonts w:ascii="Arial" w:cs="Arial" w:eastAsia="Arial" w:hAnsi="Arial"/>
          <w:sz w:val="16"/>
          <w:szCs w:val="16"/>
          <w:i w:val="1"/>
          <w:iCs w:val="1"/>
          <w:color w:val="auto"/>
        </w:rPr>
        <w:t>Beneficiaries</w:t>
      </w:r>
      <w:r>
        <w:rPr>
          <w:rFonts w:ascii="Arial" w:cs="Arial" w:eastAsia="Arial" w:hAnsi="Arial"/>
          <w:sz w:val="16"/>
          <w:szCs w:val="16"/>
          <w:color w:val="auto"/>
        </w:rPr>
        <w:t>,” as used herein, shall mean each of Lessor, Administrative Agent, each other Participant and each other Indemnitee. The term “</w:t>
      </w:r>
      <w:r>
        <w:rPr>
          <w:rFonts w:ascii="Arial" w:cs="Arial" w:eastAsia="Arial" w:hAnsi="Arial"/>
          <w:sz w:val="16"/>
          <w:szCs w:val="16"/>
          <w:i w:val="1"/>
          <w:iCs w:val="1"/>
          <w:color w:val="auto"/>
        </w:rPr>
        <w:t>Liabilities,</w:t>
      </w:r>
      <w:r>
        <w:rPr>
          <w:rFonts w:ascii="Arial" w:cs="Arial" w:eastAsia="Arial" w:hAnsi="Arial"/>
          <w:sz w:val="16"/>
          <w:szCs w:val="16"/>
          <w:color w:val="auto"/>
        </w:rPr>
        <w:t>” as used herein, shall mean all of the following, in each case howsoever created, arising or evidenced, whether direct or indirect, joint or several, absolute or contingent, or now or hereafter existing, or due or to become due: all Rent (including, but not limited to Basic Rent and Supplemental Rent), Lease Balance, Purchase Amount, Sale Option Recourse Amount, indemnities and all additional amounts and other sums at any time due and owing, and required to be paid, in each case of the foregoing, by Lessee under the terms of the Lease, the Participation Agreement or any other Operative Document and all other obligations, covenants and agreements to be performed by Lessee under the Lease, the Participation Agreement or any other Operative Document (whether or not Lessee, any Guarantor or any other Person shall be relieved or released from any or all liability or obligations under any thereof, except on account of the full and indefeasible payment and performance of all Liabilities).</w:t>
      </w:r>
    </w:p>
    <w:p>
      <w:pPr>
        <w:spacing w:after="0" w:line="16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any action or proceeding involving any state corporate law, or any state or federal bankruptcy, insolvency, reorganization or any other law affecting the rights of creditors generally, if the obligations of any Guarantor under this Guaranty would otherwise be held or determined to be void, invalid or unenforceable, or subordinated to the claims of any other creditors, on account of the amount of its liability under this Guaranty, then, notwithstanding any other provision hereof to the contrary, the amount of such liability shall, without any further action by such Guarantor or any other Person, be automatically limited and reduced to the highest amount which is valid and enforceable as determined in such action or proceeding.</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Each Guarantor agrees that upon the occurrence of an Event of Default described in Section 16.1(h) or (i) of the Lease, the Guarantors will pay to the Administrative Agent, for the benefit of the Beneficiaries, forthwith the full amount which would be payable hereunder by the Guarantors as if all Liabilities were then due and payable.</w:t>
      </w:r>
    </w:p>
    <w:p>
      <w:pPr>
        <w:spacing w:after="0" w:line="181" w:lineRule="exact"/>
        <w:rPr>
          <w:sz w:val="20"/>
          <w:szCs w:val="20"/>
          <w:color w:val="auto"/>
        </w:rPr>
      </w:pPr>
    </w:p>
    <w:p>
      <w:pPr>
        <w:ind w:right="180" w:firstLine="648"/>
        <w:spacing w:after="0" w:line="269" w:lineRule="auto"/>
        <w:rPr>
          <w:sz w:val="20"/>
          <w:szCs w:val="20"/>
          <w:color w:val="auto"/>
        </w:rPr>
      </w:pPr>
      <w:r>
        <w:rPr>
          <w:rFonts w:ascii="Arial" w:cs="Arial" w:eastAsia="Arial" w:hAnsi="Arial"/>
          <w:sz w:val="17"/>
          <w:szCs w:val="17"/>
          <w:color w:val="auto"/>
        </w:rPr>
        <w:t>This Guaranty shall in all respects be an absolute and unconditional guaranty of payment and performance (and not of collection), and shall remain in full force and effect until the full and indefeasible payment and performance of all of the Liabilities and Guarantors’ obligations hereunder (notwithstanding, without limitation, the dissolution of Guarantors). The liability of Guarantors hereunder may be enforced without the Beneficiaries being required to resort to any other right, remedy or security; provided that any such enforcement shall be subject to any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applicable grace or notice and cure period and shall be in accordance with Section 5.2 of the Loan Agreement and 16.2 of the Lease; provided, further, that, if an Acceleration has not occurred and a Payment Default exists under clause (ii) of such definition with respect to amounts owed to any Participant or its Related Parties that are Beneficiaries (other than a Payment Default with respect to (x) Basic Rent or (y) amounts owed to all Lenders or all Participants), then such Participant may demand payment hereunder for such amounts.</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obligations of Guarantor are independent of any obligations of Lessor, Administrative Agent, any Participant or any other Person under any of the Operative Documents. Each and every Event of Default under any of the Operative Documents with respect to the Liabilities shall give rise to a separate claim and cause of action hereunder, and separate claims or suits may be made and brought, as the case may be, hereunder as each such Event of Default occurs (subject to the provisos at the end of the immediately preceding paragraph).</w:t>
      </w:r>
    </w:p>
    <w:p>
      <w:pPr>
        <w:spacing w:after="0" w:line="18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Lessor and/or Administrative Agent on behalf of itself and the Beneficiaries may, from time to time at its discretion and without notice to any Guarantor, but subject to the provisions of the Operative Documents, take any or all of the following actions: (a) retain or obtain a lien upon or a security interest in any property to secure any of the Liabilities or any obligation hereunder; (b) retain or obtain the primary or secondary obligation of any obligor or obligors, in addition to the Guarantors, with respect to any of the Liabilities; (c) extend or renew for one or more periods (regardless of whether longer than the original period), alter or exchange any of the Liabilities, or release or compromise any obligation of any Guarantor hereunder or any obligation of any nature of any other obligor with respect to any of the Liabilities (including, without limitation, Lessee); (d) release or fail to perfect its lien upon or security interest in, or impair, surrender, release or permit any substitution or exchange for, all or any part of any property securing any of the Liabilities or any obligation hereunder, or extend or renew for one or more periods (regardless of whether longer than the original period) or release, compromise, alter or exchange any obligations of any nature of any obligor with respect to any such property; and (e) resort to any Guarantor for payment of any of the Liabilities, regardless of whether Lessor, any Lender or any other Person shall have resorted to any property securing any of the Liabilities or any obligation hereunder or shall have proceeded against any other obligor primarily or secondarily obligated with respect to any of the Liabilities (all of the actions referred to in this paragraph being hereby expressly waived by each Guarantor).</w:t>
      </w:r>
    </w:p>
    <w:p>
      <w:pPr>
        <w:sectPr>
          <w:pgSz w:w="11900" w:h="16919" w:orient="portrait"/>
          <w:cols w:equalWidth="0" w:num="1">
            <w:col w:w="11420"/>
          </w:cols>
          <w:pgMar w:left="240" w:top="125" w:right="239" w:bottom="0" w:gutter="0" w:footer="0" w:header="0"/>
        </w:sectPr>
      </w:pPr>
    </w:p>
    <w:bookmarkStart w:id="144" w:name="page145"/>
    <w:bookmarkEnd w:id="144"/>
    <w:p>
      <w:pPr>
        <w:ind w:right="260" w:firstLine="648"/>
        <w:spacing w:after="0" w:line="277" w:lineRule="auto"/>
        <w:rPr>
          <w:sz w:val="20"/>
          <w:szCs w:val="20"/>
          <w:color w:val="auto"/>
        </w:rPr>
      </w:pPr>
      <w:r>
        <w:rPr>
          <w:rFonts w:ascii="Arial" w:cs="Arial" w:eastAsia="Arial" w:hAnsi="Arial"/>
          <w:sz w:val="18"/>
          <w:szCs w:val="18"/>
          <w:color w:val="auto"/>
        </w:rPr>
        <w:t>Notwithstanding anything to the contrary herein, amounts paid or collected under this Guaranty shall be subject to Section 5.3 of the Participation Agreement, except to the extent otherwise expressly provided in any other applicable provision of the Participation Agreement.</w:t>
      </w:r>
    </w:p>
    <w:p>
      <w:pPr>
        <w:spacing w:after="0" w:line="170" w:lineRule="exact"/>
        <w:rPr>
          <w:sz w:val="20"/>
          <w:szCs w:val="20"/>
          <w:color w:val="auto"/>
        </w:rPr>
      </w:pPr>
    </w:p>
    <w:p>
      <w:pPr>
        <w:ind w:right="80" w:firstLine="816"/>
        <w:spacing w:after="0" w:line="257" w:lineRule="auto"/>
        <w:rPr>
          <w:sz w:val="20"/>
          <w:szCs w:val="20"/>
          <w:color w:val="auto"/>
        </w:rPr>
      </w:pPr>
      <w:r>
        <w:rPr>
          <w:rFonts w:ascii="Arial" w:cs="Arial" w:eastAsia="Arial" w:hAnsi="Arial"/>
          <w:sz w:val="18"/>
          <w:szCs w:val="18"/>
          <w:i w:val="1"/>
          <w:iCs w:val="1"/>
          <w:color w:val="auto"/>
        </w:rPr>
        <w:t>Section 2. Guarantor’s Obligations Unconditional</w:t>
      </w:r>
      <w:r>
        <w:rPr>
          <w:rFonts w:ascii="Arial" w:cs="Arial" w:eastAsia="Arial" w:hAnsi="Arial"/>
          <w:sz w:val="18"/>
          <w:szCs w:val="18"/>
          <w:color w:val="auto"/>
        </w:rPr>
        <w:t>. Guarantors’ obligations hereunder are independent of Lessee’s obligations under the Lease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other Operative Documents or in respect of any other Person, and the Administrative Agent, for the benefit of the Beneficiaries, may enforce any of its rights hereunder independently of any other right or remedy that it or any other Beneficiary may at any time hold with respect to the Liabilities or any security or other guaranty therefor. Such obligations shall be absolute and unconditional, shall not be subject to any counterclaim, setoff, deduction (other than deductions or withholdings in respect of Taxes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that are permitted by the Operative Documents), diminution, abatement, recoupment, suspension, deferment, reduction or defense (other than full and indefeasible payment and performance of all of the Liabilities), whether based upon any claim that Lessee, Guarantor or any other Person may have against any Beneficiary or any other Person or otherwise, and shall remain in full force and effect without regard to, and shall not be released, discharged or in any way affected by, any circumstance or condition whatsoever (other than full and indefeasible payment and performance of all of the Liabilities or as otherwise expressly permitted by Section 17) (whether or not any Guarantor or any other Person shall have any knowledge or notice thereof) including, without limitation, any of the following:</w:t>
      </w:r>
    </w:p>
    <w:p>
      <w:pPr>
        <w:spacing w:after="0" w:line="193" w:lineRule="exact"/>
        <w:rPr>
          <w:sz w:val="20"/>
          <w:szCs w:val="20"/>
          <w:color w:val="auto"/>
        </w:rPr>
      </w:pPr>
    </w:p>
    <w:p>
      <w:pPr>
        <w:ind w:left="660" w:firstLine="719"/>
        <w:spacing w:after="0" w:line="255" w:lineRule="auto"/>
        <w:tabs>
          <w:tab w:leader="none" w:pos="1971" w:val="left"/>
        </w:tabs>
        <w:numPr>
          <w:ilvl w:val="0"/>
          <w:numId w:val="285"/>
        </w:numPr>
        <w:rPr>
          <w:rFonts w:ascii="Arial" w:cs="Arial" w:eastAsia="Arial" w:hAnsi="Arial"/>
          <w:sz w:val="18"/>
          <w:szCs w:val="18"/>
          <w:color w:val="auto"/>
        </w:rPr>
      </w:pPr>
      <w:r>
        <w:rPr>
          <w:rFonts w:ascii="Arial" w:cs="Arial" w:eastAsia="Arial" w:hAnsi="Arial"/>
          <w:sz w:val="18"/>
          <w:szCs w:val="18"/>
          <w:color w:val="auto"/>
        </w:rPr>
        <w:t>subject to the terms of the Lease and the other Operative Documents, any amendment, modification, addition, deletion, supplement or renewal to or of or other change in the Liabilities or any Operative Document or any of the agreements referred to in any thereof, or any other instrument or agreement applicable to any Operative Document or any of the parties to such agreements, or to the Leased Property, or any assignment, mortgage or transfer thereof or of any interest therein, or any furnishing or acceptance of additional security for, guaranty of or right of offset with respect to, any of the Liabilities; or the failure of any security or the failure of any Beneficiary to perfect or insure any interest in any collateral;</w:t>
      </w:r>
    </w:p>
    <w:p>
      <w:pPr>
        <w:spacing w:after="0" w:line="193" w:lineRule="exact"/>
        <w:rPr>
          <w:rFonts w:ascii="Arial" w:cs="Arial" w:eastAsia="Arial" w:hAnsi="Arial"/>
          <w:sz w:val="18"/>
          <w:szCs w:val="18"/>
          <w:color w:val="auto"/>
        </w:rPr>
      </w:pPr>
    </w:p>
    <w:p>
      <w:pPr>
        <w:ind w:left="660" w:right="180" w:firstLine="727"/>
        <w:spacing w:after="0" w:line="277" w:lineRule="auto"/>
        <w:tabs>
          <w:tab w:leader="none" w:pos="1969"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failure, omission or delay on the part of Lessee, any Beneficiary or any other Guarantor to conform or comply with any term of any instrument or agreement referred to in clause (A) above;</w:t>
      </w:r>
    </w:p>
    <w:p>
      <w:pPr>
        <w:spacing w:after="0" w:line="170" w:lineRule="exact"/>
        <w:rPr>
          <w:rFonts w:ascii="Arial" w:cs="Arial" w:eastAsia="Arial" w:hAnsi="Arial"/>
          <w:sz w:val="18"/>
          <w:szCs w:val="18"/>
          <w:color w:val="auto"/>
        </w:rPr>
      </w:pPr>
    </w:p>
    <w:p>
      <w:pPr>
        <w:ind w:left="660" w:right="60" w:firstLine="727"/>
        <w:spacing w:after="0" w:line="279" w:lineRule="auto"/>
        <w:tabs>
          <w:tab w:leader="none" w:pos="1969" w:val="left"/>
        </w:tabs>
        <w:numPr>
          <w:ilvl w:val="0"/>
          <w:numId w:val="285"/>
        </w:numPr>
        <w:rPr>
          <w:rFonts w:ascii="Arial" w:cs="Arial" w:eastAsia="Arial" w:hAnsi="Arial"/>
          <w:sz w:val="17"/>
          <w:szCs w:val="17"/>
          <w:color w:val="auto"/>
        </w:rPr>
      </w:pPr>
      <w:r>
        <w:rPr>
          <w:rFonts w:ascii="Arial" w:cs="Arial" w:eastAsia="Arial" w:hAnsi="Arial"/>
          <w:sz w:val="17"/>
          <w:szCs w:val="17"/>
          <w:color w:val="auto"/>
        </w:rPr>
        <w:t>any waiver, consent, extension, indulgence, compromise, release or other action or inaction under or in respect of any instrument, agreement, guaranty, right of offset or security referred to in clause (A) above or any obligation or liability of Lessee or any Beneficiary or any other Person, or any exercise or non-exercise by any Beneficiary or any other Person of any right, remedy, power or privilege under or in respect of any such instrument, agreement, guaranty, right of offset or security or any such obligation or liability;</w:t>
      </w:r>
    </w:p>
    <w:p>
      <w:pPr>
        <w:spacing w:after="0" w:line="171" w:lineRule="exact"/>
        <w:rPr>
          <w:rFonts w:ascii="Arial" w:cs="Arial" w:eastAsia="Arial" w:hAnsi="Arial"/>
          <w:sz w:val="17"/>
          <w:szCs w:val="17"/>
          <w:color w:val="auto"/>
        </w:rPr>
      </w:pPr>
    </w:p>
    <w:p>
      <w:pPr>
        <w:ind w:left="660" w:firstLine="719"/>
        <w:spacing w:after="0" w:line="264" w:lineRule="auto"/>
        <w:tabs>
          <w:tab w:leader="none" w:pos="1971"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bankruptcy, insolvency, reorganization, arrangement, readjustment, composition, liquidation or similar proceeding with respect to Lessee, any Beneficiary, any Guarantor or any other guarantor or obligor of any Liabilities or any of their respective properties, or any action taken by any trustee, receiver or court in any such proceeding;</w:t>
      </w:r>
    </w:p>
    <w:p>
      <w:pPr>
        <w:spacing w:after="0" w:line="181" w:lineRule="exact"/>
        <w:rPr>
          <w:rFonts w:ascii="Arial" w:cs="Arial" w:eastAsia="Arial" w:hAnsi="Arial"/>
          <w:sz w:val="18"/>
          <w:szCs w:val="18"/>
          <w:color w:val="auto"/>
        </w:rPr>
      </w:pPr>
    </w:p>
    <w:p>
      <w:pPr>
        <w:ind w:left="660" w:right="120" w:firstLine="742"/>
        <w:spacing w:after="0" w:line="257" w:lineRule="auto"/>
        <w:tabs>
          <w:tab w:leader="none" w:pos="1973" w:val="left"/>
        </w:tabs>
        <w:numPr>
          <w:ilvl w:val="0"/>
          <w:numId w:val="285"/>
        </w:numPr>
        <w:rPr>
          <w:rFonts w:ascii="Arial" w:cs="Arial" w:eastAsia="Arial" w:hAnsi="Arial"/>
          <w:sz w:val="18"/>
          <w:szCs w:val="18"/>
          <w:color w:val="auto"/>
        </w:rPr>
      </w:pPr>
      <w:r>
        <w:rPr>
          <w:rFonts w:ascii="Arial" w:cs="Arial" w:eastAsia="Arial" w:hAnsi="Arial"/>
          <w:sz w:val="18"/>
          <w:szCs w:val="18"/>
          <w:color w:val="auto"/>
        </w:rPr>
        <w:t>subject to Sections 15.15 and 15.16 of the Participation Agreement, any limitation on the liability or obligations of any Person (including, without limitation, Lessee) under any Operative Document, the Liabilities, any collateral security for the Liabilities, any other guaranty of the Liabilities or any discharge, termination, cancellation, frustration, irregularity, invalidity or unenforceability, in whole or in part, of any of the foregoing or any other agreement, instrument, guaranty or security referred to in clause (A) above or any term of any thereof (other than any such discharge, termination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cancellation as a result of full and indefeasible payment and performance of all of the Liabilities);</w:t>
      </w:r>
    </w:p>
    <w:p>
      <w:pPr>
        <w:spacing w:after="0" w:line="225" w:lineRule="exact"/>
        <w:rPr>
          <w:sz w:val="20"/>
          <w:szCs w:val="20"/>
          <w:color w:val="auto"/>
        </w:rPr>
      </w:pPr>
    </w:p>
    <w:p>
      <w:pPr>
        <w:ind w:left="660" w:right="20" w:firstLine="750"/>
        <w:spacing w:after="0" w:line="297" w:lineRule="auto"/>
        <w:tabs>
          <w:tab w:leader="none" w:pos="1971" w:val="left"/>
        </w:tabs>
        <w:numPr>
          <w:ilvl w:val="0"/>
          <w:numId w:val="286"/>
        </w:numPr>
        <w:rPr>
          <w:rFonts w:ascii="Arial" w:cs="Arial" w:eastAsia="Arial" w:hAnsi="Arial"/>
          <w:sz w:val="16"/>
          <w:szCs w:val="16"/>
          <w:color w:val="auto"/>
        </w:rPr>
      </w:pPr>
      <w:r>
        <w:rPr>
          <w:rFonts w:ascii="Arial" w:cs="Arial" w:eastAsia="Arial" w:hAnsi="Arial"/>
          <w:sz w:val="16"/>
          <w:szCs w:val="16"/>
          <w:color w:val="auto"/>
        </w:rPr>
        <w:t>any defect in the title, compliance with specifications, condition, design, operation or fitness for use of, or any damage to or loss or destruction of, or any interruption or cessation in the use of the Leased Property by Lessee or any other Person for any reason whatsoever (including, without limitation, any governmental prohibition or restriction, condemnation, requisition, seizure or any other act on the part of any governmental or military authority, or any act of God or of the public enemy) regardless of the duration thereof (even though such duration would otherwise constitute a frustration of a lease), whether or not resulting from accident and whether or not without fault on the part of Lessee or any other Person;</w:t>
      </w:r>
    </w:p>
    <w:p>
      <w:pPr>
        <w:spacing w:after="0" w:line="158" w:lineRule="exact"/>
        <w:rPr>
          <w:rFonts w:ascii="Arial" w:cs="Arial" w:eastAsia="Arial" w:hAnsi="Arial"/>
          <w:sz w:val="16"/>
          <w:szCs w:val="16"/>
          <w:color w:val="auto"/>
        </w:rPr>
      </w:pPr>
    </w:p>
    <w:p>
      <w:pPr>
        <w:ind w:left="660" w:right="220" w:firstLine="719"/>
        <w:spacing w:after="0" w:line="277" w:lineRule="auto"/>
        <w:tabs>
          <w:tab w:leader="none" w:pos="1971"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any merger or consolidation of Lessee or any Guarantor into or with any other Person, or any sale, lease or transfer of any of the assets of Lessee or any Guarantor to any other Person, except as otherwise expressly provided by Section 17;</w:t>
      </w:r>
    </w:p>
    <w:p>
      <w:pPr>
        <w:spacing w:after="0" w:line="170" w:lineRule="exact"/>
        <w:rPr>
          <w:rFonts w:ascii="Arial" w:cs="Arial" w:eastAsia="Arial" w:hAnsi="Arial"/>
          <w:sz w:val="18"/>
          <w:szCs w:val="18"/>
          <w:color w:val="auto"/>
        </w:rPr>
      </w:pPr>
    </w:p>
    <w:p>
      <w:pPr>
        <w:ind w:left="660" w:right="260" w:firstLine="719"/>
        <w:spacing w:after="0" w:line="277" w:lineRule="auto"/>
        <w:tabs>
          <w:tab w:leader="none" w:pos="195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any change in the ownership of any shares of capital stock of Lessee or any Guarantor or any corporate change in Lessee or any Guarantor, except as otherwise expressly provided by Section 17;</w:t>
      </w:r>
    </w:p>
    <w:p>
      <w:pPr>
        <w:spacing w:after="0" w:line="170" w:lineRule="exact"/>
        <w:rPr>
          <w:rFonts w:ascii="Arial" w:cs="Arial" w:eastAsia="Arial" w:hAnsi="Arial"/>
          <w:sz w:val="18"/>
          <w:szCs w:val="18"/>
          <w:color w:val="auto"/>
        </w:rPr>
      </w:pPr>
    </w:p>
    <w:p>
      <w:pPr>
        <w:ind w:left="660" w:right="220" w:firstLine="787"/>
        <w:spacing w:after="0" w:line="277" w:lineRule="auto"/>
        <w:tabs>
          <w:tab w:leader="none" w:pos="195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any recovery of judgment against Lessee, or by any levy of any writ or process of execution under any such judgment (except to the extent such recovery indefeasibly reduces the Liabilities);</w:t>
      </w:r>
    </w:p>
    <w:p>
      <w:pPr>
        <w:spacing w:after="0" w:line="170" w:lineRule="exact"/>
        <w:rPr>
          <w:rFonts w:ascii="Arial" w:cs="Arial" w:eastAsia="Arial" w:hAnsi="Arial"/>
          <w:sz w:val="18"/>
          <w:szCs w:val="18"/>
          <w:color w:val="auto"/>
        </w:rPr>
      </w:pPr>
    </w:p>
    <w:p>
      <w:pPr>
        <w:ind w:left="660" w:right="680" w:firstLine="780"/>
        <w:spacing w:after="0" w:line="277" w:lineRule="auto"/>
        <w:tabs>
          <w:tab w:leader="none" w:pos="1971"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any legal characterization of the obligations created by the Lease and the other Operative Documents as a lease, a secured financing or otherwise;</w:t>
      </w:r>
    </w:p>
    <w:p>
      <w:pPr>
        <w:spacing w:after="0" w:line="170" w:lineRule="exact"/>
        <w:rPr>
          <w:rFonts w:ascii="Arial" w:cs="Arial" w:eastAsia="Arial" w:hAnsi="Arial"/>
          <w:sz w:val="18"/>
          <w:szCs w:val="18"/>
          <w:color w:val="auto"/>
        </w:rPr>
      </w:pPr>
    </w:p>
    <w:p>
      <w:pPr>
        <w:ind w:left="1960" w:hanging="581"/>
        <w:spacing w:after="0"/>
        <w:tabs>
          <w:tab w:leader="none" w:pos="196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absence of any notice to, or knowledge of, Guarantors of the existence or occurrence of any of the foregoing clauses (A) through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(J); or</w:t>
      </w:r>
    </w:p>
    <w:p>
      <w:pPr>
        <w:spacing w:after="0" w:line="210" w:lineRule="exact"/>
        <w:rPr>
          <w:rFonts w:ascii="Arial" w:cs="Arial" w:eastAsia="Arial" w:hAnsi="Arial"/>
          <w:sz w:val="16"/>
          <w:szCs w:val="16"/>
          <w:color w:val="auto"/>
        </w:rPr>
      </w:pPr>
    </w:p>
    <w:p>
      <w:pPr>
        <w:ind w:left="660" w:right="160" w:firstLine="742"/>
        <w:spacing w:after="0" w:line="342" w:lineRule="auto"/>
        <w:tabs>
          <w:tab w:leader="none" w:pos="1973" w:val="left"/>
        </w:tabs>
        <w:numPr>
          <w:ilvl w:val="0"/>
          <w:numId w:val="286"/>
        </w:numPr>
        <w:rPr>
          <w:rFonts w:ascii="Arial" w:cs="Arial" w:eastAsia="Arial" w:hAnsi="Arial"/>
          <w:sz w:val="16"/>
          <w:szCs w:val="16"/>
          <w:color w:val="auto"/>
        </w:rPr>
      </w:pPr>
      <w:r>
        <w:rPr>
          <w:rFonts w:ascii="Arial" w:cs="Arial" w:eastAsia="Arial" w:hAnsi="Arial"/>
          <w:sz w:val="16"/>
          <w:szCs w:val="16"/>
          <w:color w:val="auto"/>
        </w:rPr>
        <w:t>any other occurrence or circumstance whatsoever, whether similar or dissimilar to the foregoing, and any other circumstance that might otherwise constitute a legal or equitable defense or discharge of the liabilities of a guarantor or surety or that might otherwise limit recourse</w:t>
      </w:r>
    </w:p>
    <w:p>
      <w:pPr>
        <w:sectPr>
          <w:pgSz w:w="11900" w:h="16838" w:orient="portrait"/>
          <w:cols w:equalWidth="0" w:num="1">
            <w:col w:w="11420"/>
          </w:cols>
          <w:pgMar w:left="240" w:top="341" w:right="239" w:bottom="0" w:gutter="0" w:footer="0" w:header="0"/>
        </w:sectPr>
      </w:pPr>
    </w:p>
    <w:bookmarkStart w:id="145" w:name="page146"/>
    <w:bookmarkEnd w:id="145"/>
    <w:p>
      <w:pPr>
        <w:spacing w:after="0" w:line="137"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against the Guarantors (other than full and indefeasible payment and performance of all of the Liabilities or as otherwise expressly permitted by Section 17).</w:t>
      </w:r>
    </w:p>
    <w:p>
      <w:pPr>
        <w:spacing w:after="0" w:line="170"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obligations of the Guarantors set forth herein constitute the full recourse obligations of the Guarantors enforceable against them on a joint and several basis to the full extent of all their respective assets and properties, notwithstanding any provision in the Lease or any other Operative Documents.</w:t>
      </w:r>
    </w:p>
    <w:p>
      <w:pPr>
        <w:spacing w:after="0" w:line="124"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Each Guarantor waives any and all notice of the creation, renewal, extension or accrual of any of the Liabilities and notice of or proof of reliance by any Beneficiary upon this Guaranty or acceptance of this Guaranty, and the Liabilities, and any of them, shall conclusively be deemed to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have been created, contracted or incurred in reliance upon this Guaranty; provided that the foregoing shall not constitute a waiver of any notice specifically required to be given to such Guarantor by any Beneficiary under any of the Operative Documents. Each Guarantor unconditionally waives, to the extent permitted by law: (a) acceptance of this Guaranty and proof of reliance by any Beneficiary hereon; (b) notice of any of the matters referred to in clauses</w:t>
      </w:r>
    </w:p>
    <w:p>
      <w:pPr>
        <w:ind w:right="20" w:firstLine="8"/>
        <w:spacing w:after="0" w:line="285" w:lineRule="auto"/>
        <w:tabs>
          <w:tab w:leader="none" w:pos="295"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through (L) above (other than any notice specifically required to be given to such Guarantor by any Beneficiary under any of the Operative Documents), or any right to consent or assent to any thereof (except to the extent the consent of such Guarantor with respect thereto is specifically required under any of the Operative Documents); (c) all notices that may be required by statute, rule of law or otherwise, now or hereafter in effect, to preserve intact any rights against Guarantor, including, without limitation, any demand, presentment, protest, proof or notice of nonpayment under any Operative Document, and notice of default or any failure on the part of Lessee to perform and comply with any covenant, agreement, term or condition of any Operative Document (in any such case, other than any notice specifically required to be given to such Guarantor by any Beneficiary under any of the Operative Documents); (d) any right to the enforcement, assertion or exercise against Lessee of any right, power, privilege or remedy conferred in any Operative Document or otherwise; (e) any requirement of diligence on the part of any Person; (f) any requirement of any Beneficiary to take any action whatsoever, to exhaust any remedies or to mitigate the damages resulting from a default by any Person under any Operative Document; (g) any notice of any sale, transfer or other disposition by any Person of any right under, title to or interest in any Operative Document or the Leased Property; and (h) any other circumstance whatsoever that might otherwise constitute a legal or equitable discharge, release or defense of a guarantor or surety, or that might otherwise limit recourse against any Guarantor (other than full and indefeasible payment and performance of all of the Liabilities or as otherwise expressly permitted by Section 17).</w:t>
      </w:r>
    </w:p>
    <w:p>
      <w:pPr>
        <w:spacing w:after="0" w:line="173"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Each Guarantor agrees that this Guaranty shall be automatically reinstated if and to the extent that for any reason any payment under any Operative Document by or on behalf of itself or Lessee is rescinded or must be otherwise disgorged or restored by any Beneficiary whether as a result of any proceedings in bankruptcy or reorganization or otherwise.</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Each Guarantor further agrees that, without limiting the generality of this Guaranty, if an Event of Default shall have occurred and be continuing and any Beneficiary is prevented by Applicable Law from exercising its remedies under the Operative Documents, the Administrative Agent shall be entitled to receive hereunder from Guarantors, upon demand therefor, the sums which would have otherwise been due from Lessee to any such Beneficiary had such remedies been exercised.</w:t>
      </w:r>
    </w:p>
    <w:p>
      <w:pPr>
        <w:spacing w:after="0" w:line="18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Notwithstanding anything to the contrary herein, nothing contained in this Section 2 shall (i) prevent the assertion by any Guarantor or Lessee of any claim such Person may have against any Beneficiary by separate suit or proceedings or by compulsory counterclaim or (ii) constitute a waiver of any such claim, including, without limitation, any such claim arising from any breach or non-compliance by any Beneficiary of any Operative Document or any term of any instrument or agreement referred to in clause (A) of the first paragraph of this Section 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816"/>
        <w:spacing w:after="0" w:line="268" w:lineRule="auto"/>
        <w:rPr>
          <w:sz w:val="20"/>
          <w:szCs w:val="20"/>
          <w:color w:val="auto"/>
        </w:rPr>
      </w:pPr>
      <w:r>
        <w:rPr>
          <w:rFonts w:ascii="Arial" w:cs="Arial" w:eastAsia="Arial" w:hAnsi="Arial"/>
          <w:sz w:val="17"/>
          <w:szCs w:val="17"/>
          <w:i w:val="1"/>
          <w:iCs w:val="1"/>
          <w:color w:val="auto"/>
        </w:rPr>
        <w:t xml:space="preserve">Section 3. Subordination of Subrogation. </w:t>
      </w:r>
      <w:r>
        <w:rPr>
          <w:rFonts w:ascii="Arial" w:cs="Arial" w:eastAsia="Arial" w:hAnsi="Arial"/>
          <w:sz w:val="17"/>
          <w:szCs w:val="17"/>
          <w:color w:val="auto"/>
        </w:rPr>
        <w:t>Until full and indefeasible payment and performance of all of the Liabilities or the termination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Guaranty pursuant to Section 17(d), no Guarantor will exercise any rights with respect to any claim or other rights which it may now or hereafter acquire against Lessee arising from the existence, payment, performance or enforcement of such Guarantor’s obligations under this Guaranty or any other Operative Document, including any right of subrogation, reimbursement, contribution, exoneration, or indemnification, any right to participate in any claim or remedy of any Beneficiary against Lessee or any property or assets now or hereafter constituting part of the Collateral, whether or not such claim, remedy or right arises in equity, or under contract, statute or common law, including the right to take or receive from Lessee directly or indirectly, in cash or other property or by setoff or in any manner, payment or security on account of such claim or other rights (other than to file proofs of claims only if the obligation owing to each Beneficiary hereunder has been fully satisfied). If any amount shall be paid to any Guarantor in violation of the preceding sentence and the Liabilities shall not have been indefeasibly paid in cash or this Guaranty terminated pursuant to Section 17(d), such amount shall be deemed to have been paid to such Guarantor for the benefit of, and held in trust for, the Administrative Agent, for the benefit of the Beneficiaries, and shall forthwith be paid to the Administrative Agent to be credited and applied pursuant to the terms of the Operative Documents. Each Guarantor acknowledges that it will receive direct and indirect benefits from the financing arrangements contemplated by the Operative Documents and that the waiver set forth in this paragraph is knowingly made in contemplation of such benefits.</w:t>
      </w:r>
    </w:p>
    <w:p>
      <w:pPr>
        <w:spacing w:after="0" w:line="188"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Each Guarantor hereby absolutely, unconditionally and irrevocably waives and agrees not to assert or take advantage of any defense based upon an election of remedies by any Beneficiary, including an election to proceed by nonjudicial rather than judicial foreclosure, which destroys or impairs any right of subrogation of such Guarantor or the right of such Guarantor to proceed against any Person for reimbursement, or both.</w:t>
      </w:r>
    </w:p>
    <w:p>
      <w:pPr>
        <w:spacing w:after="0" w:line="166"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If all the Liabilities shall be paid indefeasibly in full or performed, Lessee, Lessor, Administrative Agent and/or the Lenders, as the case may be, will, at Guarantors’ request and expense, execute and deliver to Guarantors appropriate documents, without recourse and without warranty or representation, necessary to evidence the transfer by subrogation to Guarantors of an interest in the Liabilities resulting from such payment by Guarantors.</w:t>
      </w:r>
    </w:p>
    <w:p>
      <w:pPr>
        <w:spacing w:after="0" w:line="147" w:lineRule="exact"/>
        <w:rPr>
          <w:sz w:val="20"/>
          <w:szCs w:val="20"/>
          <w:color w:val="auto"/>
        </w:rPr>
      </w:pPr>
    </w:p>
    <w:p>
      <w:pPr>
        <w:ind w:firstLine="816"/>
        <w:spacing w:after="0" w:line="259" w:lineRule="auto"/>
        <w:rPr>
          <w:sz w:val="20"/>
          <w:szCs w:val="20"/>
          <w:color w:val="auto"/>
        </w:rPr>
      </w:pPr>
      <w:r>
        <w:rPr>
          <w:rFonts w:ascii="Arial" w:cs="Arial" w:eastAsia="Arial" w:hAnsi="Arial"/>
          <w:sz w:val="18"/>
          <w:szCs w:val="18"/>
          <w:i w:val="1"/>
          <w:iCs w:val="1"/>
          <w:color w:val="auto"/>
        </w:rPr>
        <w:t>Section 4. Reasonableness and Effect of Waivers</w:t>
      </w:r>
      <w:r>
        <w:rPr>
          <w:rFonts w:ascii="Arial" w:cs="Arial" w:eastAsia="Arial" w:hAnsi="Arial"/>
          <w:sz w:val="18"/>
          <w:szCs w:val="18"/>
          <w:color w:val="auto"/>
        </w:rPr>
        <w:t>. Each Guarantor warrants and agrees that each of the waivers set forth in this Guaranty is</w:t>
      </w:r>
      <w:r>
        <w:rPr>
          <w:rFonts w:ascii="Arial" w:cs="Arial" w:eastAsia="Arial" w:hAnsi="Arial"/>
          <w:sz w:val="18"/>
          <w:szCs w:val="18"/>
          <w:i w:val="1"/>
          <w:iCs w:val="1"/>
          <w:color w:val="auto"/>
        </w:rPr>
        <w:t xml:space="preserve"> </w:t>
      </w:r>
      <w:r>
        <w:rPr>
          <w:rFonts w:ascii="Arial" w:cs="Arial" w:eastAsia="Arial" w:hAnsi="Arial"/>
          <w:sz w:val="18"/>
          <w:szCs w:val="18"/>
          <w:color w:val="auto"/>
        </w:rPr>
        <w:t>made with full knowledge of its significance and consequences and that, under the circumstances, the waivers are reasonable and not contrary to public policy or law. If any of such waivers are determined to be contrary to any Applicable Law or public policy, such waivers shall be effective only to the maximum extent permitted by law.</w:t>
      </w:r>
    </w:p>
    <w:p>
      <w:pPr>
        <w:spacing w:after="0" w:line="187" w:lineRule="exact"/>
        <w:rPr>
          <w:sz w:val="20"/>
          <w:szCs w:val="20"/>
          <w:color w:val="auto"/>
        </w:rPr>
      </w:pPr>
    </w:p>
    <w:p>
      <w:pPr>
        <w:ind w:right="40" w:firstLine="816"/>
        <w:spacing w:after="0" w:line="342" w:lineRule="auto"/>
        <w:rPr>
          <w:sz w:val="20"/>
          <w:szCs w:val="20"/>
          <w:color w:val="auto"/>
        </w:rPr>
      </w:pPr>
      <w:r>
        <w:rPr>
          <w:rFonts w:ascii="Arial" w:cs="Arial" w:eastAsia="Arial" w:hAnsi="Arial"/>
          <w:sz w:val="16"/>
          <w:szCs w:val="16"/>
          <w:i w:val="1"/>
          <w:iCs w:val="1"/>
          <w:color w:val="auto"/>
        </w:rPr>
        <w:t>Section 5. Transfers by Beneficiaries</w:t>
      </w:r>
      <w:r>
        <w:rPr>
          <w:rFonts w:ascii="Arial" w:cs="Arial" w:eastAsia="Arial" w:hAnsi="Arial"/>
          <w:sz w:val="16"/>
          <w:szCs w:val="16"/>
          <w:color w:val="auto"/>
        </w:rPr>
        <w:t>. Each Beneficiary may, from time to time, whether before or after any discontinuance of this Guaranty, at</w:t>
      </w:r>
      <w:r>
        <w:rPr>
          <w:rFonts w:ascii="Arial" w:cs="Arial" w:eastAsia="Arial" w:hAnsi="Arial"/>
          <w:sz w:val="16"/>
          <w:szCs w:val="16"/>
          <w:i w:val="1"/>
          <w:iCs w:val="1"/>
          <w:color w:val="auto"/>
        </w:rPr>
        <w:t xml:space="preserve"> </w:t>
      </w:r>
      <w:r>
        <w:rPr>
          <w:rFonts w:ascii="Arial" w:cs="Arial" w:eastAsia="Arial" w:hAnsi="Arial"/>
          <w:sz w:val="16"/>
          <w:szCs w:val="16"/>
          <w:color w:val="auto"/>
        </w:rPr>
        <w:t>its sole discretion and without notice to Guarantors, assign or transfer any or all of its portion of the Liabilities or any interest therein in accordance with the</w:t>
      </w:r>
    </w:p>
    <w:p>
      <w:pPr>
        <w:sectPr>
          <w:pgSz w:w="11900" w:h="16975" w:orient="portrait"/>
          <w:cols w:equalWidth="0" w:num="1">
            <w:col w:w="11400"/>
          </w:cols>
          <w:pgMar w:left="240" w:top="125" w:right="259" w:bottom="0" w:gutter="0" w:footer="0" w:header="0"/>
        </w:sectPr>
      </w:pPr>
    </w:p>
    <w:bookmarkStart w:id="146" w:name="page147"/>
    <w:bookmarkEnd w:id="146"/>
    <w:p>
      <w:pPr>
        <w:ind w:right="320"/>
        <w:spacing w:after="0" w:line="277" w:lineRule="auto"/>
        <w:rPr>
          <w:sz w:val="20"/>
          <w:szCs w:val="20"/>
          <w:color w:val="auto"/>
        </w:rPr>
      </w:pPr>
      <w:r>
        <w:rPr>
          <w:rFonts w:ascii="Arial" w:cs="Arial" w:eastAsia="Arial" w:hAnsi="Arial"/>
          <w:sz w:val="18"/>
          <w:szCs w:val="18"/>
          <w:color w:val="auto"/>
        </w:rPr>
        <w:t>terms and conditions of the Operative Documents; and, notwithstanding any such assignment or transfer or any subsequent assignment or transfer thereof, such Liabilities shall be and remain Liabilities for the purposes of this Guaranty,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each and every immediate and successive permitted assignee or transferee of any of the Liabilities or of any interest therein shall, to the extent of such assignee’s or transferee’s interest in the Liabilities, be entitled to the benefits of this Guaranty to the same extent as if such assignee or transferee were such Beneficiary.</w:t>
      </w:r>
    </w:p>
    <w:p>
      <w:pPr>
        <w:spacing w:after="0" w:line="181" w:lineRule="exact"/>
        <w:rPr>
          <w:sz w:val="20"/>
          <w:szCs w:val="20"/>
          <w:color w:val="auto"/>
        </w:rPr>
      </w:pPr>
    </w:p>
    <w:p>
      <w:pPr>
        <w:ind w:firstLine="816"/>
        <w:spacing w:after="0" w:line="279" w:lineRule="auto"/>
        <w:rPr>
          <w:sz w:val="20"/>
          <w:szCs w:val="20"/>
          <w:color w:val="auto"/>
        </w:rPr>
      </w:pPr>
      <w:r>
        <w:rPr>
          <w:rFonts w:ascii="Arial" w:cs="Arial" w:eastAsia="Arial" w:hAnsi="Arial"/>
          <w:sz w:val="17"/>
          <w:szCs w:val="17"/>
          <w:i w:val="1"/>
          <w:iCs w:val="1"/>
          <w:color w:val="auto"/>
        </w:rPr>
        <w:t>Section 6. No Waiver by Beneficiaries</w:t>
      </w:r>
      <w:r>
        <w:rPr>
          <w:rFonts w:ascii="Arial" w:cs="Arial" w:eastAsia="Arial" w:hAnsi="Arial"/>
          <w:sz w:val="17"/>
          <w:szCs w:val="17"/>
          <w:color w:val="auto"/>
        </w:rPr>
        <w:t>. No delay in the exercise of any right or remedy shall operate as a waiver thereof, and no single or</w:t>
      </w:r>
      <w:r>
        <w:rPr>
          <w:rFonts w:ascii="Arial" w:cs="Arial" w:eastAsia="Arial" w:hAnsi="Arial"/>
          <w:sz w:val="17"/>
          <w:szCs w:val="17"/>
          <w:i w:val="1"/>
          <w:iCs w:val="1"/>
          <w:color w:val="auto"/>
        </w:rPr>
        <w:t xml:space="preserve"> </w:t>
      </w:r>
      <w:r>
        <w:rPr>
          <w:rFonts w:ascii="Arial" w:cs="Arial" w:eastAsia="Arial" w:hAnsi="Arial"/>
          <w:sz w:val="17"/>
          <w:szCs w:val="17"/>
          <w:color w:val="auto"/>
        </w:rPr>
        <w:t>partial exercise of any right or remedy shall preclude other or further exercise thereof or the exercise of any other right or remedy. The rights and remedies provided in this Guaranty shall be cumulative and not exclusive of any rights or remedies provided by Applicable Law. Each Guarantor hereby acknowledges that there are no conditions to the effectiveness of this Guaranty, other than the occurrence of the Document Closing Date.</w:t>
      </w:r>
    </w:p>
    <w:p>
      <w:pPr>
        <w:spacing w:after="0" w:line="171" w:lineRule="exact"/>
        <w:rPr>
          <w:sz w:val="20"/>
          <w:szCs w:val="20"/>
          <w:color w:val="auto"/>
        </w:rPr>
      </w:pPr>
    </w:p>
    <w:p>
      <w:pPr>
        <w:ind w:right="180" w:firstLine="810"/>
        <w:spacing w:after="0" w:line="264" w:lineRule="auto"/>
        <w:rPr>
          <w:sz w:val="20"/>
          <w:szCs w:val="20"/>
          <w:color w:val="auto"/>
        </w:rPr>
      </w:pPr>
      <w:r>
        <w:rPr>
          <w:rFonts w:ascii="Arial" w:cs="Arial" w:eastAsia="Arial" w:hAnsi="Arial"/>
          <w:sz w:val="18"/>
          <w:szCs w:val="18"/>
          <w:i w:val="1"/>
          <w:iCs w:val="1"/>
          <w:color w:val="auto"/>
        </w:rPr>
        <w:t xml:space="preserve">Section 7. Guarantor Representations and Warranties. </w:t>
      </w:r>
      <w:r>
        <w:rPr>
          <w:rFonts w:ascii="Arial" w:cs="Arial" w:eastAsia="Arial" w:hAnsi="Arial"/>
          <w:sz w:val="18"/>
          <w:szCs w:val="18"/>
          <w:color w:val="auto"/>
        </w:rPr>
        <w:t>Parent Guarantor, on behalf of itself and its Subsidiaries, and as applicable, each</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Guarantor (as to itself), represents and warrants to the Administrative Agent and each of the Participants as of the Document Closing Date, other than with respect to Disclosed Matters, that:</w:t>
      </w:r>
    </w:p>
    <w:p>
      <w:pPr>
        <w:spacing w:after="0" w:line="181" w:lineRule="exact"/>
        <w:rPr>
          <w:sz w:val="20"/>
          <w:szCs w:val="20"/>
          <w:color w:val="auto"/>
        </w:rPr>
      </w:pPr>
    </w:p>
    <w:p>
      <w:pPr>
        <w:ind w:firstLine="660"/>
        <w:spacing w:after="0" w:line="284" w:lineRule="auto"/>
        <w:tabs>
          <w:tab w:leader="none" w:pos="897" w:val="left"/>
        </w:tabs>
        <w:numPr>
          <w:ilvl w:val="1"/>
          <w:numId w:val="288"/>
        </w:numPr>
        <w:rPr>
          <w:rFonts w:ascii="Arial" w:cs="Arial" w:eastAsia="Arial" w:hAnsi="Arial"/>
          <w:sz w:val="16"/>
          <w:szCs w:val="16"/>
          <w:color w:val="auto"/>
        </w:rPr>
      </w:pPr>
      <w:r>
        <w:rPr>
          <w:rFonts w:ascii="Arial" w:cs="Arial" w:eastAsia="Arial" w:hAnsi="Arial"/>
          <w:sz w:val="16"/>
          <w:szCs w:val="16"/>
          <w:i w:val="1"/>
          <w:iCs w:val="1"/>
          <w:color w:val="auto"/>
        </w:rPr>
        <w:t>Organization; Powers; Subsidiaries</w:t>
      </w:r>
      <w:r>
        <w:rPr>
          <w:rFonts w:ascii="Arial" w:cs="Arial" w:eastAsia="Arial" w:hAnsi="Arial"/>
          <w:sz w:val="16"/>
          <w:szCs w:val="16"/>
          <w:color w:val="auto"/>
        </w:rPr>
        <w:t>. Each Guarantor and its Material Subsidiaries is duly organized or incorporated, as the case may be, validly</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and in good standing (to the extent the concept is applicable in such jurisdiction) under the laws of the jurisdiction of its organization, has all requisite organizational power and authority to carry on its business as now conducted and, except where the failure to do so could not reasonably be expected to result in a Material Adverse Effect, is qualified to do business in, and (to the extent the concept is applicable in such jurisdiction) is in good standing in, every jurisdiction where its ownership, lease or operation of properties or the conduct of its business requires such qualification. Schedule 7(a) hereto identifies each Subsidiary as of the Document Closing Date, noting whether such Subsidiary is a Material Domestic Subsidiary and/or a Material Subsidiary as of the Document Closing Date, the jurisdiction of its incorporation or organization, as the case may be, the percentage of issued and outstanding shares of each class of its capital stock or other equity interests owned by the Parent Guarantor and the other Subsidiaries and, if such percentage is not 100% (excluding</w:t>
      </w:r>
    </w:p>
    <w:p>
      <w:pPr>
        <w:spacing w:after="0" w:line="1" w:lineRule="exact"/>
        <w:rPr>
          <w:rFonts w:ascii="Arial" w:cs="Arial" w:eastAsia="Arial" w:hAnsi="Arial"/>
          <w:sz w:val="16"/>
          <w:szCs w:val="16"/>
          <w:color w:val="auto"/>
        </w:rPr>
      </w:pPr>
    </w:p>
    <w:p>
      <w:pPr>
        <w:ind w:right="140" w:firstLine="8"/>
        <w:spacing w:after="0" w:line="269" w:lineRule="auto"/>
        <w:tabs>
          <w:tab w:leader="none" w:pos="215" w:val="left"/>
        </w:tabs>
        <w:numPr>
          <w:ilvl w:val="0"/>
          <w:numId w:val="289"/>
        </w:numPr>
        <w:rPr>
          <w:rFonts w:ascii="Arial" w:cs="Arial" w:eastAsia="Arial" w:hAnsi="Arial"/>
          <w:sz w:val="17"/>
          <w:szCs w:val="17"/>
          <w:color w:val="auto"/>
        </w:rPr>
      </w:pPr>
      <w:r>
        <w:rPr>
          <w:rFonts w:ascii="Arial" w:cs="Arial" w:eastAsia="Arial" w:hAnsi="Arial"/>
          <w:sz w:val="17"/>
          <w:szCs w:val="17"/>
          <w:color w:val="auto"/>
        </w:rPr>
        <w:t>directors’ qualifying shares and (ii) shares issued to foreign nationals to the extent required by applicable law), a description of each class issued and outstanding. All of the outstanding shares of capital stock and other equity interests of the Lessee and each Material Subsidiary are validly issued and outstanding and fully paid and nonassessable and all such shares and other equity interests indicated on Schedule 7(a) as owned by the Parent Guarantor or another Subsidiary are owned, beneficially and of record, by the Parent Guarantor or any Subsidiary free and clear of all Liens, other than Liens permitted pursuant to Section 9(b). Except for Disclosed Matters or as set forth on Schedule 7(a), as of the Document Closing Date, there are no outstanding commitments or other obligations of the Parent Guarantor, Lessee or any Material Subsidiary to issue, and no options, warrants or other rights of any Person to acquire, any shares of any class of capital stock or other equity interests of Lessee or any Material Subsidiary.</w:t>
      </w:r>
    </w:p>
    <w:p>
      <w:pPr>
        <w:spacing w:after="0" w:line="180" w:lineRule="exact"/>
        <w:rPr>
          <w:rFonts w:ascii="Arial" w:cs="Arial" w:eastAsia="Arial" w:hAnsi="Arial"/>
          <w:sz w:val="17"/>
          <w:szCs w:val="17"/>
          <w:color w:val="auto"/>
        </w:rPr>
      </w:pPr>
    </w:p>
    <w:p>
      <w:pPr>
        <w:ind w:right="340" w:firstLine="1327"/>
        <w:spacing w:after="0" w:line="277" w:lineRule="auto"/>
        <w:tabs>
          <w:tab w:leader="none" w:pos="1812" w:val="left"/>
        </w:tabs>
        <w:numPr>
          <w:ilvl w:val="2"/>
          <w:numId w:val="289"/>
        </w:numPr>
        <w:rPr>
          <w:rFonts w:ascii="Arial" w:cs="Arial" w:eastAsia="Arial" w:hAnsi="Arial"/>
          <w:sz w:val="18"/>
          <w:szCs w:val="18"/>
          <w:color w:val="auto"/>
        </w:rPr>
      </w:pPr>
      <w:r>
        <w:rPr>
          <w:rFonts w:ascii="Arial" w:cs="Arial" w:eastAsia="Arial" w:hAnsi="Arial"/>
          <w:sz w:val="18"/>
          <w:szCs w:val="18"/>
          <w:i w:val="1"/>
          <w:iCs w:val="1"/>
          <w:color w:val="auto"/>
        </w:rPr>
        <w:t xml:space="preserve">Authorization; Enforceability. </w:t>
      </w:r>
      <w:r>
        <w:rPr>
          <w:rFonts w:ascii="Arial" w:cs="Arial" w:eastAsia="Arial" w:hAnsi="Arial"/>
          <w:sz w:val="18"/>
          <w:szCs w:val="18"/>
          <w:color w:val="auto"/>
        </w:rPr>
        <w:t>The Operative Documents are within each Guarantor’s organizational powers and have been duly</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by all necessary organizational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actions and, if required, actions by equity holders. The Operative Documents to which any Guarantor is a party have been duly executed and delivered by such Guarantor and constitute a legal, valid and binding obligation of such Guarantor, enforceable in accordance with its terms, subject to (i) applicable bankruptcy, insolvency, examinership, reorganization, moratorium or other laws affecting creditors’ rights generally, (ii) general principles of equity, regardless of whether considered in a proceeding in equity or at law and (iii) requirements of reasonableness, good faith and fair dealing.</w:t>
      </w:r>
    </w:p>
    <w:p>
      <w:pPr>
        <w:spacing w:after="0" w:line="154" w:lineRule="exact"/>
        <w:rPr>
          <w:sz w:val="20"/>
          <w:szCs w:val="20"/>
          <w:color w:val="auto"/>
        </w:rPr>
      </w:pPr>
    </w:p>
    <w:p>
      <w:pPr>
        <w:ind w:right="20" w:firstLine="1334"/>
        <w:spacing w:after="0" w:line="270" w:lineRule="auto"/>
        <w:tabs>
          <w:tab w:leader="none" w:pos="1958" w:val="left"/>
        </w:tabs>
        <w:numPr>
          <w:ilvl w:val="1"/>
          <w:numId w:val="290"/>
        </w:numPr>
        <w:rPr>
          <w:rFonts w:ascii="Arial" w:cs="Arial" w:eastAsia="Arial" w:hAnsi="Arial"/>
          <w:sz w:val="17"/>
          <w:szCs w:val="17"/>
          <w:color w:val="auto"/>
        </w:rPr>
      </w:pPr>
      <w:r>
        <w:rPr>
          <w:rFonts w:ascii="Arial" w:cs="Arial" w:eastAsia="Arial" w:hAnsi="Arial"/>
          <w:sz w:val="17"/>
          <w:szCs w:val="17"/>
          <w:i w:val="1"/>
          <w:iCs w:val="1"/>
          <w:color w:val="auto"/>
        </w:rPr>
        <w:t>Governmental Approvals; No Conflicts</w:t>
      </w:r>
      <w:r>
        <w:rPr>
          <w:rFonts w:ascii="Arial" w:cs="Arial" w:eastAsia="Arial" w:hAnsi="Arial"/>
          <w:sz w:val="17"/>
          <w:szCs w:val="17"/>
          <w:color w:val="auto"/>
        </w:rPr>
        <w:t>. The execution, delivery and performance by each Guarantor of the Operative Documents</w:t>
      </w:r>
      <w:r>
        <w:rPr>
          <w:rFonts w:ascii="Arial" w:cs="Arial" w:eastAsia="Arial" w:hAnsi="Arial"/>
          <w:sz w:val="17"/>
          <w:szCs w:val="17"/>
          <w:i w:val="1"/>
          <w:iCs w:val="1"/>
          <w:color w:val="auto"/>
        </w:rPr>
        <w:t xml:space="preserve"> </w:t>
      </w:r>
      <w:r>
        <w:rPr>
          <w:rFonts w:ascii="Arial" w:cs="Arial" w:eastAsia="Arial" w:hAnsi="Arial"/>
          <w:sz w:val="17"/>
          <w:szCs w:val="17"/>
          <w:color w:val="auto"/>
        </w:rPr>
        <w:t>to which such Guarantor is a party (i) do not require any consent or approval of, registration or filing with, or any other action by, any Governmental Authority, except such as have been, or will be by the time required, obtained or made and are, or will be by the time required, in full force and effect, (ii) will not violate in any material respect any applicable material law or regulation or the charter, by-laws or other organizational documents of such Guarantor or any material order of any Governmental Authority binding upon any Guarantor or its assets, (iii) will not violate in any material respect or result in a default under any indenture, material agreement or other material instrument binding upon such Guarantor or any of its Material Subsidiaries or its assets, or give rise to a right thereunder to require any payment to be made by any Guarantor or any of its Material Subsidiaries, except, in the case of this clause (iii), for any such violations, defaults or rights that could not reasonably be expected to result in a Material Adverse Effect, and (iv) will not result in the creation or imposition of any Lien on any asset of such Guarantor or any of its Material Subsidiaries, other than Permitted Liens and requirements (if any) to provide cash collateral or deposits under any of the Operative Documents.</w:t>
      </w:r>
    </w:p>
    <w:p>
      <w:pPr>
        <w:spacing w:after="0" w:line="177" w:lineRule="exact"/>
        <w:rPr>
          <w:rFonts w:ascii="Arial" w:cs="Arial" w:eastAsia="Arial" w:hAnsi="Arial"/>
          <w:sz w:val="17"/>
          <w:szCs w:val="17"/>
          <w:color w:val="auto"/>
        </w:rPr>
      </w:pPr>
    </w:p>
    <w:p>
      <w:pPr>
        <w:ind w:right="120" w:firstLine="1327"/>
        <w:spacing w:after="0" w:line="257" w:lineRule="auto"/>
        <w:tabs>
          <w:tab w:leader="none" w:pos="1812" w:val="left"/>
        </w:tabs>
        <w:numPr>
          <w:ilvl w:val="1"/>
          <w:numId w:val="290"/>
        </w:numPr>
        <w:rPr>
          <w:rFonts w:ascii="Arial" w:cs="Arial" w:eastAsia="Arial" w:hAnsi="Arial"/>
          <w:sz w:val="18"/>
          <w:szCs w:val="18"/>
          <w:color w:val="auto"/>
        </w:rPr>
      </w:pPr>
      <w:r>
        <w:rPr>
          <w:rFonts w:ascii="Arial" w:cs="Arial" w:eastAsia="Arial" w:hAnsi="Arial"/>
          <w:sz w:val="18"/>
          <w:szCs w:val="18"/>
          <w:i w:val="1"/>
          <w:iCs w:val="1"/>
          <w:color w:val="auto"/>
        </w:rPr>
        <w:t>Financial Condition; No Material Adverse Change</w:t>
      </w:r>
      <w:r>
        <w:rPr>
          <w:rFonts w:ascii="Arial" w:cs="Arial" w:eastAsia="Arial" w:hAnsi="Arial"/>
          <w:sz w:val="18"/>
          <w:szCs w:val="18"/>
          <w:color w:val="auto"/>
        </w:rPr>
        <w:t>. (i) The Parent Guarantor has heretofore furnished to the Participants its</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 and statements of operations, stockholders equity and cash flows as of and for the fiscal quarter ended September 30, 2016. Such financial statements present fairly, in all material respects, the financial position and results of operations and cash flows of the Parent Guarantor and its consolidated Subsidiaries as of such dates and for such periods in accordance with GAAP, subject to normal year-end audit adjustments and the absence of footnotes.</w:t>
      </w:r>
    </w:p>
    <w:p>
      <w:pPr>
        <w:spacing w:after="0" w:line="188" w:lineRule="exact"/>
        <w:rPr>
          <w:rFonts w:ascii="Arial" w:cs="Arial" w:eastAsia="Arial" w:hAnsi="Arial"/>
          <w:sz w:val="18"/>
          <w:szCs w:val="18"/>
          <w:color w:val="auto"/>
        </w:rPr>
      </w:pPr>
    </w:p>
    <w:p>
      <w:pPr>
        <w:ind w:left="660" w:right="360" w:firstLine="464"/>
        <w:spacing w:after="0" w:line="342" w:lineRule="auto"/>
        <w:tabs>
          <w:tab w:leader="none" w:pos="1983" w:val="left"/>
        </w:tabs>
        <w:numPr>
          <w:ilvl w:val="0"/>
          <w:numId w:val="291"/>
        </w:numPr>
        <w:rPr>
          <w:rFonts w:ascii="Arial" w:cs="Arial" w:eastAsia="Arial" w:hAnsi="Arial"/>
          <w:sz w:val="16"/>
          <w:szCs w:val="16"/>
          <w:color w:val="auto"/>
        </w:rPr>
      </w:pPr>
      <w:r>
        <w:rPr>
          <w:rFonts w:ascii="Arial" w:cs="Arial" w:eastAsia="Arial" w:hAnsi="Arial"/>
          <w:sz w:val="16"/>
          <w:szCs w:val="16"/>
          <w:color w:val="auto"/>
        </w:rPr>
        <w:t>As of the Document Closing Date and excluding any Disclosed Matters, since September 30, 2016, there has been no material adverse change in the business, assets, operations or financial condition of the Parent Guarantor and its Subsidiaries, taken as a whole.</w:t>
      </w:r>
    </w:p>
    <w:p>
      <w:pPr>
        <w:spacing w:after="0" w:line="123" w:lineRule="exact"/>
        <w:rPr>
          <w:rFonts w:ascii="Arial" w:cs="Arial" w:eastAsia="Arial" w:hAnsi="Arial"/>
          <w:sz w:val="16"/>
          <w:szCs w:val="16"/>
          <w:color w:val="auto"/>
        </w:rPr>
      </w:pPr>
    </w:p>
    <w:p>
      <w:pPr>
        <w:ind w:right="20" w:firstLine="1334"/>
        <w:spacing w:after="0" w:line="259" w:lineRule="auto"/>
        <w:tabs>
          <w:tab w:leader="none" w:pos="1958" w:val="left"/>
        </w:tabs>
        <w:numPr>
          <w:ilvl w:val="1"/>
          <w:numId w:val="291"/>
        </w:numPr>
        <w:rPr>
          <w:rFonts w:ascii="Arial" w:cs="Arial" w:eastAsia="Arial" w:hAnsi="Arial"/>
          <w:sz w:val="18"/>
          <w:szCs w:val="18"/>
          <w:color w:val="auto"/>
        </w:rPr>
      </w:pPr>
      <w:r>
        <w:rPr>
          <w:rFonts w:ascii="Arial" w:cs="Arial" w:eastAsia="Arial" w:hAnsi="Arial"/>
          <w:sz w:val="18"/>
          <w:szCs w:val="18"/>
          <w:i w:val="1"/>
          <w:iCs w:val="1"/>
          <w:color w:val="auto"/>
        </w:rPr>
        <w:t xml:space="preserve">Properties. </w:t>
      </w:r>
      <w:r>
        <w:rPr>
          <w:rFonts w:ascii="Arial" w:cs="Arial" w:eastAsia="Arial" w:hAnsi="Arial"/>
          <w:sz w:val="18"/>
          <w:szCs w:val="18"/>
          <w:color w:val="auto"/>
        </w:rPr>
        <w:t>(i) Except for Liens permitted pursuant to Section 9(b), each of the Parent Guarantor and its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Lessee) has good title to, or (to the knowledge of the Parent Guarantor) valid leasehold interests in, all its real and personal property (other than intellectual property, which is subject to Section 7(e)(ii)) material to its business, except as could not reasonably be expected to result in a Material Adverse Effect.</w:t>
      </w:r>
    </w:p>
    <w:p>
      <w:pPr>
        <w:spacing w:after="0" w:line="187" w:lineRule="exact"/>
        <w:rPr>
          <w:sz w:val="20"/>
          <w:szCs w:val="20"/>
          <w:color w:val="auto"/>
        </w:rPr>
      </w:pPr>
    </w:p>
    <w:p>
      <w:pPr>
        <w:ind w:left="660" w:right="100" w:firstLine="464"/>
        <w:spacing w:after="0" w:line="277" w:lineRule="auto"/>
        <w:tabs>
          <w:tab w:leader="none" w:pos="1983"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Except for Disclosed Matters or as could not reasonably be expected to result in a Material Adverse Effect, (A) each of the Parent Guarantor and its Subsidiaries</w:t>
      </w:r>
    </w:p>
    <w:p>
      <w:pPr>
        <w:sectPr>
          <w:pgSz w:w="11900" w:h="16838" w:orient="portrait"/>
          <w:cols w:equalWidth="0" w:num="1">
            <w:col w:w="11420"/>
          </w:cols>
          <w:pgMar w:left="240" w:top="125" w:right="239" w:bottom="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60"/>
        <w:spacing w:after="0" w:line="312" w:lineRule="auto"/>
        <w:rPr>
          <w:sz w:val="20"/>
          <w:szCs w:val="20"/>
          <w:color w:val="auto"/>
        </w:rPr>
      </w:pPr>
      <w:r>
        <w:rPr>
          <w:rFonts w:ascii="Arial" w:cs="Arial" w:eastAsia="Arial" w:hAnsi="Arial"/>
          <w:sz w:val="16"/>
          <w:szCs w:val="16"/>
          <w:color w:val="auto"/>
        </w:rPr>
        <w:t>(including the Lessee) owns or is licensed to use (subject to the knowledge-qualified infringement representation in this Section 7(e)) all trademarks, trade names, copyrights, patents and other intellectual property material to its business, and (B) the use thereof by the Parent Guarantor and its Subsidiaries (including the Lessee), to the Parent Guarantor’s knowledge, does not infringe upon the rights of any other Person.</w:t>
      </w:r>
    </w:p>
    <w:p>
      <w:pPr>
        <w:spacing w:after="0" w:line="147" w:lineRule="exact"/>
        <w:rPr>
          <w:sz w:val="20"/>
          <w:szCs w:val="20"/>
          <w:color w:val="auto"/>
        </w:rPr>
      </w:pPr>
    </w:p>
    <w:p>
      <w:pPr>
        <w:ind w:left="-20" w:right="40" w:firstLine="1357"/>
        <w:spacing w:after="0" w:line="279" w:lineRule="auto"/>
        <w:tabs>
          <w:tab w:leader="none" w:pos="1927" w:val="left"/>
        </w:tabs>
        <w:numPr>
          <w:ilvl w:val="0"/>
          <w:numId w:val="293"/>
        </w:numPr>
        <w:rPr>
          <w:rFonts w:ascii="Arial" w:cs="Arial" w:eastAsia="Arial" w:hAnsi="Arial"/>
          <w:sz w:val="17"/>
          <w:szCs w:val="17"/>
          <w:color w:val="auto"/>
        </w:rPr>
      </w:pPr>
      <w:r>
        <w:rPr>
          <w:rFonts w:ascii="Arial" w:cs="Arial" w:eastAsia="Arial" w:hAnsi="Arial"/>
          <w:sz w:val="17"/>
          <w:szCs w:val="17"/>
          <w:i w:val="1"/>
          <w:iCs w:val="1"/>
          <w:color w:val="auto"/>
        </w:rPr>
        <w:t>Litigation; Environmental Matters</w:t>
      </w:r>
      <w:r>
        <w:rPr>
          <w:rFonts w:ascii="Arial" w:cs="Arial" w:eastAsia="Arial" w:hAnsi="Arial"/>
          <w:sz w:val="17"/>
          <w:szCs w:val="17"/>
          <w:color w:val="auto"/>
        </w:rPr>
        <w:t>. (i) As of the Document Closing Date and except for Disclosed Matters, there are no actions,</w:t>
      </w:r>
      <w:r>
        <w:rPr>
          <w:rFonts w:ascii="Arial" w:cs="Arial" w:eastAsia="Arial" w:hAnsi="Arial"/>
          <w:sz w:val="17"/>
          <w:szCs w:val="17"/>
          <w:i w:val="1"/>
          <w:iCs w:val="1"/>
          <w:color w:val="auto"/>
        </w:rPr>
        <w:t xml:space="preserve"> </w:t>
      </w:r>
      <w:r>
        <w:rPr>
          <w:rFonts w:ascii="Arial" w:cs="Arial" w:eastAsia="Arial" w:hAnsi="Arial"/>
          <w:sz w:val="17"/>
          <w:szCs w:val="17"/>
          <w:color w:val="auto"/>
        </w:rPr>
        <w:t>suits, proceedings or investigations by or before any arbitrator or Governmental Authority pending against or, to the knowledge of the Parent Guarantor, threatened in writing against or affecting the Parent Guarantor or any of its Subsidiaries (including the Lessee) (A) that could reasonably be expected to result in a Material Adverse Effect or (B) that involve this Guaranty, the Operative Documents or the Overall Transaction.</w:t>
      </w:r>
    </w:p>
    <w:p>
      <w:pPr>
        <w:spacing w:after="0" w:line="171" w:lineRule="exact"/>
        <w:rPr>
          <w:sz w:val="20"/>
          <w:szCs w:val="20"/>
          <w:color w:val="auto"/>
        </w:rPr>
      </w:pPr>
    </w:p>
    <w:p>
      <w:pPr>
        <w:ind w:left="640" w:firstLine="660"/>
        <w:spacing w:after="0" w:line="286" w:lineRule="auto"/>
        <w:tabs>
          <w:tab w:leader="none" w:pos="1969" w:val="left"/>
        </w:tabs>
        <w:numPr>
          <w:ilvl w:val="2"/>
          <w:numId w:val="294"/>
        </w:numPr>
        <w:rPr>
          <w:rFonts w:ascii="Arial" w:cs="Arial" w:eastAsia="Arial" w:hAnsi="Arial"/>
          <w:sz w:val="16"/>
          <w:szCs w:val="16"/>
          <w:color w:val="auto"/>
        </w:rPr>
      </w:pPr>
      <w:r>
        <w:rPr>
          <w:rFonts w:ascii="Arial" w:cs="Arial" w:eastAsia="Arial" w:hAnsi="Arial"/>
          <w:sz w:val="16"/>
          <w:szCs w:val="16"/>
          <w:color w:val="auto"/>
        </w:rPr>
        <w:t>Except with respect to Disclosed Matters and other matters that could not reasonably be expected to result in a Material Adverse Effect (and other than with respect to the Site or Leased Property, which is subject to Section 7(p)), the Parent Guarantor and its Subsidiaries (including the Lessee) (A) are in compliance with all applicable Environmental Laws (which compliance includes possession of and compliance with all permits, licenses or other approvals required under applicable Environmental Laws), (B) are not subject to any Environmental Liability or</w:t>
      </w:r>
    </w:p>
    <w:p>
      <w:pPr>
        <w:spacing w:after="0" w:line="1" w:lineRule="exact"/>
        <w:rPr>
          <w:rFonts w:ascii="Arial" w:cs="Arial" w:eastAsia="Arial" w:hAnsi="Arial"/>
          <w:sz w:val="16"/>
          <w:szCs w:val="16"/>
          <w:color w:val="auto"/>
        </w:rPr>
      </w:pPr>
    </w:p>
    <w:p>
      <w:pPr>
        <w:ind w:left="920" w:hanging="284"/>
        <w:spacing w:after="0"/>
        <w:tabs>
          <w:tab w:leader="none" w:pos="92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have not received written notice of any claim with respect to any Environmental Liability.</w:t>
      </w:r>
    </w:p>
    <w:p>
      <w:pPr>
        <w:spacing w:after="0" w:line="210" w:lineRule="exact"/>
        <w:rPr>
          <w:rFonts w:ascii="Arial" w:cs="Arial" w:eastAsia="Arial" w:hAnsi="Arial"/>
          <w:sz w:val="18"/>
          <w:szCs w:val="18"/>
          <w:color w:val="auto"/>
        </w:rPr>
      </w:pPr>
    </w:p>
    <w:p>
      <w:pPr>
        <w:ind w:left="-20" w:right="160" w:firstLine="1327"/>
        <w:spacing w:after="0" w:line="264" w:lineRule="auto"/>
        <w:tabs>
          <w:tab w:leader="none" w:pos="1941" w:val="left"/>
        </w:tabs>
        <w:numPr>
          <w:ilvl w:val="2"/>
          <w:numId w:val="295"/>
        </w:numPr>
        <w:rPr>
          <w:rFonts w:ascii="Arial" w:cs="Arial" w:eastAsia="Arial" w:hAnsi="Arial"/>
          <w:sz w:val="18"/>
          <w:szCs w:val="18"/>
          <w:color w:val="auto"/>
        </w:rPr>
      </w:pPr>
      <w:r>
        <w:rPr>
          <w:rFonts w:ascii="Arial" w:cs="Arial" w:eastAsia="Arial" w:hAnsi="Arial"/>
          <w:sz w:val="18"/>
          <w:szCs w:val="18"/>
          <w:i w:val="1"/>
          <w:iCs w:val="1"/>
          <w:color w:val="auto"/>
        </w:rPr>
        <w:t>Compliance with Laws</w:t>
      </w:r>
      <w:r>
        <w:rPr>
          <w:rFonts w:ascii="Arial" w:cs="Arial" w:eastAsia="Arial" w:hAnsi="Arial"/>
          <w:sz w:val="18"/>
          <w:szCs w:val="18"/>
          <w:color w:val="auto"/>
        </w:rPr>
        <w:t>. Each of the Parent Guarantor and its Subsidiaries (including the Lessee) is in compliance with all laws,</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regulations and orders of any Governmental Authority applicable to it or its property, except (i) for Disclosed Matters or (ii) where the failure to do so could not reasonably be expected to result in a Material Adverse Effect.</w:t>
      </w:r>
    </w:p>
    <w:p>
      <w:pPr>
        <w:spacing w:after="0" w:line="181" w:lineRule="exact"/>
        <w:rPr>
          <w:rFonts w:ascii="Arial" w:cs="Arial" w:eastAsia="Arial" w:hAnsi="Arial"/>
          <w:sz w:val="18"/>
          <w:szCs w:val="18"/>
          <w:color w:val="auto"/>
        </w:rPr>
      </w:pPr>
    </w:p>
    <w:p>
      <w:pPr>
        <w:ind w:left="-20" w:right="460" w:firstLine="1327"/>
        <w:spacing w:after="0" w:line="342" w:lineRule="auto"/>
        <w:tabs>
          <w:tab w:leader="none" w:pos="1927" w:val="left"/>
        </w:tabs>
        <w:numPr>
          <w:ilvl w:val="2"/>
          <w:numId w:val="295"/>
        </w:numPr>
        <w:rPr>
          <w:rFonts w:ascii="Arial" w:cs="Arial" w:eastAsia="Arial" w:hAnsi="Arial"/>
          <w:sz w:val="16"/>
          <w:szCs w:val="16"/>
          <w:color w:val="auto"/>
        </w:rPr>
      </w:pPr>
      <w:r>
        <w:rPr>
          <w:rFonts w:ascii="Arial" w:cs="Arial" w:eastAsia="Arial" w:hAnsi="Arial"/>
          <w:sz w:val="16"/>
          <w:szCs w:val="16"/>
          <w:i w:val="1"/>
          <w:iCs w:val="1"/>
          <w:color w:val="auto"/>
        </w:rPr>
        <w:t>Investment Company Status</w:t>
      </w:r>
      <w:r>
        <w:rPr>
          <w:rFonts w:ascii="Arial" w:cs="Arial" w:eastAsia="Arial" w:hAnsi="Arial"/>
          <w:sz w:val="16"/>
          <w:szCs w:val="16"/>
          <w:color w:val="auto"/>
        </w:rPr>
        <w:t>. Neither the Parent Guarantor nor any of its Subsidiaries (including the Lessee) is required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registered as an “investment company” as defined in the Investment Company Act or subject to regulation as an “investment company” thereunder.</w:t>
      </w:r>
    </w:p>
    <w:p>
      <w:pPr>
        <w:spacing w:after="0" w:line="123" w:lineRule="exact"/>
        <w:rPr>
          <w:rFonts w:ascii="Arial" w:cs="Arial" w:eastAsia="Arial" w:hAnsi="Arial"/>
          <w:sz w:val="16"/>
          <w:szCs w:val="16"/>
          <w:color w:val="auto"/>
        </w:rPr>
      </w:pPr>
    </w:p>
    <w:p>
      <w:pPr>
        <w:ind w:left="-20" w:right="120" w:firstLine="1305"/>
        <w:spacing w:after="0" w:line="297" w:lineRule="auto"/>
        <w:tabs>
          <w:tab w:leader="none" w:pos="1946" w:val="left"/>
        </w:tabs>
        <w:numPr>
          <w:ilvl w:val="1"/>
          <w:numId w:val="295"/>
        </w:numPr>
        <w:rPr>
          <w:rFonts w:ascii="Arial" w:cs="Arial" w:eastAsia="Arial" w:hAnsi="Arial"/>
          <w:sz w:val="16"/>
          <w:szCs w:val="16"/>
          <w:color w:val="auto"/>
        </w:rPr>
      </w:pPr>
      <w:r>
        <w:rPr>
          <w:rFonts w:ascii="Arial" w:cs="Arial" w:eastAsia="Arial" w:hAnsi="Arial"/>
          <w:sz w:val="16"/>
          <w:szCs w:val="16"/>
          <w:i w:val="1"/>
          <w:iCs w:val="1"/>
          <w:color w:val="auto"/>
        </w:rPr>
        <w:t>Taxes</w:t>
      </w:r>
      <w:r>
        <w:rPr>
          <w:rFonts w:ascii="Arial" w:cs="Arial" w:eastAsia="Arial" w:hAnsi="Arial"/>
          <w:sz w:val="16"/>
          <w:szCs w:val="16"/>
          <w:color w:val="auto"/>
        </w:rPr>
        <w:t>. Each of the Parent Guarantor and its Subsidiaries (including the Lessee) has timely filed or caused to be filed all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returns and all other material Tax returns and reports required to have been filed by it and has paid, caused to be paid or made a provision for the payment of, all federal income Taxes and all other material Taxes required to have been paid by it, except (A) Taxes that are being contested in good faith by appropriate proceedings and for which the Parent Guarantor and/or such Subsidiary, as applicable, has set aside on its books adequate reserves in accordance with GAAP or (B) to the extent that the failure to do so could not reasonably be expected to result in a Material Adverse Effect.</w:t>
      </w:r>
    </w:p>
    <w:p>
      <w:pPr>
        <w:spacing w:after="0" w:line="158" w:lineRule="exact"/>
        <w:rPr>
          <w:rFonts w:ascii="Arial" w:cs="Arial" w:eastAsia="Arial" w:hAnsi="Arial"/>
          <w:sz w:val="16"/>
          <w:szCs w:val="16"/>
          <w:color w:val="auto"/>
        </w:rPr>
      </w:pPr>
    </w:p>
    <w:p>
      <w:pPr>
        <w:ind w:left="-20" w:right="320" w:firstLine="1365"/>
        <w:spacing w:after="0" w:line="277" w:lineRule="auto"/>
        <w:tabs>
          <w:tab w:leader="none" w:pos="1939" w:val="left"/>
        </w:tabs>
        <w:numPr>
          <w:ilvl w:val="2"/>
          <w:numId w:val="296"/>
        </w:numPr>
        <w:rPr>
          <w:rFonts w:ascii="Arial" w:cs="Arial" w:eastAsia="Arial" w:hAnsi="Arial"/>
          <w:sz w:val="18"/>
          <w:szCs w:val="18"/>
          <w:color w:val="auto"/>
        </w:rPr>
      </w:pPr>
      <w:r>
        <w:rPr>
          <w:rFonts w:ascii="Arial" w:cs="Arial" w:eastAsia="Arial" w:hAnsi="Arial"/>
          <w:sz w:val="18"/>
          <w:szCs w:val="18"/>
          <w:i w:val="1"/>
          <w:iCs w:val="1"/>
          <w:color w:val="auto"/>
        </w:rPr>
        <w:t>ERISA</w:t>
      </w:r>
      <w:r>
        <w:rPr>
          <w:rFonts w:ascii="Arial" w:cs="Arial" w:eastAsia="Arial" w:hAnsi="Arial"/>
          <w:sz w:val="18"/>
          <w:szCs w:val="18"/>
          <w:color w:val="auto"/>
        </w:rPr>
        <w:t>. No ERISA Event has occurred or is reasonably expected to occur that, when taken together with all other such ERISA</w:t>
      </w:r>
      <w:r>
        <w:rPr>
          <w:rFonts w:ascii="Arial" w:cs="Arial" w:eastAsia="Arial" w:hAnsi="Arial"/>
          <w:sz w:val="18"/>
          <w:szCs w:val="18"/>
          <w:i w:val="1"/>
          <w:iCs w:val="1"/>
          <w:color w:val="auto"/>
        </w:rPr>
        <w:t xml:space="preserve"> </w:t>
      </w:r>
      <w:r>
        <w:rPr>
          <w:rFonts w:ascii="Arial" w:cs="Arial" w:eastAsia="Arial" w:hAnsi="Arial"/>
          <w:sz w:val="18"/>
          <w:szCs w:val="18"/>
          <w:color w:val="auto"/>
        </w:rPr>
        <w:t>Events for which liability is reasonably expected to occur, could reasonably be expected to result in a Material Adverse Effect.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right="60" w:firstLine="1332"/>
        <w:spacing w:after="0" w:line="287" w:lineRule="auto"/>
        <w:tabs>
          <w:tab w:leader="none" w:pos="1932" w:val="left"/>
        </w:tabs>
        <w:numPr>
          <w:ilvl w:val="0"/>
          <w:numId w:val="297"/>
        </w:numPr>
        <w:rPr>
          <w:rFonts w:ascii="Arial" w:cs="Arial" w:eastAsia="Arial" w:hAnsi="Arial"/>
          <w:sz w:val="16"/>
          <w:szCs w:val="16"/>
          <w:color w:val="auto"/>
        </w:rPr>
      </w:pPr>
      <w:r>
        <w:rPr>
          <w:rFonts w:ascii="Arial" w:cs="Arial" w:eastAsia="Arial" w:hAnsi="Arial"/>
          <w:sz w:val="16"/>
          <w:szCs w:val="16"/>
          <w:i w:val="1"/>
          <w:iCs w:val="1"/>
          <w:color w:val="auto"/>
        </w:rPr>
        <w:t>Disclosure</w:t>
      </w:r>
      <w:r>
        <w:rPr>
          <w:rFonts w:ascii="Arial" w:cs="Arial" w:eastAsia="Arial" w:hAnsi="Arial"/>
          <w:sz w:val="16"/>
          <w:szCs w:val="16"/>
          <w:color w:val="auto"/>
        </w:rPr>
        <w:t>. All written information (including the information set forth in the Information Memorandum) and all information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 formally presented at a general meeting (which may be a telephonic meeting) of the Lenders, other than any projections, estimates, forecasts and other forward-looking information and information of a general economic or industry-specific nature furnished by or on behalf of the Parent Guarantor or any Subsidiary to the Lessor or Administrative Agent or any other Participant pursuant to or in connection with this Guaranty or any other Operative Document, when taken as a whole and after giving effect to all supplements and updates thereto, does not (when furnished) contain any untrue statement of material fact or omit to state a material fact necessary in order to make the statements contained therein not materially misleading (when taken as a whole) in light of the circumstances under which such statements are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forecasts or projections, each Guarantor represents only that such information was prepared in good faith based upon assumptions believed by the Parent Guarantor to be reasonable at the time prepared (it being understood by the Lessor, the Administrative Agent and the other Participants that any such projections are not to be viewed as facts and are subject to significant uncertainties and contingencies, many of which are beyond the control of the Parent Guarantor, the Lessee or their respective Subsidiaries, that no assurances can be given that such projections will be realized and that actual results may differ materially from such projections).</w:t>
      </w:r>
    </w:p>
    <w:p>
      <w:pPr>
        <w:spacing w:after="0" w:line="172" w:lineRule="exact"/>
        <w:rPr>
          <w:rFonts w:ascii="Arial" w:cs="Arial" w:eastAsia="Arial" w:hAnsi="Arial"/>
          <w:sz w:val="16"/>
          <w:szCs w:val="16"/>
          <w:color w:val="auto"/>
        </w:rPr>
      </w:pPr>
    </w:p>
    <w:p>
      <w:pPr>
        <w:ind w:left="-20" w:right="580" w:firstLine="1372"/>
        <w:spacing w:after="0" w:line="342" w:lineRule="auto"/>
        <w:tabs>
          <w:tab w:leader="none" w:pos="1946" w:val="left"/>
        </w:tabs>
        <w:numPr>
          <w:ilvl w:val="0"/>
          <w:numId w:val="297"/>
        </w:numPr>
        <w:rPr>
          <w:rFonts w:ascii="Arial" w:cs="Arial" w:eastAsia="Arial" w:hAnsi="Arial"/>
          <w:sz w:val="16"/>
          <w:szCs w:val="16"/>
          <w:color w:val="auto"/>
        </w:rPr>
      </w:pPr>
      <w:r>
        <w:rPr>
          <w:rFonts w:ascii="Arial" w:cs="Arial" w:eastAsia="Arial" w:hAnsi="Arial"/>
          <w:sz w:val="16"/>
          <w:szCs w:val="16"/>
          <w:i w:val="1"/>
          <w:iCs w:val="1"/>
          <w:color w:val="auto"/>
        </w:rPr>
        <w:t>Federal Reserve Regulations</w:t>
      </w:r>
      <w:r>
        <w:rPr>
          <w:rFonts w:ascii="Arial" w:cs="Arial" w:eastAsia="Arial" w:hAnsi="Arial"/>
          <w:sz w:val="16"/>
          <w:szCs w:val="16"/>
          <w:color w:val="auto"/>
        </w:rPr>
        <w:t>. No part of the proceeds of the Advance have been used or will be used, whether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for any purpose that entails a violation of any of the Regulations of the F.R.S. Board, including Regulations T, U and X of the F.R.S. Board.</w:t>
      </w:r>
    </w:p>
    <w:p>
      <w:pPr>
        <w:spacing w:after="0" w:line="123" w:lineRule="exact"/>
        <w:rPr>
          <w:rFonts w:ascii="Arial" w:cs="Arial" w:eastAsia="Arial" w:hAnsi="Arial"/>
          <w:sz w:val="16"/>
          <w:szCs w:val="16"/>
          <w:color w:val="auto"/>
        </w:rPr>
      </w:pPr>
    </w:p>
    <w:p>
      <w:pPr>
        <w:ind w:left="-20" w:right="140" w:firstLine="1278"/>
        <w:spacing w:after="0" w:line="277" w:lineRule="auto"/>
        <w:tabs>
          <w:tab w:leader="none" w:pos="1928" w:val="left"/>
        </w:tabs>
        <w:numPr>
          <w:ilvl w:val="0"/>
          <w:numId w:val="297"/>
        </w:numPr>
        <w:rPr>
          <w:rFonts w:ascii="Arial" w:cs="Arial" w:eastAsia="Arial" w:hAnsi="Arial"/>
          <w:sz w:val="18"/>
          <w:szCs w:val="18"/>
          <w:color w:val="auto"/>
        </w:rPr>
      </w:pPr>
      <w:r>
        <w:rPr>
          <w:rFonts w:ascii="Arial" w:cs="Arial" w:eastAsia="Arial" w:hAnsi="Arial"/>
          <w:sz w:val="18"/>
          <w:szCs w:val="18"/>
          <w:i w:val="1"/>
          <w:iCs w:val="1"/>
          <w:color w:val="auto"/>
        </w:rPr>
        <w:t>No Default</w:t>
      </w:r>
      <w:r>
        <w:rPr>
          <w:rFonts w:ascii="Arial" w:cs="Arial" w:eastAsia="Arial" w:hAnsi="Arial"/>
          <w:sz w:val="18"/>
          <w:szCs w:val="18"/>
          <w:color w:val="auto"/>
        </w:rPr>
        <w:t>. As of the Document Closing Date, no Default, Event of Default, Event of Loss, Specified Significant Environmental</w:t>
      </w:r>
      <w:r>
        <w:rPr>
          <w:rFonts w:ascii="Arial" w:cs="Arial" w:eastAsia="Arial" w:hAnsi="Arial"/>
          <w:sz w:val="18"/>
          <w:szCs w:val="18"/>
          <w:i w:val="1"/>
          <w:iCs w:val="1"/>
          <w:color w:val="auto"/>
        </w:rPr>
        <w:t xml:space="preserve"> </w:t>
      </w:r>
      <w:r>
        <w:rPr>
          <w:rFonts w:ascii="Arial" w:cs="Arial" w:eastAsia="Arial" w:hAnsi="Arial"/>
          <w:sz w:val="18"/>
          <w:szCs w:val="18"/>
          <w:color w:val="auto"/>
        </w:rPr>
        <w:t>Event or Specified Material Environmental Violation has occurred and is continuing.</w:t>
      </w:r>
    </w:p>
    <w:p>
      <w:pPr>
        <w:spacing w:after="0" w:line="170" w:lineRule="exact"/>
        <w:rPr>
          <w:rFonts w:ascii="Arial" w:cs="Arial" w:eastAsia="Arial" w:hAnsi="Arial"/>
          <w:sz w:val="18"/>
          <w:szCs w:val="18"/>
          <w:color w:val="auto"/>
        </w:rPr>
      </w:pPr>
    </w:p>
    <w:p>
      <w:pPr>
        <w:ind w:left="-20" w:right="40" w:firstLine="1332"/>
        <w:spacing w:after="0" w:line="254" w:lineRule="auto"/>
        <w:tabs>
          <w:tab w:leader="none" w:pos="1932" w:val="left"/>
        </w:tabs>
        <w:numPr>
          <w:ilvl w:val="0"/>
          <w:numId w:val="297"/>
        </w:numPr>
        <w:rPr>
          <w:rFonts w:ascii="Arial" w:cs="Arial" w:eastAsia="Arial" w:hAnsi="Arial"/>
          <w:sz w:val="18"/>
          <w:szCs w:val="18"/>
          <w:color w:val="auto"/>
        </w:rPr>
      </w:pPr>
      <w:r>
        <w:rPr>
          <w:rFonts w:ascii="Arial" w:cs="Arial" w:eastAsia="Arial" w:hAnsi="Arial"/>
          <w:sz w:val="18"/>
          <w:szCs w:val="18"/>
          <w:i w:val="1"/>
          <w:iCs w:val="1"/>
          <w:color w:val="auto"/>
        </w:rPr>
        <w:t>Anti-Corruption Laws and Sanctions</w:t>
      </w:r>
      <w:r>
        <w:rPr>
          <w:rFonts w:ascii="Arial" w:cs="Arial" w:eastAsia="Arial" w:hAnsi="Arial"/>
          <w:sz w:val="18"/>
          <w:szCs w:val="18"/>
          <w:color w:val="auto"/>
        </w:rPr>
        <w:t>. The Parent Guarantor has implemented and maintains in effect policies and is implementing</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reasonably designed to achieve compliance by the Parent Guarantor, its Subsidiaries and their respective directors, officers, employees and agents with Anti-Corruption Laws and applicable Sanctions, and the Parent Guarantor, its Subsidiaries and their respective officers and employees and to the knowledge of the Parent Guarantor its directors and agents, are in compliance with Anti-Corruption Laws and applicable Sanctions in all material respects. None of (a) the Parent Guarantor, any Subsidiary or to the knowledge of the Parent Guarantor or such Subsidiary any of their respective directors, officers or employees, or (b) to the knowledge of the Parent Guarantor, any agent of the Parent Guarantor or any Subsidiary that will act in any capacity in connection with or benefit from the credit facility established hereby, is a Sanctioned Person. No use of proceeds or Overall Transaction will violate any Anti-Corruption Law or applicable Sanctions.</w:t>
      </w:r>
    </w:p>
    <w:p>
      <w:pPr>
        <w:spacing w:after="0" w:line="192" w:lineRule="exact"/>
        <w:rPr>
          <w:rFonts w:ascii="Arial" w:cs="Arial" w:eastAsia="Arial" w:hAnsi="Arial"/>
          <w:sz w:val="18"/>
          <w:szCs w:val="18"/>
          <w:color w:val="auto"/>
        </w:rPr>
      </w:pPr>
    </w:p>
    <w:p>
      <w:pPr>
        <w:ind w:left="-20" w:right="60" w:firstLine="1413"/>
        <w:spacing w:after="0" w:line="312" w:lineRule="auto"/>
        <w:tabs>
          <w:tab w:leader="none" w:pos="1932" w:val="left"/>
        </w:tabs>
        <w:numPr>
          <w:ilvl w:val="1"/>
          <w:numId w:val="297"/>
        </w:numPr>
        <w:rPr>
          <w:rFonts w:ascii="Arial" w:cs="Arial" w:eastAsia="Arial" w:hAnsi="Arial"/>
          <w:sz w:val="16"/>
          <w:szCs w:val="16"/>
          <w:color w:val="auto"/>
        </w:rPr>
      </w:pPr>
      <w:r>
        <w:rPr>
          <w:rFonts w:ascii="Arial" w:cs="Arial" w:eastAsia="Arial" w:hAnsi="Arial"/>
          <w:sz w:val="16"/>
          <w:szCs w:val="16"/>
          <w:i w:val="1"/>
          <w:iCs w:val="1"/>
          <w:color w:val="auto"/>
        </w:rPr>
        <w:t>Appraisal Data</w:t>
      </w:r>
      <w:r>
        <w:rPr>
          <w:rFonts w:ascii="Arial" w:cs="Arial" w:eastAsia="Arial" w:hAnsi="Arial"/>
          <w:sz w:val="16"/>
          <w:szCs w:val="16"/>
          <w:color w:val="auto"/>
        </w:rPr>
        <w:t>. As of the Document Closing Date, to the Parent Guarantor’s knowledge, the written information (other than any</w:t>
      </w:r>
      <w:r>
        <w:rPr>
          <w:rFonts w:ascii="Arial" w:cs="Arial" w:eastAsia="Arial" w:hAnsi="Arial"/>
          <w:sz w:val="16"/>
          <w:szCs w:val="16"/>
          <w:i w:val="1"/>
          <w:iCs w:val="1"/>
          <w:color w:val="auto"/>
        </w:rPr>
        <w:t xml:space="preserve"> </w:t>
      </w:r>
      <w:r>
        <w:rPr>
          <w:rFonts w:ascii="Arial" w:cs="Arial" w:eastAsia="Arial" w:hAnsi="Arial"/>
          <w:sz w:val="16"/>
          <w:szCs w:val="16"/>
          <w:color w:val="auto"/>
        </w:rPr>
        <w:t>projections, estimates, forecasts and other forward looking information and information of a general economic or industry specific nature) provided by Parent Guarantor or any of its Subsidiaries to the Appraiser and forming the basis for the conclusions set forth in the Appraisal, when taken as a whole and after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125" w:right="239" w:bottom="681" w:gutter="0" w:footer="0" w:header="0"/>
        </w:sectPr>
      </w:pPr>
    </w:p>
    <w:bookmarkStart w:id="148" w:name="page149"/>
    <w:bookmarkEnd w:id="148"/>
    <w:p>
      <w:pPr>
        <w:spacing w:after="0" w:line="8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 xml:space="preserve">giving effect to all supplements and updates thereto, was true and correct in all material respects as of the Document Closing Date and did not omit any factual information known and available to the Parent Guarantor or its Subsidiaries necessary to make the information so provided (when taken as a whole and after giving effect to all supplements and updates thereto) not materially misleading in light of the circumstances under which such information was provided;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written forecasts or projections (if any) so provided to the Appraiser and forming the basis for the conclusions set forth in the Appraisal, the Parent Guarantor represents only that such information was prepared in good faith based upon assumptions believed by the Parent Guarantor to be reasonable at the time prepared (it being understood by the Lessor, the Administrative Agent and the other Participants that any such projections are not to be viewed as facts and are subject to significant uncertainties and contingencies, many of which are beyond the control of the Parent Guarantor, the Lessee or their respective Subsidiaries, that no assurances can be given that such projections will be realized and that actual results may differ materially from such projections).</w:t>
      </w:r>
    </w:p>
    <w:p>
      <w:pPr>
        <w:spacing w:after="0" w:line="182" w:lineRule="exact"/>
        <w:rPr>
          <w:sz w:val="20"/>
          <w:szCs w:val="20"/>
          <w:color w:val="auto"/>
        </w:rPr>
      </w:pPr>
    </w:p>
    <w:p>
      <w:pPr>
        <w:ind w:right="900" w:firstLine="1413"/>
        <w:spacing w:after="0" w:line="277" w:lineRule="auto"/>
        <w:tabs>
          <w:tab w:leader="none" w:pos="1952" w:val="left"/>
        </w:tabs>
        <w:numPr>
          <w:ilvl w:val="1"/>
          <w:numId w:val="298"/>
        </w:numPr>
        <w:rPr>
          <w:rFonts w:ascii="Arial" w:cs="Arial" w:eastAsia="Arial" w:hAnsi="Arial"/>
          <w:sz w:val="18"/>
          <w:szCs w:val="18"/>
          <w:color w:val="auto"/>
        </w:rPr>
      </w:pPr>
      <w:r>
        <w:rPr>
          <w:rFonts w:ascii="Arial" w:cs="Arial" w:eastAsia="Arial" w:hAnsi="Arial"/>
          <w:sz w:val="18"/>
          <w:szCs w:val="18"/>
          <w:i w:val="1"/>
          <w:iCs w:val="1"/>
          <w:color w:val="auto"/>
        </w:rPr>
        <w:t>Environmental Condition of the Site</w:t>
      </w:r>
      <w:r>
        <w:rPr>
          <w:rFonts w:ascii="Arial" w:cs="Arial" w:eastAsia="Arial" w:hAnsi="Arial"/>
          <w:sz w:val="18"/>
          <w:szCs w:val="18"/>
          <w:color w:val="auto"/>
        </w:rPr>
        <w:t>. Except as set forth in the Environmental Audit described in Section 6.1(vi)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Agreement or as could not reasonably be expected to result in a Material Adverse Effect:</w:t>
      </w:r>
    </w:p>
    <w:p>
      <w:pPr>
        <w:spacing w:after="0" w:line="170" w:lineRule="exact"/>
        <w:rPr>
          <w:rFonts w:ascii="Arial" w:cs="Arial" w:eastAsia="Arial" w:hAnsi="Arial"/>
          <w:sz w:val="18"/>
          <w:szCs w:val="18"/>
          <w:color w:val="auto"/>
        </w:rPr>
      </w:pPr>
    </w:p>
    <w:p>
      <w:pPr>
        <w:ind w:left="1300" w:right="40" w:firstLine="801"/>
        <w:spacing w:after="0" w:line="342" w:lineRule="auto"/>
        <w:tabs>
          <w:tab w:leader="none" w:pos="2618" w:val="left"/>
        </w:tabs>
        <w:numPr>
          <w:ilvl w:val="2"/>
          <w:numId w:val="298"/>
        </w:numPr>
        <w:rPr>
          <w:rFonts w:ascii="Arial" w:cs="Arial" w:eastAsia="Arial" w:hAnsi="Arial"/>
          <w:sz w:val="16"/>
          <w:szCs w:val="16"/>
          <w:color w:val="auto"/>
        </w:rPr>
      </w:pPr>
      <w:r>
        <w:rPr>
          <w:rFonts w:ascii="Arial" w:cs="Arial" w:eastAsia="Arial" w:hAnsi="Arial"/>
          <w:sz w:val="16"/>
          <w:szCs w:val="16"/>
          <w:color w:val="auto"/>
        </w:rPr>
        <w:t>neither the Parent Guarantor nor the Lessee has received any written notice of, or written inquiry from any Governmental Authority regarding, any Environmental Claim or any violation or non-compliance with Environmental Laws with regard to the Site;</w:t>
      </w:r>
    </w:p>
    <w:p>
      <w:pPr>
        <w:spacing w:after="0" w:line="123" w:lineRule="exact"/>
        <w:rPr>
          <w:rFonts w:ascii="Arial" w:cs="Arial" w:eastAsia="Arial" w:hAnsi="Arial"/>
          <w:sz w:val="16"/>
          <w:szCs w:val="16"/>
          <w:color w:val="auto"/>
        </w:rPr>
      </w:pPr>
    </w:p>
    <w:p>
      <w:pPr>
        <w:ind w:left="1300" w:right="140" w:firstLine="761"/>
        <w:spacing w:after="0" w:line="277" w:lineRule="auto"/>
        <w:tabs>
          <w:tab w:leader="none" w:pos="2627" w:val="left"/>
        </w:tabs>
        <w:numPr>
          <w:ilvl w:val="2"/>
          <w:numId w:val="298"/>
        </w:numPr>
        <w:rPr>
          <w:rFonts w:ascii="Arial" w:cs="Arial" w:eastAsia="Arial" w:hAnsi="Arial"/>
          <w:sz w:val="18"/>
          <w:szCs w:val="18"/>
          <w:color w:val="auto"/>
        </w:rPr>
      </w:pPr>
      <w:r>
        <w:rPr>
          <w:rFonts w:ascii="Arial" w:cs="Arial" w:eastAsia="Arial" w:hAnsi="Arial"/>
          <w:sz w:val="18"/>
          <w:szCs w:val="18"/>
          <w:color w:val="auto"/>
        </w:rPr>
        <w:t>neither the Parent Guarantor nor the Lessee has stored, released or transported any Hazardous Substances on the Leased Property or the Site in violation of Environmental Laws;</w:t>
      </w:r>
    </w:p>
    <w:p>
      <w:pPr>
        <w:spacing w:after="0" w:line="170" w:lineRule="exact"/>
        <w:rPr>
          <w:rFonts w:ascii="Arial" w:cs="Arial" w:eastAsia="Arial" w:hAnsi="Arial"/>
          <w:sz w:val="18"/>
          <w:szCs w:val="18"/>
          <w:color w:val="auto"/>
        </w:rPr>
      </w:pPr>
    </w:p>
    <w:p>
      <w:pPr>
        <w:ind w:left="1300" w:right="100" w:firstLine="707"/>
        <w:spacing w:after="0" w:line="277" w:lineRule="auto"/>
        <w:tabs>
          <w:tab w:leader="none" w:pos="2637" w:val="left"/>
        </w:tabs>
        <w:numPr>
          <w:ilvl w:val="2"/>
          <w:numId w:val="298"/>
        </w:numPr>
        <w:rPr>
          <w:rFonts w:ascii="Arial" w:cs="Arial" w:eastAsia="Arial" w:hAnsi="Arial"/>
          <w:sz w:val="18"/>
          <w:szCs w:val="18"/>
          <w:color w:val="auto"/>
        </w:rPr>
      </w:pPr>
      <w:r>
        <w:rPr>
          <w:rFonts w:ascii="Arial" w:cs="Arial" w:eastAsia="Arial" w:hAnsi="Arial"/>
          <w:sz w:val="18"/>
          <w:szCs w:val="18"/>
          <w:color w:val="auto"/>
        </w:rPr>
        <w:t>the Site does not contain any Hazardous Substance at, on or under the Site in amounts or concentrations that constitute a violation of Environmental Laws; and</w:t>
      </w:r>
    </w:p>
    <w:p>
      <w:pPr>
        <w:spacing w:after="0" w:line="170" w:lineRule="exact"/>
        <w:rPr>
          <w:rFonts w:ascii="Arial" w:cs="Arial" w:eastAsia="Arial" w:hAnsi="Arial"/>
          <w:sz w:val="18"/>
          <w:szCs w:val="18"/>
          <w:color w:val="auto"/>
        </w:rPr>
      </w:pPr>
    </w:p>
    <w:p>
      <w:pPr>
        <w:ind w:left="1300" w:firstLine="720"/>
        <w:spacing w:after="0" w:line="277" w:lineRule="auto"/>
        <w:tabs>
          <w:tab w:leader="none" w:pos="2613" w:val="left"/>
        </w:tabs>
        <w:numPr>
          <w:ilvl w:val="2"/>
          <w:numId w:val="298"/>
        </w:numPr>
        <w:rPr>
          <w:rFonts w:ascii="Arial" w:cs="Arial" w:eastAsia="Arial" w:hAnsi="Arial"/>
          <w:sz w:val="18"/>
          <w:szCs w:val="18"/>
          <w:color w:val="auto"/>
        </w:rPr>
      </w:pPr>
      <w:r>
        <w:rPr>
          <w:rFonts w:ascii="Arial" w:cs="Arial" w:eastAsia="Arial" w:hAnsi="Arial"/>
          <w:sz w:val="18"/>
          <w:szCs w:val="18"/>
          <w:color w:val="auto"/>
        </w:rPr>
        <w:t>Parent Guarantor or Lessee has obtained all Governmental Approvals relating to the Site which are required of it under all Environmental Laws.</w:t>
      </w:r>
    </w:p>
    <w:p>
      <w:pPr>
        <w:spacing w:after="0" w:line="170" w:lineRule="exact"/>
        <w:rPr>
          <w:rFonts w:ascii="Arial" w:cs="Arial" w:eastAsia="Arial" w:hAnsi="Arial"/>
          <w:sz w:val="18"/>
          <w:szCs w:val="18"/>
          <w:color w:val="auto"/>
        </w:rPr>
      </w:pPr>
    </w:p>
    <w:p>
      <w:pPr>
        <w:ind w:right="200" w:firstLine="1332"/>
        <w:spacing w:after="0" w:line="255" w:lineRule="auto"/>
        <w:tabs>
          <w:tab w:leader="none" w:pos="1952" w:val="left"/>
        </w:tabs>
        <w:numPr>
          <w:ilvl w:val="0"/>
          <w:numId w:val="299"/>
        </w:numPr>
        <w:rPr>
          <w:rFonts w:ascii="Arial" w:cs="Arial" w:eastAsia="Arial" w:hAnsi="Arial"/>
          <w:sz w:val="18"/>
          <w:szCs w:val="18"/>
          <w:color w:val="auto"/>
        </w:rPr>
      </w:pPr>
      <w:r>
        <w:rPr>
          <w:rFonts w:ascii="Arial" w:cs="Arial" w:eastAsia="Arial" w:hAnsi="Arial"/>
          <w:sz w:val="18"/>
          <w:szCs w:val="18"/>
          <w:i w:val="1"/>
          <w:iCs w:val="1"/>
          <w:color w:val="auto"/>
        </w:rPr>
        <w:t>Purchase Agreement and Related Matters</w:t>
      </w:r>
      <w:r>
        <w:rPr>
          <w:rFonts w:ascii="Arial" w:cs="Arial" w:eastAsia="Arial" w:hAnsi="Arial"/>
          <w:sz w:val="18"/>
          <w:szCs w:val="18"/>
          <w:color w:val="auto"/>
        </w:rPr>
        <w:t>. Parent Guarantor and/or Lessee has performed all obligations of “Buyer”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Agreement which are required to be performed by “Buyer” immediately prior to the assignment thereof to Lessor. The only obligations of Lessor that remain to be performed under the Purchase Agreement in accordance with such assignment are the payment of the remaining amount of the purchase price due thereunder as of the Document Closing Date (which will be paid by the Advance) (without giving effect to any post-closing adjustments, if any, pursuant to Sections 5.3 and 5.4 of the Purchase Agreement). None of Parent Guarantor, Lessee or their respective agents, consultants, contractors and subcontractors has caused any material claims, costs, losses, liabilities, damages or expenses arising out of or resulting from entry on the Site or otherwise, which are subject to</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Lessor’s indemnity obligations under Section 4.4.1(b) of the Purchase Agreement (except to the extent the Lessee has indemnified the Lessor pursuant to the Operative Documents). There exist no obligations or liabilities of Lessor under the Purchase Agreement or the Assignment of Purchase Agreement which are not obligations required to be performed by Lessee or the Parent Guarantor (other than the payment of the purchase price due thereunder).</w:t>
      </w:r>
    </w:p>
    <w:p>
      <w:pPr>
        <w:spacing w:after="0" w:line="147" w:lineRule="exact"/>
        <w:rPr>
          <w:sz w:val="20"/>
          <w:szCs w:val="20"/>
          <w:color w:val="auto"/>
        </w:rPr>
      </w:pPr>
    </w:p>
    <w:p>
      <w:pPr>
        <w:ind w:firstLine="1359"/>
        <w:spacing w:after="0" w:line="302" w:lineRule="auto"/>
        <w:tabs>
          <w:tab w:leader="none" w:pos="1963" w:val="left"/>
        </w:tabs>
        <w:numPr>
          <w:ilvl w:val="0"/>
          <w:numId w:val="300"/>
        </w:numPr>
        <w:rPr>
          <w:rFonts w:ascii="Arial" w:cs="Arial" w:eastAsia="Arial" w:hAnsi="Arial"/>
          <w:sz w:val="16"/>
          <w:szCs w:val="16"/>
          <w:color w:val="auto"/>
        </w:rPr>
      </w:pPr>
      <w:r>
        <w:rPr>
          <w:rFonts w:ascii="Arial" w:cs="Arial" w:eastAsia="Arial" w:hAnsi="Arial"/>
          <w:sz w:val="16"/>
          <w:szCs w:val="16"/>
          <w:i w:val="1"/>
          <w:iCs w:val="1"/>
          <w:color w:val="auto"/>
        </w:rPr>
        <w:t>Patents, Trademarks</w:t>
      </w:r>
      <w:r>
        <w:rPr>
          <w:rFonts w:ascii="Arial" w:cs="Arial" w:eastAsia="Arial" w:hAnsi="Arial"/>
          <w:sz w:val="16"/>
          <w:szCs w:val="16"/>
          <w:color w:val="auto"/>
        </w:rPr>
        <w:t>. There are no material patents, patent rights, trademarks, service marks, trade names, copyrights, licenses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intellectual property rights with respect to the Leased Property that are necessary for the operation of the Leased Property by the Lessee, except to the extent that the Lessee has rights in respect thereof without material payment of royalties or other material licensing payments, which rights may be freely leased, licensed or otherwise provided to Lessor or any successor owner, lessee, user or operator of the Leased Property pursuant to the Operative Documents.</w:t>
      </w:r>
    </w:p>
    <w:p>
      <w:pPr>
        <w:spacing w:after="0" w:line="154" w:lineRule="exact"/>
        <w:rPr>
          <w:rFonts w:ascii="Arial" w:cs="Arial" w:eastAsia="Arial" w:hAnsi="Arial"/>
          <w:sz w:val="16"/>
          <w:szCs w:val="16"/>
          <w:color w:val="auto"/>
        </w:rPr>
      </w:pPr>
    </w:p>
    <w:p>
      <w:pPr>
        <w:ind w:right="60" w:firstLine="1440"/>
        <w:spacing w:after="0" w:line="279" w:lineRule="auto"/>
        <w:tabs>
          <w:tab w:leader="none" w:pos="1959" w:val="left"/>
        </w:tabs>
        <w:numPr>
          <w:ilvl w:val="1"/>
          <w:numId w:val="300"/>
        </w:numPr>
        <w:rPr>
          <w:rFonts w:ascii="Arial" w:cs="Arial" w:eastAsia="Arial" w:hAnsi="Arial"/>
          <w:sz w:val="17"/>
          <w:szCs w:val="17"/>
          <w:color w:val="auto"/>
        </w:rPr>
      </w:pPr>
      <w:r>
        <w:rPr>
          <w:rFonts w:ascii="Arial" w:cs="Arial" w:eastAsia="Arial" w:hAnsi="Arial"/>
          <w:sz w:val="17"/>
          <w:szCs w:val="17"/>
          <w:i w:val="1"/>
          <w:iCs w:val="1"/>
          <w:color w:val="auto"/>
        </w:rPr>
        <w:t>No Transfer Taxes</w:t>
      </w:r>
      <w:r>
        <w:rPr>
          <w:rFonts w:ascii="Arial" w:cs="Arial" w:eastAsia="Arial" w:hAnsi="Arial"/>
          <w:sz w:val="17"/>
          <w:szCs w:val="17"/>
          <w:color w:val="auto"/>
        </w:rPr>
        <w:t>. All sales, use, excise, transfer or other similar tax, fee or imposition required to be paid as of the Document</w:t>
      </w:r>
      <w:r>
        <w:rPr>
          <w:rFonts w:ascii="Arial" w:cs="Arial" w:eastAsia="Arial" w:hAnsi="Arial"/>
          <w:sz w:val="17"/>
          <w:szCs w:val="17"/>
          <w:i w:val="1"/>
          <w:iCs w:val="1"/>
          <w:color w:val="auto"/>
        </w:rPr>
        <w:t xml:space="preserve"> </w:t>
      </w:r>
      <w:r>
        <w:rPr>
          <w:rFonts w:ascii="Arial" w:cs="Arial" w:eastAsia="Arial" w:hAnsi="Arial"/>
          <w:sz w:val="17"/>
          <w:szCs w:val="17"/>
          <w:color w:val="auto"/>
        </w:rPr>
        <w:t>Closing Date by the Lessee or any Guarantor pursuant to any of the Operative Documents upon the acquisition by the Lessor of the Leased Property and on the lease of the Leased Property to the Lessee will have been paid by or on behalf of the Parent Guarantor or the Lessee (or provision for the payment thereof shall have been made) or such transactions will then be exempt from any such taxes, fees or impositions.</w:t>
      </w:r>
    </w:p>
    <w:p>
      <w:pPr>
        <w:spacing w:after="0" w:line="171" w:lineRule="exact"/>
        <w:rPr>
          <w:rFonts w:ascii="Arial" w:cs="Arial" w:eastAsia="Arial" w:hAnsi="Arial"/>
          <w:sz w:val="17"/>
          <w:szCs w:val="17"/>
          <w:color w:val="auto"/>
        </w:rPr>
      </w:pPr>
    </w:p>
    <w:p>
      <w:pPr>
        <w:ind w:right="100" w:firstLine="1453"/>
        <w:spacing w:after="0" w:line="277" w:lineRule="auto"/>
        <w:tabs>
          <w:tab w:leader="none" w:pos="1953" w:val="left"/>
        </w:tabs>
        <w:numPr>
          <w:ilvl w:val="1"/>
          <w:numId w:val="300"/>
        </w:numPr>
        <w:rPr>
          <w:rFonts w:ascii="Arial" w:cs="Arial" w:eastAsia="Arial" w:hAnsi="Arial"/>
          <w:sz w:val="18"/>
          <w:szCs w:val="18"/>
          <w:color w:val="auto"/>
        </w:rPr>
      </w:pPr>
      <w:r>
        <w:rPr>
          <w:rFonts w:ascii="Arial" w:cs="Arial" w:eastAsia="Arial" w:hAnsi="Arial"/>
          <w:sz w:val="18"/>
          <w:szCs w:val="18"/>
          <w:i w:val="1"/>
          <w:iCs w:val="1"/>
          <w:color w:val="auto"/>
        </w:rPr>
        <w:t>Title to Leased Property</w:t>
      </w:r>
      <w:r>
        <w:rPr>
          <w:rFonts w:ascii="Arial" w:cs="Arial" w:eastAsia="Arial" w:hAnsi="Arial"/>
          <w:sz w:val="18"/>
          <w:szCs w:val="18"/>
          <w:color w:val="auto"/>
        </w:rPr>
        <w:t>. On the Document Closing Date, the Lessor shall have good and recorded title in fee simple estate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Leased Property, free and clear of all Liens other than Permitted Liens.</w:t>
      </w:r>
    </w:p>
    <w:p>
      <w:pPr>
        <w:spacing w:after="0" w:line="170" w:lineRule="exact"/>
        <w:rPr>
          <w:rFonts w:ascii="Arial" w:cs="Arial" w:eastAsia="Arial" w:hAnsi="Arial"/>
          <w:sz w:val="18"/>
          <w:szCs w:val="18"/>
          <w:color w:val="auto"/>
        </w:rPr>
      </w:pPr>
    </w:p>
    <w:p>
      <w:pPr>
        <w:ind w:right="80" w:firstLine="1413"/>
        <w:spacing w:after="0" w:line="290" w:lineRule="auto"/>
        <w:tabs>
          <w:tab w:leader="none" w:pos="1952" w:val="left"/>
        </w:tabs>
        <w:numPr>
          <w:ilvl w:val="1"/>
          <w:numId w:val="300"/>
        </w:numPr>
        <w:rPr>
          <w:rFonts w:ascii="Arial" w:cs="Arial" w:eastAsia="Arial" w:hAnsi="Arial"/>
          <w:sz w:val="16"/>
          <w:szCs w:val="16"/>
          <w:color w:val="auto"/>
        </w:rPr>
      </w:pPr>
      <w:r>
        <w:rPr>
          <w:rFonts w:ascii="Arial" w:cs="Arial" w:eastAsia="Arial" w:hAnsi="Arial"/>
          <w:sz w:val="16"/>
          <w:szCs w:val="16"/>
          <w:i w:val="1"/>
          <w:iCs w:val="1"/>
          <w:color w:val="auto"/>
        </w:rPr>
        <w:t>Creation of Liens</w:t>
      </w:r>
      <w:r>
        <w:rPr>
          <w:rFonts w:ascii="Arial" w:cs="Arial" w:eastAsia="Arial" w:hAnsi="Arial"/>
          <w:sz w:val="16"/>
          <w:szCs w:val="16"/>
          <w:color w:val="auto"/>
        </w:rPr>
        <w:t>. (i) The Lease and the Assignment of Leases will create a valid and, and when the UCC Financing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filings and recordings described in Schedule 6.1(xi) to the Participation Agreement have been made, first priority (subject only to Permitted Liens) perfected Lien in favor of the Lessor or Administrative Agent, as applicable, in the Lessee’s rights, title and interest in and to the Leased Property and the other Collateral described in the Assignment of Leases, as applicable, and (ii) no filing, recording, registration or notice with, or payment of any fees to, any federal or state Governmental Authority will be necessary to create or perfect such Lien in favor of the Lessor or Administrative Agent, as applicable, except as have been, or will be by the time required pursuant to the Operative Documents, obtained or made or arrangements made for the foregoing in accordance with the applicable terms of the Operative Documents (or in the case of fees, paid or provision for the payment thereof shall have been made), in any such case, to the extent perfection can be obtained by filing or recording UCC financing statements, mortgages or similar instruments.</w:t>
      </w:r>
    </w:p>
    <w:p>
      <w:pPr>
        <w:spacing w:after="0" w:line="166" w:lineRule="exact"/>
        <w:rPr>
          <w:rFonts w:ascii="Arial" w:cs="Arial" w:eastAsia="Arial" w:hAnsi="Arial"/>
          <w:sz w:val="16"/>
          <w:szCs w:val="16"/>
          <w:color w:val="auto"/>
        </w:rPr>
      </w:pPr>
    </w:p>
    <w:p>
      <w:pPr>
        <w:ind w:right="40" w:firstLine="1413"/>
        <w:spacing w:after="0" w:line="257" w:lineRule="auto"/>
        <w:tabs>
          <w:tab w:leader="none" w:pos="1952" w:val="left"/>
        </w:tabs>
        <w:numPr>
          <w:ilvl w:val="1"/>
          <w:numId w:val="300"/>
        </w:numPr>
        <w:rPr>
          <w:rFonts w:ascii="Arial" w:cs="Arial" w:eastAsia="Arial" w:hAnsi="Arial"/>
          <w:sz w:val="18"/>
          <w:szCs w:val="18"/>
          <w:color w:val="auto"/>
        </w:rPr>
      </w:pPr>
      <w:r>
        <w:rPr>
          <w:rFonts w:ascii="Arial" w:cs="Arial" w:eastAsia="Arial" w:hAnsi="Arial"/>
          <w:sz w:val="18"/>
          <w:szCs w:val="18"/>
          <w:i w:val="1"/>
          <w:iCs w:val="1"/>
          <w:color w:val="auto"/>
        </w:rPr>
        <w:t>Applicable Law</w:t>
      </w:r>
      <w:r>
        <w:rPr>
          <w:rFonts w:ascii="Arial" w:cs="Arial" w:eastAsia="Arial" w:hAnsi="Arial"/>
          <w:sz w:val="18"/>
          <w:szCs w:val="18"/>
          <w:color w:val="auto"/>
        </w:rPr>
        <w:t>. The Facility and the Site are in compliance in all material respects with all Applicable Laws and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and any present use and presently anticipated future use thereof by Lessee and its agents, assignees, employees, invitees, lessees, licensees and tenants comply in all material respects with all Applicable Laws, in any such case, except where any such noncompliance individually or in the aggregate could not reasonably be expected to have a material adverse effect on Lessee’s ability to perform its material obligations under the Operative Documents. Except as could not reasonably be expected to have a Material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spacing w:after="0" w:line="270" w:lineRule="auto"/>
        <w:rPr>
          <w:sz w:val="20"/>
          <w:szCs w:val="20"/>
          <w:color w:val="auto"/>
        </w:rPr>
      </w:pPr>
      <w:r>
        <w:rPr>
          <w:rFonts w:ascii="Arial" w:cs="Arial" w:eastAsia="Arial" w:hAnsi="Arial"/>
          <w:sz w:val="18"/>
          <w:szCs w:val="18"/>
          <w:color w:val="auto"/>
        </w:rPr>
        <w:t xml:space="preserve">Adverse Effect, no </w:t>
      </w:r>
      <w:r>
        <w:rPr>
          <w:rFonts w:ascii="Arial" w:cs="Arial" w:eastAsia="Arial" w:hAnsi="Arial"/>
          <w:sz w:val="17"/>
          <w:szCs w:val="17"/>
          <w:color w:val="auto"/>
        </w:rPr>
        <w:t>notices, complaints or orders of violation or noncompliance or liability have been issued to the Parent Guarantor or the Lessee or, to the best</w:t>
      </w:r>
      <w:r>
        <w:rPr>
          <w:rFonts w:ascii="Arial" w:cs="Arial" w:eastAsia="Arial" w:hAnsi="Arial"/>
          <w:sz w:val="18"/>
          <w:szCs w:val="18"/>
          <w:color w:val="auto"/>
        </w:rPr>
        <w:t xml:space="preserve"> </w:t>
      </w:r>
      <w:r>
        <w:rPr>
          <w:rFonts w:ascii="Arial" w:cs="Arial" w:eastAsia="Arial" w:hAnsi="Arial"/>
          <w:sz w:val="17"/>
          <w:szCs w:val="17"/>
          <w:color w:val="auto"/>
        </w:rPr>
        <w:t>of the Parent Guarantor’s knowledge, threatened by any Person with respect to the Leased Property or the present or intended future use thereof, and the Parent Guarantor is not aware of any circumstances which could give rise to the issuance of any such notices, complaints or orders.</w:t>
      </w:r>
    </w:p>
    <w:p>
      <w:pPr>
        <w:sectPr>
          <w:pgSz w:w="11900" w:h="16921" w:orient="portrait"/>
          <w:cols w:equalWidth="0" w:num="1">
            <w:col w:w="11400"/>
          </w:cols>
          <w:pgMar w:left="240" w:top="125" w:right="259" w:bottom="0" w:gutter="0" w:footer="0" w:header="0"/>
        </w:sectPr>
      </w:pPr>
    </w:p>
    <w:bookmarkStart w:id="149" w:name="page150"/>
    <w:bookmarkEnd w:id="149"/>
    <w:p>
      <w:pPr>
        <w:ind w:firstLine="1372"/>
        <w:spacing w:after="0" w:line="255" w:lineRule="auto"/>
        <w:tabs>
          <w:tab w:leader="none" w:pos="1965" w:val="left"/>
        </w:tabs>
        <w:numPr>
          <w:ilvl w:val="0"/>
          <w:numId w:val="301"/>
        </w:numPr>
        <w:rPr>
          <w:rFonts w:ascii="Arial" w:cs="Arial" w:eastAsia="Arial" w:hAnsi="Arial"/>
          <w:sz w:val="18"/>
          <w:szCs w:val="18"/>
          <w:color w:val="auto"/>
        </w:rPr>
      </w:pPr>
      <w:r>
        <w:rPr>
          <w:rFonts w:ascii="Arial" w:cs="Arial" w:eastAsia="Arial" w:hAnsi="Arial"/>
          <w:sz w:val="18"/>
          <w:szCs w:val="18"/>
          <w:i w:val="1"/>
          <w:iCs w:val="1"/>
          <w:color w:val="auto"/>
        </w:rPr>
        <w:t>Condition</w:t>
      </w:r>
      <w:r>
        <w:rPr>
          <w:rFonts w:ascii="Arial" w:cs="Arial" w:eastAsia="Arial" w:hAnsi="Arial"/>
          <w:sz w:val="18"/>
          <w:szCs w:val="18"/>
          <w:color w:val="auto"/>
        </w:rPr>
        <w:t>. Adequate utility facilities are available to the Leased Property over dedicated and accepted public streets and rights of</w:t>
      </w:r>
      <w:r>
        <w:rPr>
          <w:rFonts w:ascii="Arial" w:cs="Arial" w:eastAsia="Arial" w:hAnsi="Arial"/>
          <w:sz w:val="18"/>
          <w:szCs w:val="18"/>
          <w:i w:val="1"/>
          <w:iCs w:val="1"/>
          <w:color w:val="auto"/>
        </w:rPr>
        <w:t xml:space="preserve"> </w:t>
      </w:r>
      <w:r>
        <w:rPr>
          <w:rFonts w:ascii="Arial" w:cs="Arial" w:eastAsia="Arial" w:hAnsi="Arial"/>
          <w:sz w:val="18"/>
          <w:szCs w:val="18"/>
          <w:color w:val="auto"/>
        </w:rPr>
        <w:t>way or valid easements that run with the land. As of the Document Closing Date, no fire or other Casualty with respect to the Leased Property has occurred which has had a Material Adverse Effect. Adequate ingress and egress to and from the Leased Property is available over dedicated and accepted public streets and rights- of-way or valid easements that run with the land. With respect to the Leased Property, all material licenses, permits and approvals (including, without limitation, material building and environmental permits, licenses, approvals, authorizations and consents) necessary and required for the use and operation of the Leased Property have been obtained from the appropriate Governmental Authorities having jurisdiction or from private parties, as the case may be.</w:t>
      </w:r>
    </w:p>
    <w:p>
      <w:pPr>
        <w:spacing w:after="0" w:line="189" w:lineRule="exact"/>
        <w:rPr>
          <w:rFonts w:ascii="Arial" w:cs="Arial" w:eastAsia="Arial" w:hAnsi="Arial"/>
          <w:sz w:val="18"/>
          <w:szCs w:val="18"/>
          <w:color w:val="auto"/>
        </w:rPr>
      </w:pPr>
    </w:p>
    <w:p>
      <w:pPr>
        <w:ind w:right="360" w:firstLine="1413"/>
        <w:spacing w:after="0" w:line="264" w:lineRule="auto"/>
        <w:tabs>
          <w:tab w:leader="none" w:pos="1952" w:val="left"/>
        </w:tabs>
        <w:numPr>
          <w:ilvl w:val="0"/>
          <w:numId w:val="301"/>
        </w:numPr>
        <w:rPr>
          <w:rFonts w:ascii="Arial" w:cs="Arial" w:eastAsia="Arial" w:hAnsi="Arial"/>
          <w:sz w:val="18"/>
          <w:szCs w:val="18"/>
          <w:color w:val="auto"/>
        </w:rPr>
      </w:pPr>
      <w:r>
        <w:rPr>
          <w:rFonts w:ascii="Arial" w:cs="Arial" w:eastAsia="Arial" w:hAnsi="Arial"/>
          <w:sz w:val="18"/>
          <w:szCs w:val="18"/>
          <w:i w:val="1"/>
          <w:iCs w:val="1"/>
          <w:color w:val="auto"/>
        </w:rPr>
        <w:t>Flood Hazard Areas</w:t>
      </w:r>
      <w:r>
        <w:rPr>
          <w:rFonts w:ascii="Arial" w:cs="Arial" w:eastAsia="Arial" w:hAnsi="Arial"/>
          <w:sz w:val="18"/>
          <w:szCs w:val="18"/>
          <w:color w:val="auto"/>
        </w:rPr>
        <w:t>. If the Site is located in an area identified as a special flood hazard area by the Federal Emergency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Agency or other applicable Governmental Authority, then, to the extent required by Applicable Laws, flood insurance has been obtained by Lessee in accordance with the National Flood Insurance Act of 1968, as amended.</w:t>
      </w:r>
    </w:p>
    <w:p>
      <w:pPr>
        <w:spacing w:after="0" w:line="181" w:lineRule="exact"/>
        <w:rPr>
          <w:rFonts w:ascii="Arial" w:cs="Arial" w:eastAsia="Arial" w:hAnsi="Arial"/>
          <w:sz w:val="18"/>
          <w:szCs w:val="18"/>
          <w:color w:val="auto"/>
        </w:rPr>
      </w:pPr>
    </w:p>
    <w:p>
      <w:pPr>
        <w:ind w:right="460" w:firstLine="1413"/>
        <w:spacing w:after="0" w:line="277" w:lineRule="auto"/>
        <w:tabs>
          <w:tab w:leader="none" w:pos="1952" w:val="left"/>
        </w:tabs>
        <w:numPr>
          <w:ilvl w:val="0"/>
          <w:numId w:val="301"/>
        </w:numPr>
        <w:rPr>
          <w:rFonts w:ascii="Arial" w:cs="Arial" w:eastAsia="Arial" w:hAnsi="Arial"/>
          <w:sz w:val="18"/>
          <w:szCs w:val="18"/>
          <w:color w:val="auto"/>
        </w:rPr>
      </w:pPr>
      <w:r>
        <w:rPr>
          <w:rFonts w:ascii="Arial" w:cs="Arial" w:eastAsia="Arial" w:hAnsi="Arial"/>
          <w:sz w:val="18"/>
          <w:szCs w:val="18"/>
          <w:i w:val="1"/>
          <w:iCs w:val="1"/>
          <w:color w:val="auto"/>
        </w:rPr>
        <w:t>No Prohibited Transactions</w:t>
      </w:r>
      <w:r>
        <w:rPr>
          <w:rFonts w:ascii="Arial" w:cs="Arial" w:eastAsia="Arial" w:hAnsi="Arial"/>
          <w:sz w:val="18"/>
          <w:szCs w:val="18"/>
          <w:color w:val="auto"/>
        </w:rPr>
        <w:t>. None of the transactions contemplated by the Operative Documents will constitute a prohibited</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within the meaning of Section 4975(c)(1)(A) through (D) of the Code.</w:t>
      </w:r>
    </w:p>
    <w:p>
      <w:pPr>
        <w:spacing w:after="0" w:line="170" w:lineRule="exact"/>
        <w:rPr>
          <w:sz w:val="20"/>
          <w:szCs w:val="20"/>
          <w:color w:val="auto"/>
        </w:rPr>
      </w:pPr>
    </w:p>
    <w:p>
      <w:pPr>
        <w:ind w:right="80" w:firstLine="729"/>
        <w:spacing w:after="0" w:line="277" w:lineRule="auto"/>
        <w:rPr>
          <w:sz w:val="20"/>
          <w:szCs w:val="20"/>
          <w:color w:val="auto"/>
        </w:rPr>
      </w:pPr>
      <w:r>
        <w:rPr>
          <w:rFonts w:ascii="Arial" w:cs="Arial" w:eastAsia="Arial" w:hAnsi="Arial"/>
          <w:sz w:val="18"/>
          <w:szCs w:val="18"/>
          <w:i w:val="1"/>
          <w:iCs w:val="1"/>
          <w:color w:val="auto"/>
        </w:rPr>
        <w:t xml:space="preserve">Section 8. Guarantor Affirmative Covenants. </w:t>
      </w:r>
      <w:r>
        <w:rPr>
          <w:rFonts w:ascii="Arial" w:cs="Arial" w:eastAsia="Arial" w:hAnsi="Arial"/>
          <w:sz w:val="18"/>
          <w:szCs w:val="18"/>
          <w:color w:val="auto"/>
        </w:rPr>
        <w:t>The Parent Guarantor shall comply with the following covenants until all Liabilities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paid in full:</w:t>
      </w:r>
    </w:p>
    <w:p>
      <w:pPr>
        <w:spacing w:after="0" w:line="170" w:lineRule="exact"/>
        <w:rPr>
          <w:sz w:val="20"/>
          <w:szCs w:val="20"/>
          <w:color w:val="auto"/>
        </w:rPr>
      </w:pPr>
    </w:p>
    <w:p>
      <w:pPr>
        <w:ind w:left="1940" w:hanging="608"/>
        <w:spacing w:after="0"/>
        <w:tabs>
          <w:tab w:leader="none" w:pos="1940" w:val="left"/>
        </w:tabs>
        <w:numPr>
          <w:ilvl w:val="0"/>
          <w:numId w:val="302"/>
        </w:numPr>
        <w:rPr>
          <w:rFonts w:ascii="Arial" w:cs="Arial" w:eastAsia="Arial" w:hAnsi="Arial"/>
          <w:sz w:val="17"/>
          <w:szCs w:val="17"/>
          <w:color w:val="auto"/>
        </w:rPr>
      </w:pPr>
      <w:r>
        <w:rPr>
          <w:rFonts w:ascii="Arial" w:cs="Arial" w:eastAsia="Arial" w:hAnsi="Arial"/>
          <w:sz w:val="17"/>
          <w:szCs w:val="17"/>
          <w:i w:val="1"/>
          <w:iCs w:val="1"/>
          <w:color w:val="auto"/>
        </w:rPr>
        <w:t>Financial Statements and Other Information</w:t>
      </w:r>
      <w:r>
        <w:rPr>
          <w:rFonts w:ascii="Arial" w:cs="Arial" w:eastAsia="Arial" w:hAnsi="Arial"/>
          <w:sz w:val="17"/>
          <w:szCs w:val="17"/>
          <w:color w:val="auto"/>
        </w:rPr>
        <w:t>. The Parent Guarantor will furnish to the Administrative Agent for distribution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each Participant:</w:t>
      </w:r>
    </w:p>
    <w:p>
      <w:pPr>
        <w:spacing w:after="0" w:line="211" w:lineRule="exact"/>
        <w:rPr>
          <w:sz w:val="20"/>
          <w:szCs w:val="20"/>
          <w:color w:val="auto"/>
        </w:rPr>
      </w:pPr>
    </w:p>
    <w:p>
      <w:pPr>
        <w:ind w:left="1300" w:right="260" w:firstLine="653"/>
        <w:spacing w:after="0" w:line="271" w:lineRule="auto"/>
        <w:tabs>
          <w:tab w:leader="none" w:pos="2618" w:val="left"/>
        </w:tabs>
        <w:numPr>
          <w:ilvl w:val="0"/>
          <w:numId w:val="303"/>
        </w:numPr>
        <w:rPr>
          <w:rFonts w:ascii="Arial" w:cs="Arial" w:eastAsia="Arial" w:hAnsi="Arial"/>
          <w:sz w:val="17"/>
          <w:szCs w:val="17"/>
          <w:color w:val="auto"/>
        </w:rPr>
      </w:pPr>
      <w:r>
        <w:rPr>
          <w:rFonts w:ascii="Arial" w:cs="Arial" w:eastAsia="Arial" w:hAnsi="Arial"/>
          <w:sz w:val="17"/>
          <w:szCs w:val="17"/>
          <w:color w:val="auto"/>
        </w:rPr>
        <w:t>within ninety (90) days after the end of each fiscal year of the Parent Guarantor, its audited consolidated balance sheet and related statements of operations, stockholders’ equity and cash flows as of the end of and for such year, setting forth in each case in comparative form the figures for the previous fiscal year, prepared in accordance with GAAP consistently applied, with such audited balance sheet and related consolidated financial statements reported on by PricewaterhouseCoopers LLP or other independent public accountants of recognized national standing reasonably acceptable to the Administrative Agent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Parent Guarantor and its consolidated Subsidiaries on a consolidated basis in accordance with GAAP;</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firstLine="653"/>
        <w:spacing w:after="0" w:line="291" w:lineRule="auto"/>
        <w:tabs>
          <w:tab w:leader="none" w:pos="2627" w:val="left"/>
        </w:tabs>
        <w:numPr>
          <w:ilvl w:val="0"/>
          <w:numId w:val="304"/>
        </w:numPr>
        <w:rPr>
          <w:rFonts w:ascii="Arial" w:cs="Arial" w:eastAsia="Arial" w:hAnsi="Arial"/>
          <w:sz w:val="16"/>
          <w:szCs w:val="16"/>
          <w:color w:val="auto"/>
        </w:rPr>
      </w:pPr>
      <w:r>
        <w:rPr>
          <w:rFonts w:ascii="Arial" w:cs="Arial" w:eastAsia="Arial" w:hAnsi="Arial"/>
          <w:sz w:val="16"/>
          <w:szCs w:val="16"/>
          <w:color w:val="auto"/>
        </w:rPr>
        <w:t>within forty-five (45) days after the end of each of the first three fiscal quarters of each fiscal year of the Parent Guarantor, its consolidated balance sheet and related statements of operations and cash flows as of the end of and for such fiscal quarter and the period commencing at the beginning of such fiscal year and ending with such fiscal quarter, setting forth in each case in comparative form the figures for the corresponding period or periods of (or, in the case of the balance sheet, as of the end of) the previous fiscal year, all certified on behalf of the Parent Guarantor by a Responsible Officer of the Parent Guarantor as presenting fairly in all material respects the financial condition and results of operations of the Parent Guarantor and its consolidated Subsidiaries on a consolidated basis in accordance with GAAP consistently applied, subject to normal year-end audit adjustments and the absence of footnotes;</w:t>
      </w:r>
    </w:p>
    <w:p>
      <w:pPr>
        <w:spacing w:after="0" w:line="167" w:lineRule="exact"/>
        <w:rPr>
          <w:rFonts w:ascii="Arial" w:cs="Arial" w:eastAsia="Arial" w:hAnsi="Arial"/>
          <w:sz w:val="16"/>
          <w:szCs w:val="16"/>
          <w:color w:val="auto"/>
        </w:rPr>
      </w:pPr>
    </w:p>
    <w:p>
      <w:pPr>
        <w:ind w:left="1300" w:firstLine="653"/>
        <w:spacing w:after="0" w:line="284" w:lineRule="auto"/>
        <w:tabs>
          <w:tab w:leader="none" w:pos="2637" w:val="left"/>
        </w:tabs>
        <w:numPr>
          <w:ilvl w:val="0"/>
          <w:numId w:val="304"/>
        </w:numPr>
        <w:rPr>
          <w:rFonts w:ascii="Arial" w:cs="Arial" w:eastAsia="Arial" w:hAnsi="Arial"/>
          <w:sz w:val="16"/>
          <w:szCs w:val="16"/>
          <w:color w:val="auto"/>
        </w:rPr>
      </w:pPr>
      <w:r>
        <w:rPr>
          <w:rFonts w:ascii="Arial" w:cs="Arial" w:eastAsia="Arial" w:hAnsi="Arial"/>
          <w:sz w:val="16"/>
          <w:szCs w:val="16"/>
          <w:color w:val="auto"/>
        </w:rPr>
        <w:t>concurrently with any delivery of financial statements under clause (i) or (ii) above, a certificate of a Responsible Officer of the Parent Guarantor delivered on behalf of the Parent Guarantor, (A) certifying as to whether, to the knowledge of such Responsible Officer, a Default has occurred and is continuing and, if a Default has occurred that is continuing, specifying the details thereof and any action taken or proposed to be taken with respect thereto, (B) setting forth reasonably detailed calculations demonstrating compliance with Sections 9(f) and (g), and (C) to the extent that any change in GAAP or application thereof has a material impact on the financial statements accompanying such certificate and such change and impact has not been noted in such financial statements, stating whether any such change in GAAP or in the application thereof has occurred since the date of the audited financial statements referred to in</w:t>
      </w:r>
    </w:p>
    <w:p>
      <w:pPr>
        <w:spacing w:after="0" w:line="2" w:lineRule="exact"/>
        <w:rPr>
          <w:rFonts w:ascii="Arial" w:cs="Arial" w:eastAsia="Arial" w:hAnsi="Arial"/>
          <w:sz w:val="16"/>
          <w:szCs w:val="16"/>
          <w:color w:val="auto"/>
        </w:rPr>
      </w:pPr>
    </w:p>
    <w:p>
      <w:pPr>
        <w:ind w:left="1300" w:right="580"/>
        <w:spacing w:after="0" w:line="261" w:lineRule="auto"/>
        <w:rPr>
          <w:rFonts w:ascii="Arial" w:cs="Arial" w:eastAsia="Arial" w:hAnsi="Arial"/>
          <w:sz w:val="16"/>
          <w:szCs w:val="16"/>
          <w:color w:val="auto"/>
        </w:rPr>
      </w:pPr>
      <w:r>
        <w:rPr>
          <w:rFonts w:ascii="Arial" w:cs="Arial" w:eastAsia="Arial" w:hAnsi="Arial"/>
          <w:sz w:val="18"/>
          <w:szCs w:val="18"/>
          <w:color w:val="auto"/>
        </w:rPr>
        <w:t>Section 6.1(xviii) of the Participation Agreement and, if any such change has occurred, specifying the effect of such change on such financial statements accompanying such certificate;</w:t>
      </w:r>
    </w:p>
    <w:p>
      <w:pPr>
        <w:spacing w:after="0" w:line="183" w:lineRule="exact"/>
        <w:rPr>
          <w:rFonts w:ascii="Arial" w:cs="Arial" w:eastAsia="Arial" w:hAnsi="Arial"/>
          <w:sz w:val="16"/>
          <w:szCs w:val="16"/>
          <w:color w:val="auto"/>
        </w:rPr>
      </w:pPr>
    </w:p>
    <w:p>
      <w:pPr>
        <w:ind w:left="1300" w:firstLine="653"/>
        <w:spacing w:after="0" w:line="259" w:lineRule="auto"/>
        <w:tabs>
          <w:tab w:leader="none" w:pos="2613" w:val="left"/>
        </w:tabs>
        <w:numPr>
          <w:ilvl w:val="0"/>
          <w:numId w:val="304"/>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annual, regular, periodic and special reports, proxy statements and registration statements (A) filed by the Parent Guarantor with the SEC (or any Governmental Authority succeeding to any or all of the functions of the SEC) or with any national securities exchange, or (B) distributed by the Parent Guarantor to its shareholders generally, as the case may be;</w:t>
      </w:r>
    </w:p>
    <w:p>
      <w:pPr>
        <w:spacing w:after="0" w:line="186" w:lineRule="exact"/>
        <w:rPr>
          <w:rFonts w:ascii="Arial" w:cs="Arial" w:eastAsia="Arial" w:hAnsi="Arial"/>
          <w:sz w:val="18"/>
          <w:szCs w:val="18"/>
          <w:color w:val="auto"/>
        </w:rPr>
      </w:pPr>
    </w:p>
    <w:p>
      <w:pPr>
        <w:ind w:left="1300" w:right="700" w:firstLine="653"/>
        <w:spacing w:after="0" w:line="277" w:lineRule="auto"/>
        <w:tabs>
          <w:tab w:leader="none" w:pos="260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promptly after Moody’s or S&amp;P shall have announced a change in the rating established or deemed to have been established for the Index Debt, written notice of such rating change; and</w:t>
      </w:r>
    </w:p>
    <w:p>
      <w:pPr>
        <w:spacing w:after="0" w:line="170" w:lineRule="exact"/>
        <w:rPr>
          <w:rFonts w:ascii="Arial" w:cs="Arial" w:eastAsia="Arial" w:hAnsi="Arial"/>
          <w:sz w:val="18"/>
          <w:szCs w:val="18"/>
          <w:color w:val="auto"/>
        </w:rPr>
      </w:pPr>
    </w:p>
    <w:p>
      <w:pPr>
        <w:ind w:left="1300" w:right="200" w:firstLine="653"/>
        <w:spacing w:after="0" w:line="286" w:lineRule="auto"/>
        <w:tabs>
          <w:tab w:leader="none" w:pos="2613" w:val="left"/>
        </w:tabs>
        <w:numPr>
          <w:ilvl w:val="0"/>
          <w:numId w:val="304"/>
        </w:numPr>
        <w:rPr>
          <w:rFonts w:ascii="Arial" w:cs="Arial" w:eastAsia="Arial" w:hAnsi="Arial"/>
          <w:sz w:val="17"/>
          <w:szCs w:val="17"/>
          <w:color w:val="auto"/>
        </w:rPr>
      </w:pPr>
      <w:r>
        <w:rPr>
          <w:rFonts w:ascii="Arial" w:cs="Arial" w:eastAsia="Arial" w:hAnsi="Arial"/>
          <w:sz w:val="17"/>
          <w:szCs w:val="17"/>
          <w:color w:val="auto"/>
        </w:rPr>
        <w:t>promptly following any request therefor, such other information regarding the operations, business affairs and financial condition of the Parent Guarantor, Lessee or any Subsidiary, or compliance with the terms of the Participation Agreement, as the Administrative Agent or by any Lender (acting through the Administrative Agent) may reasonably request.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Documents required to be delivered pursuant to clauses (i), (ii) and (iv) of this Section 8(a) (1) may be delivered electronically and (2) shall be deemed to have been delivered on the date on which such documents are (A) filed for public availability on the SEC’s Electronic Data Gathering and Retrieval System,</w:t>
      </w:r>
    </w:p>
    <w:p>
      <w:pPr>
        <w:ind w:right="100" w:firstLine="8"/>
        <w:spacing w:after="0" w:line="254" w:lineRule="auto"/>
        <w:tabs>
          <w:tab w:leader="none" w:pos="285" w:val="left"/>
        </w:tabs>
        <w:numPr>
          <w:ilvl w:val="0"/>
          <w:numId w:val="305"/>
        </w:numPr>
        <w:rPr>
          <w:rFonts w:ascii="Arial" w:cs="Arial" w:eastAsia="Arial" w:hAnsi="Arial"/>
          <w:sz w:val="18"/>
          <w:szCs w:val="18"/>
          <w:color w:val="auto"/>
        </w:rPr>
      </w:pPr>
      <w:r>
        <w:rPr>
          <w:rFonts w:ascii="Arial" w:cs="Arial" w:eastAsia="Arial" w:hAnsi="Arial"/>
          <w:sz w:val="18"/>
          <w:szCs w:val="18"/>
          <w:color w:val="auto"/>
        </w:rPr>
        <w:t>posted or the Parent Guarantor provides a link thereto on http://www.regeneron.com or http://www.investor.regeneron.com or at another website identified in a notice from the Parent Guarantor and accessible by the Participants without charge; or (C) posted on the Parent Guarantor’s or Lessee’s behalf on an Internet or intranet website, if any, to which the Administrative Agent has access (whether a commercial, third-party website or whether sponsored by the Administrative Agent).</w:t>
      </w:r>
    </w:p>
    <w:p>
      <w:pPr>
        <w:sectPr>
          <w:pgSz w:w="11900" w:h="16838" w:orient="portrait"/>
          <w:cols w:equalWidth="0" w:num="1">
            <w:col w:w="11400"/>
          </w:cols>
          <w:pgMar w:left="240" w:top="341" w:right="259" w:bottom="0" w:gutter="0" w:footer="0" w:header="0"/>
        </w:sectPr>
      </w:pPr>
    </w:p>
    <w:bookmarkStart w:id="150" w:name="page151"/>
    <w:bookmarkEnd w:id="150"/>
    <w:p>
      <w:pPr>
        <w:spacing w:after="0" w:line="114" w:lineRule="exact"/>
        <w:rPr>
          <w:sz w:val="20"/>
          <w:szCs w:val="20"/>
          <w:color w:val="auto"/>
        </w:rPr>
      </w:pPr>
    </w:p>
    <w:p>
      <w:pPr>
        <w:ind w:right="260" w:firstLine="1332"/>
        <w:spacing w:after="0" w:line="277" w:lineRule="auto"/>
        <w:tabs>
          <w:tab w:leader="none" w:pos="1952" w:val="left"/>
        </w:tabs>
        <w:numPr>
          <w:ilvl w:val="0"/>
          <w:numId w:val="306"/>
        </w:numPr>
        <w:rPr>
          <w:rFonts w:ascii="Arial" w:cs="Arial" w:eastAsia="Arial" w:hAnsi="Arial"/>
          <w:sz w:val="18"/>
          <w:szCs w:val="18"/>
          <w:color w:val="auto"/>
        </w:rPr>
      </w:pPr>
      <w:r>
        <w:rPr>
          <w:rFonts w:ascii="Arial" w:cs="Arial" w:eastAsia="Arial" w:hAnsi="Arial"/>
          <w:sz w:val="18"/>
          <w:szCs w:val="18"/>
          <w:i w:val="1"/>
          <w:iCs w:val="1"/>
          <w:color w:val="auto"/>
        </w:rPr>
        <w:t>Notices of Material Events</w:t>
      </w:r>
      <w:r>
        <w:rPr>
          <w:rFonts w:ascii="Arial" w:cs="Arial" w:eastAsia="Arial" w:hAnsi="Arial"/>
          <w:sz w:val="18"/>
          <w:szCs w:val="18"/>
          <w:color w:val="auto"/>
        </w:rPr>
        <w:t>. The Parent Guarantor will furnish to the Administrative Agent (for distribution to each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notice of the following, promptly after a Responsible Officer of the Parent Guarantor has actual knowledge thereof:</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225" w:lineRule="exact"/>
        <w:rPr>
          <w:rFonts w:ascii="Arial" w:cs="Arial" w:eastAsia="Arial" w:hAnsi="Arial"/>
          <w:sz w:val="18"/>
          <w:szCs w:val="18"/>
          <w:color w:val="auto"/>
        </w:rPr>
      </w:pPr>
    </w:p>
    <w:p>
      <w:pPr>
        <w:ind w:left="1300" w:right="20" w:firstLine="653"/>
        <w:spacing w:after="0" w:line="264" w:lineRule="auto"/>
        <w:tabs>
          <w:tab w:leader="none" w:pos="2627"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the filing or commencement of any action, suit or proceeding by or before any arbitrator or Governmental Authority against or affecting the Parent Guarantor, Lessee or any Subsidiary thereof that could reasonably be expected to result in a Material Adverse Effect;</w:t>
      </w:r>
    </w:p>
    <w:p>
      <w:pPr>
        <w:spacing w:after="0" w:line="181" w:lineRule="exact"/>
        <w:rPr>
          <w:rFonts w:ascii="Arial" w:cs="Arial" w:eastAsia="Arial" w:hAnsi="Arial"/>
          <w:sz w:val="18"/>
          <w:szCs w:val="18"/>
          <w:color w:val="auto"/>
        </w:rPr>
      </w:pPr>
    </w:p>
    <w:p>
      <w:pPr>
        <w:ind w:left="1300" w:right="520" w:firstLine="653"/>
        <w:spacing w:after="0" w:line="277" w:lineRule="auto"/>
        <w:tabs>
          <w:tab w:leader="none" w:pos="2637"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could reasonably be expected to result in a Material Adverse Effect; and</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Each notice delivered under this Section 8(b) shall be accompanied by a statement of a Responsible Officer of the Parent Guarantor setting forth in reasonable detail the event or development requiring such notice and any action taken or proposed to be taken with respect thereto. Information required to be delivered pursuant to clause (ii), (iii) and (iv) of this Section 8(b) shall be deemed to have been delivered if such information, or one or more annual, quarterly, current or other reports containing such information, is (A) filed for public availability on the SEC’s Electronic Data Gathering and Retrieval System, (B) posted or the Parent Guarantor provides a link thereto on http://www.regeneron.com or http://www.investor.regeneron.com; or (C) posted on the Parent Guarantor’s or Lessee’s behalf on an Internet or intranet website, if any, to which the Administrative Agent and the Participants have access (whether a commercial, third-party website or whether sponsored by the Administrative Agent). Information required to be delivered pursuant to this Section 8(b) may also be delivered by electronic communications pursuant to procedures approved by the Administrative Agent.</w:t>
      </w:r>
    </w:p>
    <w:p>
      <w:pPr>
        <w:spacing w:after="0" w:line="166" w:lineRule="exact"/>
        <w:rPr>
          <w:sz w:val="20"/>
          <w:szCs w:val="20"/>
          <w:color w:val="auto"/>
        </w:rPr>
      </w:pPr>
    </w:p>
    <w:p>
      <w:pPr>
        <w:ind w:right="220" w:firstLine="1332"/>
        <w:spacing w:after="0" w:line="308" w:lineRule="auto"/>
        <w:tabs>
          <w:tab w:leader="none" w:pos="1955" w:val="left"/>
        </w:tabs>
        <w:numPr>
          <w:ilvl w:val="0"/>
          <w:numId w:val="307"/>
        </w:numPr>
        <w:rPr>
          <w:rFonts w:ascii="Arial" w:cs="Arial" w:eastAsia="Arial" w:hAnsi="Arial"/>
          <w:sz w:val="17"/>
          <w:szCs w:val="17"/>
          <w:color w:val="auto"/>
        </w:rPr>
      </w:pPr>
      <w:r>
        <w:rPr>
          <w:rFonts w:ascii="Arial" w:cs="Arial" w:eastAsia="Arial" w:hAnsi="Arial"/>
          <w:sz w:val="17"/>
          <w:szCs w:val="17"/>
          <w:i w:val="1"/>
          <w:iCs w:val="1"/>
          <w:color w:val="auto"/>
        </w:rPr>
        <w:t>Existence; Conduct of Business</w:t>
      </w:r>
      <w:r>
        <w:rPr>
          <w:rFonts w:ascii="Arial" w:cs="Arial" w:eastAsia="Arial" w:hAnsi="Arial"/>
          <w:sz w:val="17"/>
          <w:szCs w:val="17"/>
          <w:color w:val="auto"/>
        </w:rPr>
        <w:t>. The Parent Guarantor will, and will cause each other Subsidiary Guarantor, Lessee and each of</w:t>
      </w:r>
      <w:r>
        <w:rPr>
          <w:rFonts w:ascii="Arial" w:cs="Arial" w:eastAsia="Arial" w:hAnsi="Arial"/>
          <w:sz w:val="17"/>
          <w:szCs w:val="17"/>
          <w:i w:val="1"/>
          <w:iCs w:val="1"/>
          <w:color w:val="auto"/>
        </w:rPr>
        <w:t xml:space="preserve"> </w:t>
      </w:r>
      <w:r>
        <w:rPr>
          <w:rFonts w:ascii="Arial" w:cs="Arial" w:eastAsia="Arial" w:hAnsi="Arial"/>
          <w:sz w:val="17"/>
          <w:szCs w:val="17"/>
          <w:color w:val="auto"/>
        </w:rPr>
        <w:t>the Material Subsidiaries to, (A) do or cause to be done all things necessary to preserve, renew and keep in full force and effect its legal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existence and (B) take, or cause to be taken, all reasonable actions to preserve, renew and keep in full force and effect the rights, qualifications, licenses, permits, privileges, franchises, governmental authorizations and intellectual property rights material to the conduct of the business of the Parent Guarantor and its Subsidiaries taken as a whole and maintain all requisite authority to conduct its business in each jurisdiction in which its business is conducted, except, in the case of this clause (B), to the extent that failure to do so could not reasonably be expected to result in a Material Adverse Effect;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Section 8(c) shall not prohibit any Permitted Restructurings, merger, consolidation, disposition, liquidation, dissolution or other transaction permitted under Section 9(c).</w:t>
      </w:r>
    </w:p>
    <w:p>
      <w:pPr>
        <w:spacing w:after="0" w:line="193" w:lineRule="exact"/>
        <w:rPr>
          <w:sz w:val="20"/>
          <w:szCs w:val="20"/>
          <w:color w:val="auto"/>
        </w:rPr>
      </w:pPr>
    </w:p>
    <w:p>
      <w:pPr>
        <w:ind w:right="160" w:firstLine="1332"/>
        <w:spacing w:after="0" w:line="259" w:lineRule="auto"/>
        <w:tabs>
          <w:tab w:leader="none" w:pos="1952" w:val="left"/>
        </w:tabs>
        <w:numPr>
          <w:ilvl w:val="1"/>
          <w:numId w:val="308"/>
        </w:numPr>
        <w:rPr>
          <w:rFonts w:ascii="Arial" w:cs="Arial" w:eastAsia="Arial" w:hAnsi="Arial"/>
          <w:sz w:val="18"/>
          <w:szCs w:val="18"/>
          <w:color w:val="auto"/>
        </w:rPr>
      </w:pPr>
      <w:r>
        <w:rPr>
          <w:rFonts w:ascii="Arial" w:cs="Arial" w:eastAsia="Arial" w:hAnsi="Arial"/>
          <w:sz w:val="18"/>
          <w:szCs w:val="18"/>
          <w:i w:val="1"/>
          <w:iCs w:val="1"/>
          <w:color w:val="auto"/>
        </w:rPr>
        <w:t>Payment of Taxes</w:t>
      </w:r>
      <w:r>
        <w:rPr>
          <w:rFonts w:ascii="Arial" w:cs="Arial" w:eastAsia="Arial" w:hAnsi="Arial"/>
          <w:sz w:val="18"/>
          <w:szCs w:val="18"/>
          <w:color w:val="auto"/>
        </w:rPr>
        <w:t>. The Parent Guarantor will, and will cause each of its Subsidiaries (including the Lessee) to, pay its Tax</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that, if not paid, could reasonably be expected to result in a Material Adverse Effect before the same shall become delinquent or in default, except where Taxes that are being contested in good faith by appropriate proceedings and for which the Parent Guarantor and/or such Subsidiary, as applicable, has set aside on its books adequate reserves in accordance with GAAP.</w:t>
      </w:r>
    </w:p>
    <w:p>
      <w:pPr>
        <w:spacing w:after="0" w:line="186" w:lineRule="exact"/>
        <w:rPr>
          <w:rFonts w:ascii="Arial" w:cs="Arial" w:eastAsia="Arial" w:hAnsi="Arial"/>
          <w:sz w:val="18"/>
          <w:szCs w:val="18"/>
          <w:color w:val="auto"/>
        </w:rPr>
      </w:pPr>
    </w:p>
    <w:p>
      <w:pPr>
        <w:ind w:left="1960" w:hanging="628"/>
        <w:spacing w:after="0"/>
        <w:tabs>
          <w:tab w:leader="none" w:pos="1960" w:val="left"/>
        </w:tabs>
        <w:numPr>
          <w:ilvl w:val="1"/>
          <w:numId w:val="308"/>
        </w:numPr>
        <w:rPr>
          <w:rFonts w:ascii="Arial" w:cs="Arial" w:eastAsia="Arial" w:hAnsi="Arial"/>
          <w:sz w:val="16"/>
          <w:szCs w:val="16"/>
          <w:color w:val="auto"/>
        </w:rPr>
      </w:pPr>
      <w:r>
        <w:rPr>
          <w:rFonts w:ascii="Arial" w:cs="Arial" w:eastAsia="Arial" w:hAnsi="Arial"/>
          <w:sz w:val="16"/>
          <w:szCs w:val="16"/>
          <w:i w:val="1"/>
          <w:iCs w:val="1"/>
          <w:color w:val="auto"/>
        </w:rPr>
        <w:t>Maintenance of Properties; Insurance</w:t>
      </w:r>
      <w:r>
        <w:rPr>
          <w:rFonts w:ascii="Arial" w:cs="Arial" w:eastAsia="Arial" w:hAnsi="Arial"/>
          <w:sz w:val="16"/>
          <w:szCs w:val="16"/>
          <w:color w:val="auto"/>
        </w:rPr>
        <w:t>. The Parent Guarantor will, and will cause each of its Subsidiaries (including the Lessee) to,</w:t>
      </w:r>
    </w:p>
    <w:p>
      <w:pPr>
        <w:spacing w:after="0" w:line="46" w:lineRule="exact"/>
        <w:rPr>
          <w:rFonts w:ascii="Arial" w:cs="Arial" w:eastAsia="Arial" w:hAnsi="Arial"/>
          <w:sz w:val="16"/>
          <w:szCs w:val="16"/>
          <w:color w:val="auto"/>
        </w:rPr>
      </w:pPr>
    </w:p>
    <w:p>
      <w:pPr>
        <w:ind w:right="240" w:firstLine="8"/>
        <w:spacing w:after="0" w:line="292" w:lineRule="auto"/>
        <w:tabs>
          <w:tab w:leader="none" w:pos="215" w:val="left"/>
        </w:tabs>
        <w:numPr>
          <w:ilvl w:val="0"/>
          <w:numId w:val="309"/>
        </w:numPr>
        <w:rPr>
          <w:rFonts w:ascii="Arial" w:cs="Arial" w:eastAsia="Arial" w:hAnsi="Arial"/>
          <w:sz w:val="16"/>
          <w:szCs w:val="16"/>
          <w:color w:val="auto"/>
        </w:rPr>
      </w:pPr>
      <w:r>
        <w:rPr>
          <w:rFonts w:ascii="Arial" w:cs="Arial" w:eastAsia="Arial" w:hAnsi="Arial"/>
          <w:sz w:val="16"/>
          <w:szCs w:val="16"/>
          <w:color w:val="auto"/>
        </w:rPr>
        <w:t>keep and maintain all other tangible property material to the conduct of its business in good working order and condition, ordinary wear and tear and casualty excepted and except (A) pursuant to transactions permitted by Section 9(c) or (B) where the failure to do so could not reasonably be expected to result in a Material Adverse Effect, and (ii) maintain, subject to Article XIII of the Lease, in all material respects, with carriers reasonably believed by the Parent Guarantor to be financially sound and reputable insurance or through reasonable and adequate self-insurance in such amounts and against such risks and such other hazards, as is customarily maintained by companies engaged in the same or similar businesses operating in the same or similar locations.</w:t>
      </w:r>
    </w:p>
    <w:p>
      <w:pPr>
        <w:spacing w:after="0" w:line="162" w:lineRule="exact"/>
        <w:rPr>
          <w:rFonts w:ascii="Arial" w:cs="Arial" w:eastAsia="Arial" w:hAnsi="Arial"/>
          <w:sz w:val="16"/>
          <w:szCs w:val="16"/>
          <w:color w:val="auto"/>
        </w:rPr>
      </w:pPr>
    </w:p>
    <w:p>
      <w:pPr>
        <w:ind w:right="40" w:firstLine="1359"/>
        <w:spacing w:after="0" w:line="287" w:lineRule="auto"/>
        <w:tabs>
          <w:tab w:leader="none" w:pos="1949" w:val="left"/>
        </w:tabs>
        <w:numPr>
          <w:ilvl w:val="1"/>
          <w:numId w:val="309"/>
        </w:numPr>
        <w:rPr>
          <w:rFonts w:ascii="Arial" w:cs="Arial" w:eastAsia="Arial" w:hAnsi="Arial"/>
          <w:sz w:val="16"/>
          <w:szCs w:val="16"/>
          <w:color w:val="auto"/>
        </w:rPr>
      </w:pPr>
      <w:r>
        <w:rPr>
          <w:rFonts w:ascii="Arial" w:cs="Arial" w:eastAsia="Arial" w:hAnsi="Arial"/>
          <w:sz w:val="16"/>
          <w:szCs w:val="16"/>
          <w:i w:val="1"/>
          <w:iCs w:val="1"/>
          <w:color w:val="auto"/>
        </w:rPr>
        <w:t>Books and Records; Inspection Rights</w:t>
      </w:r>
      <w:r>
        <w:rPr>
          <w:rFonts w:ascii="Arial" w:cs="Arial" w:eastAsia="Arial" w:hAnsi="Arial"/>
          <w:sz w:val="16"/>
          <w:szCs w:val="16"/>
          <w:color w:val="auto"/>
        </w:rPr>
        <w:t>. The Parent Guarantor will, and will cause each of its Material Subsidiaries and the Lessee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keep proper books of record and account in which full, true and correct entries in conformity in all material respects with applicable law are made of all material financial dealings and transactions in relation to its business and activities and, subject to Section 8(a)(ii), in form permitting financial statements conforming with GAAP or IFRS (as applicable) to be derived therefrom. The Parent Guarantor will, and will cause each of its Subsidiaries (including the Lessee) to, permit any representatives designated by the Lessor and/or Administrative Agent, at reasonable times upon reasonable prior written notice, to visit and inspect its properties, to examine and make extracts from its books and records and to discuss its affairs, finances and condition with its Responsible Officers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Parent Guarantor or such Subsidiary is afforded the opportunity to participate in such discussion, its independent accountants, all at such reasonable times and as often as reasonably requested;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 long as no Event of Default has occurred and is continuing, none of the Guarantors or Lessee shall be required to reimburse the Lessor or Administrative Agent or any of their respective representatives for fees, costs and expenses in connection with the Administrative Agent’s or the Lessor’s exercise of such rights set forth in this sentence more than one time total in any calendar year. The Parent Guarantor acknowledges that, subject to Section 15.14 of the Participation Agreement, the Administrative Agent or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Lessor, after exercising its rights of inspection, may prepare and distribute to the Participants certain reports pertaining to the assets of the Parent Guarantor, Lessee and/or any Subsidiary for internal use by the Administrative Agent, the Lessor and the Lenders. Notwithstanding anything to the contrary in this Section 8, neither the Parent Guarantor nor any of its Subsidiaries will be required to disclose, permit the inspection, examination or making of extracts, or discussion of, any documents, information or other matter that (1) constitutes non-financial trade secrets or non-financial proprietary information, (2) in respect of which disclosure to the Administrative Agent or Lessor (or any designated representative) is then prohibited by law, rule or regulation or any agreement binding on the Parent Guarantor or any of its Subsidiaries or (3) is subject to attorney-client or similar privilege or constitutes attorney work-product.</w:t>
      </w:r>
    </w:p>
    <w:p>
      <w:pPr>
        <w:spacing w:after="0" w:line="189" w:lineRule="exact"/>
        <w:rPr>
          <w:sz w:val="20"/>
          <w:szCs w:val="20"/>
          <w:color w:val="auto"/>
        </w:rPr>
      </w:pPr>
    </w:p>
    <w:p>
      <w:pPr>
        <w:ind w:right="120" w:firstLine="1332"/>
        <w:spacing w:after="0" w:line="312" w:lineRule="auto"/>
        <w:tabs>
          <w:tab w:leader="none" w:pos="1965" w:val="left"/>
        </w:tabs>
        <w:numPr>
          <w:ilvl w:val="0"/>
          <w:numId w:val="310"/>
        </w:numPr>
        <w:rPr>
          <w:rFonts w:ascii="Arial" w:cs="Arial" w:eastAsia="Arial" w:hAnsi="Arial"/>
          <w:sz w:val="16"/>
          <w:szCs w:val="16"/>
          <w:color w:val="auto"/>
        </w:rPr>
      </w:pPr>
      <w:r>
        <w:rPr>
          <w:rFonts w:ascii="Arial" w:cs="Arial" w:eastAsia="Arial" w:hAnsi="Arial"/>
          <w:sz w:val="16"/>
          <w:szCs w:val="16"/>
          <w:i w:val="1"/>
          <w:iCs w:val="1"/>
          <w:color w:val="auto"/>
        </w:rPr>
        <w:t>Compliance with Laws</w:t>
      </w:r>
      <w:r>
        <w:rPr>
          <w:rFonts w:ascii="Arial" w:cs="Arial" w:eastAsia="Arial" w:hAnsi="Arial"/>
          <w:sz w:val="16"/>
          <w:szCs w:val="16"/>
          <w:color w:val="auto"/>
        </w:rPr>
        <w:t>. The Parent Guarantor will, and will cause each of its Subsidiaries (including the Lessee) to, comply with</w:t>
      </w:r>
      <w:r>
        <w:rPr>
          <w:rFonts w:ascii="Arial" w:cs="Arial" w:eastAsia="Arial" w:hAnsi="Arial"/>
          <w:sz w:val="16"/>
          <w:szCs w:val="16"/>
          <w:i w:val="1"/>
          <w:iCs w:val="1"/>
          <w:color w:val="auto"/>
        </w:rPr>
        <w:t xml:space="preserve"> </w:t>
      </w:r>
      <w:r>
        <w:rPr>
          <w:rFonts w:ascii="Arial" w:cs="Arial" w:eastAsia="Arial" w:hAnsi="Arial"/>
          <w:sz w:val="16"/>
          <w:szCs w:val="16"/>
          <w:color w:val="auto"/>
        </w:rPr>
        <w:t>all laws, rules, regulations and orders of any Governmental Authority applicable to it or its property (including without limitation Environmental Laws), except where the failure to do so could not reasonably be expected to result in a Material Adverse Effect. The Parent Guarantor will maintain in effect and</w:t>
      </w:r>
    </w:p>
    <w:p>
      <w:pPr>
        <w:sectPr>
          <w:pgSz w:w="11900" w:h="16952" w:orient="portrait"/>
          <w:cols w:equalWidth="0" w:num="1">
            <w:col w:w="11420"/>
          </w:cols>
          <w:pgMar w:left="240" w:top="125" w:right="239" w:bottom="0" w:gutter="0" w:footer="0" w:header="0"/>
        </w:sectPr>
      </w:pPr>
    </w:p>
    <w:bookmarkStart w:id="151" w:name="page152"/>
    <w:bookmarkEnd w:id="151"/>
    <w:p>
      <w:pPr>
        <w:ind w:right="480"/>
        <w:spacing w:after="0" w:line="342" w:lineRule="auto"/>
        <w:rPr>
          <w:sz w:val="20"/>
          <w:szCs w:val="20"/>
          <w:color w:val="auto"/>
        </w:rPr>
      </w:pPr>
      <w:r>
        <w:rPr>
          <w:rFonts w:ascii="Arial" w:cs="Arial" w:eastAsia="Arial" w:hAnsi="Arial"/>
          <w:sz w:val="16"/>
          <w:szCs w:val="16"/>
          <w:color w:val="auto"/>
        </w:rPr>
        <w:t>enforce policies and is implementing and will maintain procedures reasonably designed to achieve compliance by the Parent Guarantor, its Subsidiaries (including the Lessee) and their respective directors, officers, employees and agents with Anti-Corruption Laws and applicable Sanctions.</w:t>
      </w:r>
    </w:p>
    <w:p>
      <w:pPr>
        <w:spacing w:after="0" w:line="124" w:lineRule="exact"/>
        <w:rPr>
          <w:sz w:val="20"/>
          <w:szCs w:val="20"/>
          <w:color w:val="auto"/>
        </w:rPr>
      </w:pPr>
    </w:p>
    <w:p>
      <w:pPr>
        <w:ind w:firstLine="1332"/>
        <w:spacing w:after="0" w:line="287" w:lineRule="auto"/>
        <w:tabs>
          <w:tab w:leader="none" w:pos="1952" w:val="left"/>
        </w:tabs>
        <w:numPr>
          <w:ilvl w:val="0"/>
          <w:numId w:val="311"/>
        </w:numPr>
        <w:rPr>
          <w:rFonts w:ascii="Arial" w:cs="Arial" w:eastAsia="Arial" w:hAnsi="Arial"/>
          <w:sz w:val="16"/>
          <w:szCs w:val="16"/>
          <w:color w:val="auto"/>
        </w:rPr>
      </w:pPr>
      <w:r>
        <w:rPr>
          <w:rFonts w:ascii="Arial" w:cs="Arial" w:eastAsia="Arial" w:hAnsi="Arial"/>
          <w:sz w:val="16"/>
          <w:szCs w:val="16"/>
          <w:i w:val="1"/>
          <w:iCs w:val="1"/>
          <w:color w:val="auto"/>
        </w:rPr>
        <w:t xml:space="preserve">Additional Subsidiary Guarantors. </w:t>
      </w:r>
      <w:r>
        <w:rPr>
          <w:rFonts w:ascii="Arial" w:cs="Arial" w:eastAsia="Arial" w:hAnsi="Arial"/>
          <w:sz w:val="16"/>
          <w:szCs w:val="16"/>
          <w:color w:val="auto"/>
        </w:rPr>
        <w:t>Within forty-five (45) days (or such later date as may be agreed upon by the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after which financial statements have been delivered pursuant to Section 8(a)(i) and any Person (other than the Lessee) qualifies as a Material Domestic Subsidiary pursuant to the definition of “Material Subsidiary” in accordance with the calculations in such financial statements, the Parent Guarantor shall provide the Administrative Agent with written notice thereof and shall cause each such Subsidiary to execute and deliver to the Administrative Agent the Guaranty (or a joinder thereto in the form contemplated thereby) pursuant to which such Subsidiary agrees to be bound by the terms and provisions thereof, the Guaranty (or joinder thereto) to be accompanied by requisite organizational resolutions, other organizational documentation and legal opinions as may be reasonably requested by the Administrative Agent (with any such opinion so requested to be in form and substance reasonably satisfactory to the Administrative Agent but, in any case, limited to the types of matters covered in the legal opinions delivered pursuant to Section 6.1 of the Participation Agreement). Each guarantor and each borrower under the Bank Credit Agreement that is a Domestic Subsidiary (and not (x) the Lessee or (y) an Excluded Subsidiary pursuant to any of clauses (a) through (d) of the definition thereof) shall be party to this Guaranty, subject to Section 17 hereof. Notwithstanding anything to the contrary in any Operative Document, no Excluded Subsidiary shall be required to become a Subsidiary Guarantor.</w:t>
      </w:r>
    </w:p>
    <w:p>
      <w:pPr>
        <w:spacing w:after="0" w:line="172" w:lineRule="exact"/>
        <w:rPr>
          <w:rFonts w:ascii="Arial" w:cs="Arial" w:eastAsia="Arial" w:hAnsi="Arial"/>
          <w:sz w:val="16"/>
          <w:szCs w:val="16"/>
          <w:color w:val="auto"/>
        </w:rPr>
      </w:pPr>
    </w:p>
    <w:p>
      <w:pPr>
        <w:ind w:right="20" w:firstLine="1372"/>
        <w:spacing w:after="0" w:line="257" w:lineRule="auto"/>
        <w:tabs>
          <w:tab w:leader="none" w:pos="1966" w:val="left"/>
        </w:tabs>
        <w:numPr>
          <w:ilvl w:val="0"/>
          <w:numId w:val="311"/>
        </w:numPr>
        <w:rPr>
          <w:rFonts w:ascii="Arial" w:cs="Arial" w:eastAsia="Arial" w:hAnsi="Arial"/>
          <w:sz w:val="18"/>
          <w:szCs w:val="18"/>
          <w:color w:val="auto"/>
        </w:rPr>
      </w:pPr>
      <w:r>
        <w:rPr>
          <w:rFonts w:ascii="Arial" w:cs="Arial" w:eastAsia="Arial" w:hAnsi="Arial"/>
          <w:sz w:val="18"/>
          <w:szCs w:val="18"/>
          <w:i w:val="1"/>
          <w:iCs w:val="1"/>
          <w:color w:val="auto"/>
        </w:rPr>
        <w:t xml:space="preserve">Use of Proceeds. </w:t>
      </w:r>
      <w:r>
        <w:rPr>
          <w:rFonts w:ascii="Arial" w:cs="Arial" w:eastAsia="Arial" w:hAnsi="Arial"/>
          <w:sz w:val="18"/>
          <w:szCs w:val="18"/>
          <w:color w:val="auto"/>
        </w:rPr>
        <w:t>The proceeds of the Advance will be used only to pay for Participant Costs. No part of the proceeds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Advance will be used, whether directly or indirectly, for any purpose that entails a violation of any of the Regulations of the F.R.S. Board, including Regulations T, U and X of the F.R.S. Board. The Parent Guarantor shall procure that its Subsidiaries (including the Lessee) and its or their respective directors, officers, employees and agents shall not use, the proceeds of the Advance (i) in furtherance of an offer, payment, promise to pay, or authorization of the payment or giving of money, or anything else 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value, to any Person in violation of any Anti-Corruption Laws,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181" w:lineRule="exact"/>
        <w:rPr>
          <w:sz w:val="20"/>
          <w:szCs w:val="20"/>
          <w:color w:val="auto"/>
        </w:rPr>
      </w:pPr>
    </w:p>
    <w:p>
      <w:pPr>
        <w:ind w:right="300" w:firstLine="729"/>
        <w:spacing w:after="0" w:line="277" w:lineRule="auto"/>
        <w:rPr>
          <w:sz w:val="20"/>
          <w:szCs w:val="20"/>
          <w:color w:val="auto"/>
        </w:rPr>
      </w:pPr>
      <w:r>
        <w:rPr>
          <w:rFonts w:ascii="Arial" w:cs="Arial" w:eastAsia="Arial" w:hAnsi="Arial"/>
          <w:sz w:val="18"/>
          <w:szCs w:val="18"/>
          <w:i w:val="1"/>
          <w:iCs w:val="1"/>
          <w:color w:val="auto"/>
        </w:rPr>
        <w:t xml:space="preserve">Section 9. Guarantor Negative Covenants. </w:t>
      </w:r>
      <w:r>
        <w:rPr>
          <w:rFonts w:ascii="Arial" w:cs="Arial" w:eastAsia="Arial" w:hAnsi="Arial"/>
          <w:sz w:val="18"/>
          <w:szCs w:val="18"/>
          <w:color w:val="auto"/>
        </w:rPr>
        <w:t>The Parent Guarantor shall comply with the following covenants until all Liabilities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paid in full:</w:t>
      </w:r>
    </w:p>
    <w:p>
      <w:pPr>
        <w:spacing w:after="0" w:line="170" w:lineRule="exact"/>
        <w:rPr>
          <w:sz w:val="20"/>
          <w:szCs w:val="20"/>
          <w:color w:val="auto"/>
        </w:rPr>
      </w:pPr>
    </w:p>
    <w:p>
      <w:pPr>
        <w:ind w:firstLine="1332"/>
        <w:spacing w:after="0" w:line="277" w:lineRule="auto"/>
        <w:tabs>
          <w:tab w:leader="none" w:pos="1942" w:val="left"/>
        </w:tabs>
        <w:numPr>
          <w:ilvl w:val="0"/>
          <w:numId w:val="312"/>
        </w:numPr>
        <w:rPr>
          <w:rFonts w:ascii="Arial" w:cs="Arial" w:eastAsia="Arial" w:hAnsi="Arial"/>
          <w:sz w:val="18"/>
          <w:szCs w:val="18"/>
          <w:color w:val="auto"/>
        </w:rPr>
      </w:pPr>
      <w:r>
        <w:rPr>
          <w:rFonts w:ascii="Arial" w:cs="Arial" w:eastAsia="Arial" w:hAnsi="Arial"/>
          <w:sz w:val="18"/>
          <w:szCs w:val="18"/>
          <w:i w:val="1"/>
          <w:iCs w:val="1"/>
          <w:color w:val="auto"/>
        </w:rPr>
        <w:t>Indebtedness</w:t>
      </w:r>
      <w:r>
        <w:rPr>
          <w:rFonts w:ascii="Arial" w:cs="Arial" w:eastAsia="Arial" w:hAnsi="Arial"/>
          <w:sz w:val="18"/>
          <w:szCs w:val="18"/>
          <w:color w:val="auto"/>
        </w:rPr>
        <w:t>. The Parent Guarantor will not, and will not permit Lessee or any other Subsidiary to, create, incur, assume or permit</w:t>
      </w:r>
      <w:r>
        <w:rPr>
          <w:rFonts w:ascii="Arial" w:cs="Arial" w:eastAsia="Arial" w:hAnsi="Arial"/>
          <w:sz w:val="18"/>
          <w:szCs w:val="18"/>
          <w:i w:val="1"/>
          <w:iCs w:val="1"/>
          <w:color w:val="auto"/>
        </w:rPr>
        <w:t xml:space="preserve"> </w:t>
      </w:r>
      <w:r>
        <w:rPr>
          <w:rFonts w:ascii="Arial" w:cs="Arial" w:eastAsia="Arial" w:hAnsi="Arial"/>
          <w:sz w:val="18"/>
          <w:szCs w:val="18"/>
          <w:color w:val="auto"/>
        </w:rPr>
        <w:t>to exist any Indebtedness, except:</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300" w:right="260" w:firstLine="653"/>
        <w:spacing w:after="0" w:line="279" w:lineRule="auto"/>
        <w:tabs>
          <w:tab w:leader="none" w:pos="2627" w:val="left"/>
        </w:tabs>
        <w:numPr>
          <w:ilvl w:val="1"/>
          <w:numId w:val="312"/>
        </w:numPr>
        <w:rPr>
          <w:rFonts w:ascii="Arial" w:cs="Arial" w:eastAsia="Arial" w:hAnsi="Arial"/>
          <w:sz w:val="17"/>
          <w:szCs w:val="17"/>
          <w:color w:val="auto"/>
        </w:rPr>
      </w:pPr>
      <w:r>
        <w:rPr>
          <w:rFonts w:ascii="Arial" w:cs="Arial" w:eastAsia="Arial" w:hAnsi="Arial"/>
          <w:sz w:val="17"/>
          <w:szCs w:val="17"/>
          <w:color w:val="auto"/>
        </w:rPr>
        <w:t>Indebtedness existing on the date hereof and set forth in Schedule 9(a) and amendments, modifications, extensions, refinancings, renewals and replacements of any such Indebtedness that does not increase the outstanding principal amount thereof (other than with respect to unpaid accrued interest and premium thereon, any committed or undrawn amounts and underwriting discounts, fees, commissions, premiums and expenses associated with such Indebtedness);</w:t>
      </w:r>
    </w:p>
    <w:p>
      <w:pPr>
        <w:spacing w:after="0" w:line="171" w:lineRule="exact"/>
        <w:rPr>
          <w:rFonts w:ascii="Arial" w:cs="Arial" w:eastAsia="Arial" w:hAnsi="Arial"/>
          <w:sz w:val="17"/>
          <w:szCs w:val="17"/>
          <w:color w:val="auto"/>
        </w:rPr>
      </w:pPr>
    </w:p>
    <w:p>
      <w:pPr>
        <w:ind w:left="2640" w:hanging="687"/>
        <w:spacing w:after="0"/>
        <w:tabs>
          <w:tab w:leader="none" w:pos="2640" w:val="left"/>
        </w:tabs>
        <w:numPr>
          <w:ilvl w:val="1"/>
          <w:numId w:val="312"/>
        </w:numPr>
        <w:rPr>
          <w:rFonts w:ascii="Arial" w:cs="Arial" w:eastAsia="Arial" w:hAnsi="Arial"/>
          <w:sz w:val="17"/>
          <w:szCs w:val="17"/>
          <w:color w:val="auto"/>
        </w:rPr>
      </w:pPr>
      <w:r>
        <w:rPr>
          <w:rFonts w:ascii="Arial" w:cs="Arial" w:eastAsia="Arial" w:hAnsi="Arial"/>
          <w:sz w:val="17"/>
          <w:szCs w:val="17"/>
          <w:color w:val="auto"/>
        </w:rPr>
        <w:t>Indebtedness of the Parent Guarantor to any Subsidiary and of any Subsidiary to the Parent Guarantor or any other</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Subsidiary;</w:t>
      </w:r>
    </w:p>
    <w:p>
      <w:pPr>
        <w:spacing w:after="0" w:line="210" w:lineRule="exact"/>
        <w:rPr>
          <w:rFonts w:ascii="Arial" w:cs="Arial" w:eastAsia="Arial" w:hAnsi="Arial"/>
          <w:sz w:val="17"/>
          <w:szCs w:val="17"/>
          <w:color w:val="auto"/>
        </w:rPr>
      </w:pPr>
    </w:p>
    <w:p>
      <w:pPr>
        <w:ind w:left="1300" w:right="400" w:firstLine="653"/>
        <w:spacing w:after="0" w:line="277" w:lineRule="auto"/>
        <w:tabs>
          <w:tab w:leader="none" w:pos="2613" w:val="left"/>
        </w:tabs>
        <w:numPr>
          <w:ilvl w:val="1"/>
          <w:numId w:val="312"/>
        </w:numPr>
        <w:rPr>
          <w:rFonts w:ascii="Arial" w:cs="Arial" w:eastAsia="Arial" w:hAnsi="Arial"/>
          <w:sz w:val="18"/>
          <w:szCs w:val="18"/>
          <w:color w:val="auto"/>
        </w:rPr>
      </w:pPr>
      <w:r>
        <w:rPr>
          <w:rFonts w:ascii="Arial" w:cs="Arial" w:eastAsia="Arial" w:hAnsi="Arial"/>
          <w:sz w:val="18"/>
          <w:szCs w:val="18"/>
          <w:color w:val="auto"/>
        </w:rPr>
        <w:t>Guarantees by the Parent Guarantor of Indebtedness or other obligations of any Subsidiary and by any Subsidiary of Indebtedness or other obligations of the Parent Guarantor or any other Subsidiary;</w:t>
      </w:r>
    </w:p>
    <w:p>
      <w:pPr>
        <w:spacing w:after="0" w:line="170" w:lineRule="exact"/>
        <w:rPr>
          <w:rFonts w:ascii="Arial" w:cs="Arial" w:eastAsia="Arial" w:hAnsi="Arial"/>
          <w:sz w:val="18"/>
          <w:szCs w:val="18"/>
          <w:color w:val="auto"/>
        </w:rPr>
      </w:pPr>
    </w:p>
    <w:p>
      <w:pPr>
        <w:ind w:left="1300" w:right="40" w:firstLine="653"/>
        <w:spacing w:after="0" w:line="272" w:lineRule="auto"/>
        <w:tabs>
          <w:tab w:leader="none" w:pos="2604" w:val="left"/>
        </w:tabs>
        <w:numPr>
          <w:ilvl w:val="1"/>
          <w:numId w:val="312"/>
        </w:numPr>
        <w:rPr>
          <w:rFonts w:ascii="Arial" w:cs="Arial" w:eastAsia="Arial" w:hAnsi="Arial"/>
          <w:sz w:val="17"/>
          <w:szCs w:val="17"/>
          <w:color w:val="auto"/>
        </w:rPr>
      </w:pPr>
      <w:r>
        <w:rPr>
          <w:rFonts w:ascii="Arial" w:cs="Arial" w:eastAsia="Arial" w:hAnsi="Arial"/>
          <w:sz w:val="17"/>
          <w:szCs w:val="17"/>
          <w:color w:val="auto"/>
        </w:rPr>
        <w:t xml:space="preserve">Indebtedness of the Parent Guarantor or any Subsidiary incurred to finance the acquisition, construction, repair, replacement, lease or improvement of any fixed or capital assets, including Capital Lease Obligations and any Indebtedness assumed in connection with the acquisition of any such assets or secured by a Lien on any such assets prior to the acquisition thereof, and amendments, modifications, extensions, refinancings, renewals and replacements of any such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Indebtedness is incurred prior to or within one hundred eighty (180) days after such acquisition or the completion of such construction, repair, replacement, lease or improvement and (B) the aggregate outstanding principal amount of Indebtedness permitted by this clause (v) shall not exceed $75,000,000 at any time outstanding;</w:t>
      </w:r>
    </w:p>
    <w:p>
      <w:pPr>
        <w:spacing w:after="0" w:line="177" w:lineRule="exact"/>
        <w:rPr>
          <w:rFonts w:ascii="Arial" w:cs="Arial" w:eastAsia="Arial" w:hAnsi="Arial"/>
          <w:sz w:val="17"/>
          <w:szCs w:val="17"/>
          <w:color w:val="auto"/>
        </w:rPr>
      </w:pPr>
    </w:p>
    <w:p>
      <w:pPr>
        <w:ind w:left="2620" w:hanging="667"/>
        <w:spacing w:after="0"/>
        <w:tabs>
          <w:tab w:leader="none" w:pos="2620" w:val="left"/>
        </w:tabs>
        <w:numPr>
          <w:ilvl w:val="1"/>
          <w:numId w:val="312"/>
        </w:numPr>
        <w:rPr>
          <w:rFonts w:ascii="Arial" w:cs="Arial" w:eastAsia="Arial" w:hAnsi="Arial"/>
          <w:sz w:val="17"/>
          <w:szCs w:val="17"/>
          <w:color w:val="auto"/>
        </w:rPr>
      </w:pPr>
      <w:r>
        <w:rPr>
          <w:rFonts w:ascii="Arial" w:cs="Arial" w:eastAsia="Arial" w:hAnsi="Arial"/>
          <w:sz w:val="17"/>
          <w:szCs w:val="17"/>
          <w:color w:val="auto"/>
        </w:rPr>
        <w:t>Indebtedness of the Parent Guarantor or any Subsidiary as an account party in respect of letters of credit or bank</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guarantees;</w:t>
      </w:r>
    </w:p>
    <w:p>
      <w:pPr>
        <w:spacing w:after="0" w:line="210" w:lineRule="exact"/>
        <w:rPr>
          <w:rFonts w:ascii="Arial" w:cs="Arial" w:eastAsia="Arial" w:hAnsi="Arial"/>
          <w:sz w:val="17"/>
          <w:szCs w:val="17"/>
          <w:color w:val="auto"/>
        </w:rPr>
      </w:pPr>
    </w:p>
    <w:p>
      <w:pPr>
        <w:ind w:left="1300" w:right="400" w:firstLine="653"/>
        <w:spacing w:after="0" w:line="277" w:lineRule="auto"/>
        <w:tabs>
          <w:tab w:leader="none" w:pos="2623" w:val="left"/>
        </w:tabs>
        <w:numPr>
          <w:ilvl w:val="1"/>
          <w:numId w:val="312"/>
        </w:numPr>
        <w:rPr>
          <w:rFonts w:ascii="Arial" w:cs="Arial" w:eastAsia="Arial" w:hAnsi="Arial"/>
          <w:sz w:val="18"/>
          <w:szCs w:val="18"/>
          <w:color w:val="auto"/>
        </w:rPr>
      </w:pPr>
      <w:r>
        <w:rPr>
          <w:rFonts w:ascii="Arial" w:cs="Arial" w:eastAsia="Arial" w:hAnsi="Arial"/>
          <w:sz w:val="18"/>
          <w:szCs w:val="18"/>
          <w:color w:val="auto"/>
        </w:rPr>
        <w:t>unfunded pension fund and other employee benefit plan obligations and liabilities to the extent they are permitted to remain unfunded under applicable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40" w:hanging="687"/>
        <w:spacing w:after="0"/>
        <w:tabs>
          <w:tab w:leader="none" w:pos="264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Indebtedness representing deferred compensation to employees incurred in the ordinary course of business;</w:t>
      </w:r>
    </w:p>
    <w:p>
      <w:pPr>
        <w:spacing w:after="0" w:line="225" w:lineRule="exact"/>
        <w:rPr>
          <w:rFonts w:ascii="Arial" w:cs="Arial" w:eastAsia="Arial" w:hAnsi="Arial"/>
          <w:sz w:val="18"/>
          <w:szCs w:val="18"/>
          <w:color w:val="auto"/>
        </w:rPr>
      </w:pPr>
    </w:p>
    <w:p>
      <w:pPr>
        <w:ind w:left="1300" w:right="80" w:firstLine="653"/>
        <w:spacing w:after="0" w:line="264" w:lineRule="auto"/>
        <w:tabs>
          <w:tab w:leader="none" w:pos="2613" w:val="left"/>
        </w:tabs>
        <w:numPr>
          <w:ilvl w:val="0"/>
          <w:numId w:val="313"/>
        </w:numPr>
        <w:rPr>
          <w:rFonts w:ascii="Arial" w:cs="Arial" w:eastAsia="Arial" w:hAnsi="Arial"/>
          <w:sz w:val="18"/>
          <w:szCs w:val="18"/>
          <w:color w:val="auto"/>
        </w:rPr>
      </w:pPr>
      <w:r>
        <w:rPr>
          <w:rFonts w:ascii="Arial" w:cs="Arial" w:eastAsia="Arial" w:hAnsi="Arial"/>
          <w:sz w:val="18"/>
          <w:szCs w:val="18"/>
          <w:color w:val="auto"/>
        </w:rPr>
        <w:t>Guarantees, surety bonds or performance bonds securing the performance of the Parent Guarantor or any of its Subsidiaries, in each case incurred or assumed in connection with an Acquisition or disposition or other acquisition of assets not prohibited hereunder;</w:t>
      </w:r>
    </w:p>
    <w:p>
      <w:pPr>
        <w:spacing w:after="0" w:line="181" w:lineRule="exact"/>
        <w:rPr>
          <w:rFonts w:ascii="Arial" w:cs="Arial" w:eastAsia="Arial" w:hAnsi="Arial"/>
          <w:sz w:val="18"/>
          <w:szCs w:val="18"/>
          <w:color w:val="auto"/>
        </w:rPr>
      </w:pPr>
    </w:p>
    <w:p>
      <w:pPr>
        <w:ind w:left="1300" w:right="40" w:firstLine="653"/>
        <w:spacing w:after="0" w:line="312" w:lineRule="auto"/>
        <w:tabs>
          <w:tab w:leader="none" w:pos="2604" w:val="left"/>
        </w:tabs>
        <w:numPr>
          <w:ilvl w:val="0"/>
          <w:numId w:val="313"/>
        </w:numPr>
        <w:rPr>
          <w:rFonts w:ascii="Arial" w:cs="Arial" w:eastAsia="Arial" w:hAnsi="Arial"/>
          <w:sz w:val="16"/>
          <w:szCs w:val="16"/>
          <w:color w:val="auto"/>
        </w:rPr>
      </w:pPr>
      <w:r>
        <w:rPr>
          <w:rFonts w:ascii="Arial" w:cs="Arial" w:eastAsia="Arial" w:hAnsi="Arial"/>
          <w:sz w:val="16"/>
          <w:szCs w:val="16"/>
          <w:color w:val="auto"/>
        </w:rPr>
        <w:t>Indebtedness of the Parent Guarantor or any of its Subsidiaries in respect of performance bonds, bid bonds, appeal bonds, surety bonds and similar obligations, in each case provided in the ordinary course of business, including guarantees or obligations with respect to letters of credit supporting such performance bonds, bid bonds, appeal bonds, surety bonds and similar obligations;</w:t>
      </w:r>
    </w:p>
    <w:p>
      <w:pPr>
        <w:sectPr>
          <w:pgSz w:w="11900" w:h="16838" w:orient="portrait"/>
          <w:cols w:equalWidth="0" w:num="1">
            <w:col w:w="11400"/>
          </w:cols>
          <w:pgMar w:left="240" w:top="125" w:right="259" w:bottom="0" w:gutter="0" w:footer="0" w:header="0"/>
        </w:sectPr>
      </w:pPr>
    </w:p>
    <w:bookmarkStart w:id="152" w:name="page153"/>
    <w:bookmarkEnd w:id="152"/>
    <w:p>
      <w:pPr>
        <w:ind w:left="1300" w:right="160" w:firstLine="653"/>
        <w:spacing w:after="0" w:line="259" w:lineRule="auto"/>
        <w:tabs>
          <w:tab w:leader="none" w:pos="2613"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Indebtedness arising from the honoring by a bank or other financial institution of a check, draft or similar instrument drawn against insufficient funds in the ordinary course of business or otherwise in respect of any netting services, overdrafts and related liabilities arising from treasury, depository and cash management services or in connection with any automated clearing-house transfers of funds;</w:t>
      </w:r>
    </w:p>
    <w:p>
      <w:pPr>
        <w:spacing w:after="0" w:line="186" w:lineRule="exact"/>
        <w:rPr>
          <w:rFonts w:ascii="Arial" w:cs="Arial" w:eastAsia="Arial" w:hAnsi="Arial"/>
          <w:sz w:val="18"/>
          <w:szCs w:val="18"/>
          <w:color w:val="auto"/>
        </w:rPr>
      </w:pPr>
    </w:p>
    <w:p>
      <w:pPr>
        <w:ind w:left="2620" w:hanging="667"/>
        <w:spacing w:after="0"/>
        <w:tabs>
          <w:tab w:leader="none" w:pos="26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Indebtedness in respect to judgments or awards under circumstances not giving rise to an Event of Default;</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Indebtedness in respect of obligations that are being contested in accordance with Section 8(d);</w:t>
      </w:r>
    </w:p>
    <w:p>
      <w:pPr>
        <w:spacing w:after="0" w:line="225" w:lineRule="exact"/>
        <w:rPr>
          <w:rFonts w:ascii="Arial" w:cs="Arial" w:eastAsia="Arial" w:hAnsi="Arial"/>
          <w:sz w:val="18"/>
          <w:szCs w:val="18"/>
          <w:color w:val="auto"/>
        </w:rPr>
      </w:pPr>
    </w:p>
    <w:p>
      <w:pPr>
        <w:ind w:left="1300" w:right="20" w:firstLine="653"/>
        <w:spacing w:after="0" w:line="264" w:lineRule="auto"/>
        <w:tabs>
          <w:tab w:leader="none" w:pos="2609"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Indebtedness consisting of (A) deferred payments or financing of insurance premiums incurred in the ordinary course of business of the Parent Guarantor or any of its Subsidiaries and (B) take or pay obligations contained in any supply agreement entered into in the ordinary course of business;</w:t>
      </w:r>
    </w:p>
    <w:p>
      <w:pPr>
        <w:spacing w:after="0" w:line="181" w:lineRule="exact"/>
        <w:rPr>
          <w:rFonts w:ascii="Arial" w:cs="Arial" w:eastAsia="Arial" w:hAnsi="Arial"/>
          <w:sz w:val="18"/>
          <w:szCs w:val="18"/>
          <w:color w:val="auto"/>
        </w:rPr>
      </w:pPr>
    </w:p>
    <w:p>
      <w:pPr>
        <w:ind w:left="1300" w:right="220" w:firstLine="653"/>
        <w:spacing w:after="0" w:line="264" w:lineRule="auto"/>
        <w:tabs>
          <w:tab w:leader="none" w:pos="2599" w:val="left"/>
        </w:tabs>
        <w:numPr>
          <w:ilvl w:val="0"/>
          <w:numId w:val="314"/>
        </w:numPr>
        <w:rPr>
          <w:rFonts w:ascii="Arial" w:cs="Arial" w:eastAsia="Arial" w:hAnsi="Arial"/>
          <w:sz w:val="18"/>
          <w:szCs w:val="18"/>
          <w:color w:val="auto"/>
        </w:rPr>
      </w:pPr>
      <w:r>
        <w:rPr>
          <w:rFonts w:ascii="Arial" w:cs="Arial" w:eastAsia="Arial" w:hAnsi="Arial"/>
          <w:sz w:val="18"/>
          <w:szCs w:val="18"/>
          <w:color w:val="auto"/>
        </w:rPr>
        <w:t>Indebtedness representing deferred compensation, severance, pension, and health and welfare retirement benefits or the equivalent to current and former employees of the Parent Guarantor and its Subsidiaries incurred in the ordinary course of business or existing on the Document Closing Date;</w:t>
      </w:r>
    </w:p>
    <w:p>
      <w:pPr>
        <w:spacing w:after="0" w:line="181" w:lineRule="exact"/>
        <w:rPr>
          <w:rFonts w:ascii="Arial" w:cs="Arial" w:eastAsia="Arial" w:hAnsi="Arial"/>
          <w:sz w:val="18"/>
          <w:szCs w:val="18"/>
          <w:color w:val="auto"/>
        </w:rPr>
      </w:pPr>
    </w:p>
    <w:p>
      <w:pPr>
        <w:ind w:left="1300" w:right="140" w:firstLine="653"/>
        <w:spacing w:after="0" w:line="277" w:lineRule="auto"/>
        <w:tabs>
          <w:tab w:leader="none" w:pos="2609" w:val="left"/>
        </w:tabs>
        <w:numPr>
          <w:ilvl w:val="0"/>
          <w:numId w:val="314"/>
        </w:numPr>
        <w:rPr>
          <w:rFonts w:ascii="Arial" w:cs="Arial" w:eastAsia="Arial" w:hAnsi="Arial"/>
          <w:sz w:val="18"/>
          <w:szCs w:val="18"/>
          <w:color w:val="auto"/>
        </w:rPr>
      </w:pPr>
      <w:r>
        <w:rPr>
          <w:rFonts w:ascii="Arial" w:cs="Arial" w:eastAsia="Arial" w:hAnsi="Arial"/>
          <w:sz w:val="18"/>
          <w:szCs w:val="18"/>
          <w:color w:val="auto"/>
        </w:rPr>
        <w:t>customer advances or deposits or other endorsements for collection, deposit or negotiation and warranties of products or services, in each case received or incurred in the ordinary course of business;</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Priority Indebtedness (excluding any Indebtedness (i) that is otherwise permitted by any other clause of this</w:t>
      </w:r>
    </w:p>
    <w:p>
      <w:pPr>
        <w:spacing w:after="0" w:line="23" w:lineRule="exact"/>
        <w:rPr>
          <w:sz w:val="20"/>
          <w:szCs w:val="20"/>
          <w:color w:val="auto"/>
        </w:rPr>
      </w:pPr>
    </w:p>
    <w:p>
      <w:pPr>
        <w:ind w:left="1300" w:right="60"/>
        <w:spacing w:after="0" w:line="261" w:lineRule="auto"/>
        <w:rPr>
          <w:sz w:val="20"/>
          <w:szCs w:val="20"/>
          <w:color w:val="auto"/>
        </w:rPr>
      </w:pPr>
      <w:r>
        <w:rPr>
          <w:rFonts w:ascii="Arial" w:cs="Arial" w:eastAsia="Arial" w:hAnsi="Arial"/>
          <w:sz w:val="18"/>
          <w:szCs w:val="18"/>
          <w:color w:val="auto"/>
        </w:rPr>
        <w:t>Section 9(a) and (ii) to the extent secured by a Lien, that is secured by a Lien permitted by Section 9(b) (other than by clause (xix) thereof)) in an aggregate outstanding principal amount not 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exceed, at the time of incurrence of any such Priority Indebtedness and when taken together with the aggregate outstanding amount of other</w:t>
      </w:r>
    </w:p>
    <w:p>
      <w:pPr>
        <w:spacing w:after="0" w:line="4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obligations secured by a Lien pursuant to Section 9(b)(xix)(B), fifteen percent (15%) of the Parent Guarantor’s Consolidated Net Worth</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(determined as of the last day of the most recent fiscal quarter for which financial statements shall have been delivered pursuant to</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Section 8(a)(i) or Section 8(a)(ii) (or, prior to the delivery of any such financial statements, ending with the last fiscal quarter included in the</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financial statements referred to in Section 6.1(xviii) of the Participation Agreement);</w:t>
      </w:r>
    </w:p>
    <w:p>
      <w:pPr>
        <w:spacing w:after="0" w:line="211" w:lineRule="exact"/>
        <w:rPr>
          <w:sz w:val="20"/>
          <w:szCs w:val="20"/>
          <w:color w:val="auto"/>
        </w:rPr>
      </w:pPr>
    </w:p>
    <w:p>
      <w:pPr>
        <w:ind w:left="1300" w:right="300" w:firstLine="653"/>
        <w:spacing w:after="0" w:line="279" w:lineRule="auto"/>
        <w:tabs>
          <w:tab w:leader="none" w:pos="2628" w:val="left"/>
        </w:tabs>
        <w:numPr>
          <w:ilvl w:val="1"/>
          <w:numId w:val="315"/>
        </w:numPr>
        <w:rPr>
          <w:rFonts w:ascii="Arial" w:cs="Arial" w:eastAsia="Arial" w:hAnsi="Arial"/>
          <w:sz w:val="17"/>
          <w:szCs w:val="17"/>
          <w:color w:val="auto"/>
        </w:rPr>
      </w:pPr>
      <w:r>
        <w:rPr>
          <w:rFonts w:ascii="Arial" w:cs="Arial" w:eastAsia="Arial" w:hAnsi="Arial"/>
          <w:sz w:val="17"/>
          <w:szCs w:val="17"/>
          <w:color w:val="auto"/>
        </w:rPr>
        <w:t>unsecured Indebtedness of the Parent Guarantor, the Lessee, any Subsidiary Guarantor or any Bank Credit Agreement Specified Loan Party so long as at the time of and immediately after giving effect (including giving effect on a pro forma basis) to the incurrence of such Indebtedness (A) no Default or Event of Default shall have occurred and be continuing and (B) the Parent Guarantor shall be in compliance with the financial covenants set forth in Sections 9(f) and (g);</w:t>
      </w:r>
    </w:p>
    <w:p>
      <w:pPr>
        <w:spacing w:after="0" w:line="171" w:lineRule="exact"/>
        <w:rPr>
          <w:rFonts w:ascii="Arial" w:cs="Arial" w:eastAsia="Arial" w:hAnsi="Arial"/>
          <w:sz w:val="17"/>
          <w:szCs w:val="17"/>
          <w:color w:val="auto"/>
        </w:rPr>
      </w:pPr>
    </w:p>
    <w:p>
      <w:pPr>
        <w:ind w:left="2620" w:hanging="667"/>
        <w:spacing w:after="0"/>
        <w:tabs>
          <w:tab w:leader="none" w:pos="262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other Indebtedness in an aggregate outstanding principal amount not to exceed $50,000,000;</w:t>
      </w:r>
    </w:p>
    <w:p>
      <w:pPr>
        <w:spacing w:after="0" w:line="225" w:lineRule="exact"/>
        <w:rPr>
          <w:rFonts w:ascii="Arial" w:cs="Arial" w:eastAsia="Arial" w:hAnsi="Arial"/>
          <w:sz w:val="18"/>
          <w:szCs w:val="18"/>
          <w:color w:val="auto"/>
        </w:rPr>
      </w:pPr>
    </w:p>
    <w:p>
      <w:pPr>
        <w:ind w:left="1300" w:right="20" w:firstLine="653"/>
        <w:spacing w:after="0" w:line="257" w:lineRule="auto"/>
        <w:tabs>
          <w:tab w:leader="none" w:pos="2599" w:val="left"/>
        </w:tabs>
        <w:numPr>
          <w:ilvl w:val="1"/>
          <w:numId w:val="315"/>
        </w:numPr>
        <w:rPr>
          <w:rFonts w:ascii="Arial" w:cs="Arial" w:eastAsia="Arial" w:hAnsi="Arial"/>
          <w:sz w:val="18"/>
          <w:szCs w:val="18"/>
          <w:color w:val="auto"/>
        </w:rPr>
      </w:pPr>
      <w:r>
        <w:rPr>
          <w:rFonts w:ascii="Arial" w:cs="Arial" w:eastAsia="Arial" w:hAnsi="Arial"/>
          <w:sz w:val="18"/>
          <w:szCs w:val="18"/>
          <w:color w:val="auto"/>
        </w:rPr>
        <w:t xml:space="preserve">Indebtedness assumed by the Parent Guarantor or any Subsidiary in connection with any Acquisition or other acquisition of any property or assets or Indebtedness of any Person that becomes a Subsidiary after the Document Closing Date in a transaction not prohibited hereby, and amendments, modifications, extensions, refinancings, renewals and replacements of any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Indebtedness is not incurred in contemplation of such acquisition and (B) the aggregate outstanding principal amount of such Indebtedness does not exceed $200,000,000;</w:t>
      </w:r>
    </w:p>
    <w:p>
      <w:pPr>
        <w:spacing w:after="0" w:line="188" w:lineRule="exact"/>
        <w:rPr>
          <w:rFonts w:ascii="Arial" w:cs="Arial" w:eastAsia="Arial" w:hAnsi="Arial"/>
          <w:sz w:val="18"/>
          <w:szCs w:val="18"/>
          <w:color w:val="auto"/>
        </w:rPr>
      </w:pPr>
    </w:p>
    <w:p>
      <w:pPr>
        <w:ind w:left="1300" w:right="140" w:firstLine="653"/>
        <w:spacing w:after="0" w:line="285" w:lineRule="auto"/>
        <w:tabs>
          <w:tab w:leader="none" w:pos="2609" w:val="left"/>
        </w:tabs>
        <w:numPr>
          <w:ilvl w:val="1"/>
          <w:numId w:val="315"/>
        </w:numPr>
        <w:rPr>
          <w:rFonts w:ascii="Arial" w:cs="Arial" w:eastAsia="Arial" w:hAnsi="Arial"/>
          <w:sz w:val="16"/>
          <w:szCs w:val="16"/>
          <w:color w:val="auto"/>
        </w:rPr>
      </w:pPr>
      <w:r>
        <w:rPr>
          <w:rFonts w:ascii="Arial" w:cs="Arial" w:eastAsia="Arial" w:hAnsi="Arial"/>
          <w:sz w:val="16"/>
          <w:szCs w:val="16"/>
          <w:color w:val="auto"/>
        </w:rPr>
        <w:t>the “Obligations” (as defined in the Bank Credit Agreement) in an aggregate principal amount of up to $1,000,000,000, including any additional “Commitments” and/or “Incremental Term Loans” (as such terms are defined therein) pursuant to Section 2.20 of the Bank Credit Agreement, any “Specified Ancillary Obligations” or other defined term of similar import (as defined in the Bank Credit Agreement), and any amendments, modifications, extensions, refinancings, renewals and replacements of any such Indebtedness to the extent not resulting in the aggregate principal amount of all Indebtedness outstanding at any time pursuant to this Section 9(a)</w:t>
      </w:r>
    </w:p>
    <w:p>
      <w:pPr>
        <w:spacing w:after="0" w:line="2" w:lineRule="exact"/>
        <w:rPr>
          <w:rFonts w:ascii="Arial" w:cs="Arial" w:eastAsia="Arial" w:hAnsi="Arial"/>
          <w:sz w:val="16"/>
          <w:szCs w:val="16"/>
          <w:color w:val="auto"/>
        </w:rPr>
      </w:pPr>
    </w:p>
    <w:p>
      <w:pPr>
        <w:ind w:left="1300" w:right="20" w:firstLine="5"/>
        <w:spacing w:after="0" w:line="277" w:lineRule="auto"/>
        <w:tabs>
          <w:tab w:leader="none" w:pos="1695" w:val="left"/>
        </w:tabs>
        <w:numPr>
          <w:ilvl w:val="0"/>
          <w:numId w:val="316"/>
        </w:numPr>
        <w:rPr>
          <w:rFonts w:ascii="Arial" w:cs="Arial" w:eastAsia="Arial" w:hAnsi="Arial"/>
          <w:sz w:val="17"/>
          <w:szCs w:val="17"/>
          <w:color w:val="auto"/>
        </w:rPr>
      </w:pPr>
      <w:r>
        <w:rPr>
          <w:rFonts w:ascii="Arial" w:cs="Arial" w:eastAsia="Arial" w:hAnsi="Arial"/>
          <w:sz w:val="17"/>
          <w:szCs w:val="17"/>
          <w:color w:val="auto"/>
        </w:rPr>
        <w:t>exceeding $1,000,000,000 (other than with respect to increases pursuant to any such amendment, modification, extension, refinancing, renewal and/or replacement on account of unpaid accrued interest and premium on such Indebtedness, any committed or undrawn amounts and underwriting discounts, fees, commissions, premiums and expenses associated with such Indebtedness);</w:t>
      </w:r>
    </w:p>
    <w:p>
      <w:pPr>
        <w:spacing w:after="0" w:line="173" w:lineRule="exact"/>
        <w:rPr>
          <w:rFonts w:ascii="Arial" w:cs="Arial" w:eastAsia="Arial" w:hAnsi="Arial"/>
          <w:sz w:val="17"/>
          <w:szCs w:val="17"/>
          <w:color w:val="auto"/>
        </w:rPr>
      </w:pPr>
    </w:p>
    <w:p>
      <w:pPr>
        <w:ind w:left="1300" w:right="40" w:firstLine="653"/>
        <w:spacing w:after="0" w:line="277" w:lineRule="auto"/>
        <w:tabs>
          <w:tab w:leader="none" w:pos="2618" w:val="left"/>
        </w:tabs>
        <w:numPr>
          <w:ilvl w:val="1"/>
          <w:numId w:val="316"/>
        </w:numPr>
        <w:rPr>
          <w:rFonts w:ascii="Arial" w:cs="Arial" w:eastAsia="Arial" w:hAnsi="Arial"/>
          <w:sz w:val="18"/>
          <w:szCs w:val="18"/>
          <w:color w:val="auto"/>
        </w:rPr>
      </w:pPr>
      <w:r>
        <w:rPr>
          <w:rFonts w:ascii="Arial" w:cs="Arial" w:eastAsia="Arial" w:hAnsi="Arial"/>
          <w:sz w:val="18"/>
          <w:szCs w:val="18"/>
          <w:color w:val="auto"/>
        </w:rPr>
        <w:t>Indebtedness of the Lessee or any Subsidiary incurred to develop Permitted Developed Areas, Undeveloped Areas and/or Permitted Development Projects;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300" w:right="60" w:firstLine="653"/>
        <w:spacing w:after="0" w:line="302" w:lineRule="auto"/>
        <w:tabs>
          <w:tab w:leader="none" w:pos="2628" w:val="left"/>
        </w:tabs>
        <w:numPr>
          <w:ilvl w:val="1"/>
          <w:numId w:val="317"/>
        </w:numPr>
        <w:rPr>
          <w:rFonts w:ascii="Arial" w:cs="Arial" w:eastAsia="Arial" w:hAnsi="Arial"/>
          <w:sz w:val="16"/>
          <w:szCs w:val="16"/>
          <w:color w:val="auto"/>
        </w:rPr>
      </w:pPr>
      <w:r>
        <w:rPr>
          <w:rFonts w:ascii="Arial" w:cs="Arial" w:eastAsia="Arial" w:hAnsi="Arial"/>
          <w:sz w:val="16"/>
          <w:szCs w:val="16"/>
          <w:color w:val="auto"/>
        </w:rPr>
        <w:t>liabilities incurred in the ordinary course of business relating to the ownership and operation of the Leased Property and the routine administration of Lessee, in amounts not to exceed six percent (6%) of the principal balance of the Loans, which liabilities are not more than sixty (60) days past the date invoiced (unless being contested in good faith in accordance with the terms of this Guaranty and the other Operative Documents), are not evidenced by a note, and which amounts are normal and reasonable under the circumstance.</w:t>
      </w:r>
    </w:p>
    <w:p>
      <w:pPr>
        <w:spacing w:after="0" w:line="154" w:lineRule="exact"/>
        <w:rPr>
          <w:rFonts w:ascii="Arial" w:cs="Arial" w:eastAsia="Arial" w:hAnsi="Arial"/>
          <w:sz w:val="16"/>
          <w:szCs w:val="16"/>
          <w:color w:val="auto"/>
        </w:rPr>
      </w:pPr>
    </w:p>
    <w:p>
      <w:pPr>
        <w:ind w:right="380" w:firstLine="1332"/>
        <w:spacing w:after="0" w:line="342" w:lineRule="auto"/>
        <w:tabs>
          <w:tab w:leader="none" w:pos="1952" w:val="left"/>
        </w:tabs>
        <w:numPr>
          <w:ilvl w:val="0"/>
          <w:numId w:val="318"/>
        </w:numPr>
        <w:rPr>
          <w:rFonts w:ascii="Arial" w:cs="Arial" w:eastAsia="Arial" w:hAnsi="Arial"/>
          <w:sz w:val="16"/>
          <w:szCs w:val="16"/>
          <w:color w:val="auto"/>
        </w:rPr>
      </w:pPr>
      <w:r>
        <w:rPr>
          <w:rFonts w:ascii="Arial" w:cs="Arial" w:eastAsia="Arial" w:hAnsi="Arial"/>
          <w:sz w:val="16"/>
          <w:szCs w:val="16"/>
          <w:i w:val="1"/>
          <w:iCs w:val="1"/>
          <w:color w:val="auto"/>
        </w:rPr>
        <w:t>Liens</w:t>
      </w:r>
      <w:r>
        <w:rPr>
          <w:rFonts w:ascii="Arial" w:cs="Arial" w:eastAsia="Arial" w:hAnsi="Arial"/>
          <w:sz w:val="16"/>
          <w:szCs w:val="16"/>
          <w:color w:val="auto"/>
        </w:rPr>
        <w:t>. The Parent Guarantor will not, and will not permit Lessee or any other Subsidiary to, create, incur, assume or permit to</w:t>
      </w:r>
      <w:r>
        <w:rPr>
          <w:rFonts w:ascii="Arial" w:cs="Arial" w:eastAsia="Arial" w:hAnsi="Arial"/>
          <w:sz w:val="16"/>
          <w:szCs w:val="16"/>
          <w:i w:val="1"/>
          <w:iCs w:val="1"/>
          <w:color w:val="auto"/>
        </w:rPr>
        <w:t xml:space="preserve"> </w:t>
      </w:r>
      <w:r>
        <w:rPr>
          <w:rFonts w:ascii="Arial" w:cs="Arial" w:eastAsia="Arial" w:hAnsi="Arial"/>
          <w:sz w:val="16"/>
          <w:szCs w:val="16"/>
          <w:color w:val="auto"/>
        </w:rPr>
        <w:t>exist any Lien on (y) the Leased Property other than Permitted Liens or (z) any other property or asset now owned or hereafter acquired by it except:</w:t>
      </w:r>
    </w:p>
    <w:p>
      <w:pPr>
        <w:spacing w:after="0" w:line="123" w:lineRule="exact"/>
        <w:rPr>
          <w:rFonts w:ascii="Arial" w:cs="Arial" w:eastAsia="Arial" w:hAnsi="Arial"/>
          <w:sz w:val="16"/>
          <w:szCs w:val="16"/>
          <w:color w:val="auto"/>
        </w:rPr>
      </w:pPr>
    </w:p>
    <w:p>
      <w:pPr>
        <w:ind w:left="2620" w:hanging="667"/>
        <w:spacing w:after="0"/>
        <w:tabs>
          <w:tab w:leader="none" w:pos="2620" w:val="left"/>
        </w:tabs>
        <w:numPr>
          <w:ilvl w:val="1"/>
          <w:numId w:val="318"/>
        </w:numPr>
        <w:rPr>
          <w:rFonts w:ascii="Arial" w:cs="Arial" w:eastAsia="Arial" w:hAnsi="Arial"/>
          <w:sz w:val="17"/>
          <w:szCs w:val="17"/>
          <w:color w:val="auto"/>
        </w:rPr>
      </w:pPr>
      <w:r>
        <w:rPr>
          <w:rFonts w:ascii="Arial" w:cs="Arial" w:eastAsia="Arial" w:hAnsi="Arial"/>
          <w:sz w:val="17"/>
          <w:szCs w:val="17"/>
          <w:color w:val="auto"/>
        </w:rPr>
        <w:t>Liens (if any) created pursuant to any Operative Document including with respect to any obligation to provide cash</w:t>
      </w:r>
    </w:p>
    <w:p>
      <w:pPr>
        <w:spacing w:after="0" w:line="34"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collateral;</w:t>
      </w:r>
    </w:p>
    <w:p>
      <w:pPr>
        <w:spacing w:after="0" w:line="210" w:lineRule="exact"/>
        <w:rPr>
          <w:rFonts w:ascii="Arial" w:cs="Arial" w:eastAsia="Arial" w:hAnsi="Arial"/>
          <w:sz w:val="17"/>
          <w:szCs w:val="17"/>
          <w:color w:val="auto"/>
        </w:rPr>
      </w:pPr>
    </w:p>
    <w:p>
      <w:pPr>
        <w:ind w:left="2640" w:hanging="687"/>
        <w:spacing w:after="0"/>
        <w:tabs>
          <w:tab w:leader="none" w:pos="264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Permitted Encumbrances and Permitted Liens;</w:t>
      </w:r>
    </w:p>
    <w:p>
      <w:pPr>
        <w:sectPr>
          <w:pgSz w:w="11900" w:h="16838" w:orient="portrait"/>
          <w:cols w:equalWidth="0" w:num="1">
            <w:col w:w="11420"/>
          </w:cols>
          <w:pgMar w:left="240" w:top="125" w:right="239" w:bottom="0" w:gutter="0" w:footer="0" w:header="0"/>
        </w:sectPr>
      </w:pPr>
    </w:p>
    <w:bookmarkStart w:id="153" w:name="page154"/>
    <w:bookmarkEnd w:id="153"/>
    <w:p>
      <w:pPr>
        <w:spacing w:after="0" w:line="115" w:lineRule="exact"/>
        <w:rPr>
          <w:sz w:val="20"/>
          <w:szCs w:val="20"/>
          <w:color w:val="auto"/>
        </w:rPr>
      </w:pPr>
    </w:p>
    <w:p>
      <w:pPr>
        <w:ind w:left="100" w:firstLine="653"/>
        <w:spacing w:after="0" w:line="273" w:lineRule="auto"/>
        <w:tabs>
          <w:tab w:leader="none" w:pos="1437" w:val="left"/>
        </w:tabs>
        <w:numPr>
          <w:ilvl w:val="1"/>
          <w:numId w:val="319"/>
        </w:numPr>
        <w:rPr>
          <w:rFonts w:ascii="Arial" w:cs="Arial" w:eastAsia="Arial" w:hAnsi="Arial"/>
          <w:sz w:val="17"/>
          <w:szCs w:val="17"/>
          <w:color w:val="auto"/>
        </w:rPr>
      </w:pPr>
      <w:r>
        <w:rPr>
          <w:rFonts w:ascii="Arial" w:cs="Arial" w:eastAsia="Arial" w:hAnsi="Arial"/>
          <w:sz w:val="17"/>
          <w:szCs w:val="17"/>
          <w:color w:val="auto"/>
        </w:rPr>
        <w:t xml:space="preserve">any Lien on any property or asset of the Parent Guarantor or any Subsidiary existing on the date hereof and set forth in Schedule 9(b) and any amendments, modifications, extensions, renewals, refinancings and replacements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(1) such Lien shall not apply to any other property or asset of the Parent Guarantor or any Subsidiary other than improvements thereon and proceeds from the disposition of such property or asset and (2) the amount secured or benefited thereby is not increased (other than as permitted by Section 9(a)) and amendments, modifications, extensions, refinancings, renewals and replacements thereof that do not increase the outstanding principal amount thereof (other than as permitted by Section 9(a));</w:t>
      </w:r>
    </w:p>
    <w:p>
      <w:pPr>
        <w:spacing w:after="0" w:line="178" w:lineRule="exact"/>
        <w:rPr>
          <w:rFonts w:ascii="Arial" w:cs="Arial" w:eastAsia="Arial" w:hAnsi="Arial"/>
          <w:sz w:val="17"/>
          <w:szCs w:val="17"/>
          <w:color w:val="auto"/>
        </w:rPr>
      </w:pPr>
    </w:p>
    <w:p>
      <w:pPr>
        <w:ind w:left="100" w:right="40" w:firstLine="653"/>
        <w:spacing w:after="0" w:line="284" w:lineRule="auto"/>
        <w:tabs>
          <w:tab w:leader="none" w:pos="1413" w:val="left"/>
        </w:tabs>
        <w:numPr>
          <w:ilvl w:val="1"/>
          <w:numId w:val="319"/>
        </w:numPr>
        <w:rPr>
          <w:rFonts w:ascii="Arial" w:cs="Arial" w:eastAsia="Arial" w:hAnsi="Arial"/>
          <w:sz w:val="16"/>
          <w:szCs w:val="16"/>
          <w:color w:val="auto"/>
        </w:rPr>
      </w:pPr>
      <w:r>
        <w:rPr>
          <w:rFonts w:ascii="Arial" w:cs="Arial" w:eastAsia="Arial" w:hAnsi="Arial"/>
          <w:sz w:val="16"/>
          <w:szCs w:val="16"/>
          <w:color w:val="auto"/>
        </w:rPr>
        <w:t xml:space="preserve">any Lien existing on any property or asset prior to the acquisition thereof by the Parent Guarantor or any Subsidiary or existing on any property or asset of any Person that becomes a Subsidiary after the date hereof prior to the time such Person becomes a Subsidiary and any amendments, modifications, extensions, renewals and replacements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such Lien is not created in contemplation of or in connection with such acquisition or such Person becoming a Subsidiary, as the case may be, (2) such Lien shall not apply to any other property or assets of the Parent Guarantor or any Subsidiary (other than the proceeds or products thereof and other than after-acquired property subjected to a Lien securing Indebtedness and other obligations incurred prior to such time and which Indebtedness and other obligations are permitted hereunder that require, pursuant to their terms at such time, a pledge of after-acquired property) and</w:t>
      </w:r>
    </w:p>
    <w:p>
      <w:pPr>
        <w:spacing w:after="0" w:line="2" w:lineRule="exact"/>
        <w:rPr>
          <w:rFonts w:ascii="Arial" w:cs="Arial" w:eastAsia="Arial" w:hAnsi="Arial"/>
          <w:sz w:val="16"/>
          <w:szCs w:val="16"/>
          <w:color w:val="auto"/>
        </w:rPr>
      </w:pPr>
    </w:p>
    <w:p>
      <w:pPr>
        <w:ind w:left="100" w:right="320" w:firstLine="5"/>
        <w:spacing w:after="0" w:line="277" w:lineRule="auto"/>
        <w:tabs>
          <w:tab w:leader="none" w:pos="355" w:val="left"/>
        </w:tabs>
        <w:numPr>
          <w:ilvl w:val="0"/>
          <w:numId w:val="320"/>
        </w:numPr>
        <w:rPr>
          <w:rFonts w:ascii="Arial" w:cs="Arial" w:eastAsia="Arial" w:hAnsi="Arial"/>
          <w:sz w:val="17"/>
          <w:szCs w:val="17"/>
          <w:color w:val="auto"/>
        </w:rPr>
      </w:pPr>
      <w:r>
        <w:rPr>
          <w:rFonts w:ascii="Arial" w:cs="Arial" w:eastAsia="Arial" w:hAnsi="Arial"/>
          <w:sz w:val="17"/>
          <w:szCs w:val="17"/>
          <w:color w:val="auto"/>
        </w:rPr>
        <w:t>such Lien shall secure only those obligations which it secures on the date of such acquisition or the date such Person becomes a Subsidiary, as the case may be, and amendments, modifications, extensions, refinancings, renewals and replacements thereof that do not increase the outstanding principal amount thereof (other than as permitted by Section 9(a));</w:t>
      </w:r>
    </w:p>
    <w:p>
      <w:pPr>
        <w:spacing w:after="0" w:line="17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right="180" w:firstLine="653"/>
        <w:spacing w:after="0" w:line="271" w:lineRule="auto"/>
        <w:tabs>
          <w:tab w:leader="none" w:pos="1404" w:val="left"/>
        </w:tabs>
        <w:numPr>
          <w:ilvl w:val="0"/>
          <w:numId w:val="321"/>
        </w:numPr>
        <w:rPr>
          <w:rFonts w:ascii="Arial" w:cs="Arial" w:eastAsia="Arial" w:hAnsi="Arial"/>
          <w:sz w:val="17"/>
          <w:szCs w:val="17"/>
          <w:color w:val="auto"/>
        </w:rPr>
      </w:pPr>
      <w:r>
        <w:rPr>
          <w:rFonts w:ascii="Arial" w:cs="Arial" w:eastAsia="Arial" w:hAnsi="Arial"/>
          <w:sz w:val="17"/>
          <w:szCs w:val="17"/>
          <w:color w:val="auto"/>
        </w:rPr>
        <w:t xml:space="preserve">Liens on fixed or capital assets (including capital leases) acquired (including as a replacement), constructed, repaired, leased or improved by the Parent Guarantor or any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Liens secure Indebtedness or Capital Lease Obligations permitted by Section 9(a)(v), (B) such Liens and the Indebtedness secured thereby are incurred prior to or within one hundred eighty (180) days after such acquisition or lease or the completion of such construction, replacement, repair or improvement and (C) such Liens shall not apply to any other property or assets of the Parent Guarantor or any Subsidiary other than improvements thereon, replacements and products thereof, additions and accessions thereto or proceeds from the disposition of such property or assets and customary security deposits;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individual financings of equipment provided by one lender (or a syndicate of lenders) may be cross-collateralized to other financings of equipment provided by such lender (or syndicate);</w:t>
      </w:r>
    </w:p>
    <w:p>
      <w:pPr>
        <w:spacing w:after="0" w:line="178" w:lineRule="exact"/>
        <w:rPr>
          <w:rFonts w:ascii="Arial" w:cs="Arial" w:eastAsia="Arial" w:hAnsi="Arial"/>
          <w:sz w:val="17"/>
          <w:szCs w:val="17"/>
          <w:color w:val="auto"/>
        </w:rPr>
      </w:pPr>
    </w:p>
    <w:p>
      <w:pPr>
        <w:ind w:left="100" w:right="20" w:firstLine="653"/>
        <w:spacing w:after="0" w:line="264" w:lineRule="auto"/>
        <w:tabs>
          <w:tab w:leader="none" w:pos="1413" w:val="left"/>
        </w:tabs>
        <w:numPr>
          <w:ilvl w:val="0"/>
          <w:numId w:val="321"/>
        </w:numPr>
        <w:rPr>
          <w:rFonts w:ascii="Arial" w:cs="Arial" w:eastAsia="Arial" w:hAnsi="Arial"/>
          <w:sz w:val="18"/>
          <w:szCs w:val="18"/>
          <w:color w:val="auto"/>
        </w:rPr>
      </w:pPr>
      <w:r>
        <w:rPr>
          <w:rFonts w:ascii="Arial" w:cs="Arial" w:eastAsia="Arial" w:hAnsi="Arial"/>
          <w:sz w:val="18"/>
          <w:szCs w:val="18"/>
          <w:color w:val="auto"/>
        </w:rPr>
        <w:t>Liens granted by a Subsidiary that is not a Subsidiary Guarantor in favor of the Parent Guarantor, the Lessee, a Subsidiary Guarantor or a Bank Credit Agreement Specified Loan Party in respect of Indebtedness owed by such Subsidiary to the Parent Guarantor, the Lessee, such Subsidiary Guarantor or such Bank Credit Agreement Specified Loan Party;</w:t>
      </w:r>
    </w:p>
    <w:p>
      <w:pPr>
        <w:spacing w:after="0" w:line="181" w:lineRule="exact"/>
        <w:rPr>
          <w:rFonts w:ascii="Arial" w:cs="Arial" w:eastAsia="Arial" w:hAnsi="Arial"/>
          <w:sz w:val="18"/>
          <w:szCs w:val="18"/>
          <w:color w:val="auto"/>
        </w:rPr>
      </w:pPr>
    </w:p>
    <w:p>
      <w:pPr>
        <w:ind w:left="100" w:right="160" w:firstLine="653"/>
        <w:spacing w:after="0" w:line="277" w:lineRule="auto"/>
        <w:tabs>
          <w:tab w:leader="none" w:pos="1423" w:val="left"/>
        </w:tabs>
        <w:numPr>
          <w:ilvl w:val="0"/>
          <w:numId w:val="321"/>
        </w:numPr>
        <w:rPr>
          <w:rFonts w:ascii="Arial" w:cs="Arial" w:eastAsia="Arial" w:hAnsi="Arial"/>
          <w:sz w:val="18"/>
          <w:szCs w:val="18"/>
          <w:color w:val="auto"/>
        </w:rPr>
      </w:pPr>
      <w:r>
        <w:rPr>
          <w:rFonts w:ascii="Arial" w:cs="Arial" w:eastAsia="Arial" w:hAnsi="Arial"/>
          <w:sz w:val="18"/>
          <w:szCs w:val="18"/>
          <w:color w:val="auto"/>
        </w:rPr>
        <w:t>Liens arising out of any conditional sale, title retention, consignment or other similar arrangements for the sale of goods entered into by the Parent Guarantor or any of its Subsidiaries the ordinary course of business;</w:t>
      </w:r>
    </w:p>
    <w:p>
      <w:pPr>
        <w:spacing w:after="0" w:line="170" w:lineRule="exact"/>
        <w:rPr>
          <w:rFonts w:ascii="Arial" w:cs="Arial" w:eastAsia="Arial" w:hAnsi="Arial"/>
          <w:sz w:val="18"/>
          <w:szCs w:val="18"/>
          <w:color w:val="auto"/>
        </w:rPr>
      </w:pPr>
    </w:p>
    <w:p>
      <w:pPr>
        <w:ind w:left="1440" w:hanging="687"/>
        <w:spacing w:after="0"/>
        <w:tabs>
          <w:tab w:leader="none" w:pos="144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Liens securing Indebtedness permitted hereunder to finance insurance premiums solely to the extent of such premiums;</w:t>
      </w:r>
    </w:p>
    <w:p>
      <w:pPr>
        <w:spacing w:after="0" w:line="248" w:lineRule="exact"/>
        <w:rPr>
          <w:rFonts w:ascii="Arial" w:cs="Arial" w:eastAsia="Arial" w:hAnsi="Arial"/>
          <w:sz w:val="16"/>
          <w:szCs w:val="16"/>
          <w:color w:val="auto"/>
        </w:rPr>
      </w:pPr>
    </w:p>
    <w:p>
      <w:pPr>
        <w:ind w:left="100" w:right="40" w:firstLine="653"/>
        <w:spacing w:after="0" w:line="279" w:lineRule="auto"/>
        <w:tabs>
          <w:tab w:leader="none" w:pos="1413" w:val="left"/>
        </w:tabs>
        <w:numPr>
          <w:ilvl w:val="0"/>
          <w:numId w:val="321"/>
        </w:numPr>
        <w:rPr>
          <w:rFonts w:ascii="Arial" w:cs="Arial" w:eastAsia="Arial" w:hAnsi="Arial"/>
          <w:sz w:val="17"/>
          <w:szCs w:val="17"/>
          <w:color w:val="auto"/>
        </w:rPr>
      </w:pPr>
      <w:r>
        <w:rPr>
          <w:rFonts w:ascii="Arial" w:cs="Arial" w:eastAsia="Arial" w:hAnsi="Arial"/>
          <w:sz w:val="17"/>
          <w:szCs w:val="17"/>
          <w:color w:val="auto"/>
        </w:rPr>
        <w:t>statutory and common law rights of setoff and other Liens, similar rights and remedies arising as a matter of law encumbering deposits of cash, securities, commodities and other funds in favor of banks, financial institutions, other depository institutions, securities or commodities intermediaries or brokerage, and Liens of a collecting bank arising under Section 4-208 or 4-210 of the UCC in effect in the relevant jurisdiction or any similar law of any foreign jurisdiction on items in the course of collection;</w:t>
      </w:r>
    </w:p>
    <w:p>
      <w:pPr>
        <w:spacing w:after="0" w:line="171" w:lineRule="exact"/>
        <w:rPr>
          <w:rFonts w:ascii="Arial" w:cs="Arial" w:eastAsia="Arial" w:hAnsi="Arial"/>
          <w:sz w:val="17"/>
          <w:szCs w:val="17"/>
          <w:color w:val="auto"/>
        </w:rPr>
      </w:pPr>
    </w:p>
    <w:p>
      <w:pPr>
        <w:ind w:left="100" w:right="540" w:firstLine="653"/>
        <w:spacing w:after="0" w:line="277" w:lineRule="auto"/>
        <w:tabs>
          <w:tab w:leader="none" w:pos="1404" w:val="left"/>
        </w:tabs>
        <w:numPr>
          <w:ilvl w:val="0"/>
          <w:numId w:val="321"/>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170" w:lineRule="exact"/>
        <w:rPr>
          <w:rFonts w:ascii="Arial" w:cs="Arial" w:eastAsia="Arial" w:hAnsi="Arial"/>
          <w:sz w:val="18"/>
          <w:szCs w:val="18"/>
          <w:color w:val="auto"/>
        </w:rPr>
      </w:pPr>
    </w:p>
    <w:p>
      <w:pPr>
        <w:ind w:left="100" w:right="140" w:firstLine="653"/>
        <w:spacing w:after="0" w:line="308" w:lineRule="auto"/>
        <w:tabs>
          <w:tab w:leader="none" w:pos="1413" w:val="left"/>
        </w:tabs>
        <w:numPr>
          <w:ilvl w:val="0"/>
          <w:numId w:val="321"/>
        </w:numPr>
        <w:rPr>
          <w:rFonts w:ascii="Arial" w:cs="Arial" w:eastAsia="Arial" w:hAnsi="Arial"/>
          <w:sz w:val="17"/>
          <w:szCs w:val="17"/>
          <w:color w:val="auto"/>
        </w:rPr>
      </w:pPr>
      <w:r>
        <w:rPr>
          <w:rFonts w:ascii="Arial" w:cs="Arial" w:eastAsia="Arial" w:hAnsi="Arial"/>
          <w:sz w:val="17"/>
          <w:szCs w:val="17"/>
          <w:color w:val="auto"/>
        </w:rPr>
        <w:t>Liens on any cash earnest money deposits made by the Parent Guarantor or any of its Subsidiaries in connection with an Acquisition, including, without limitation, in connection with any letter of intent or purchase agreement relating thereto;</w:t>
      </w:r>
    </w:p>
    <w:p>
      <w:pPr>
        <w:spacing w:after="0" w:line="146" w:lineRule="exact"/>
        <w:rPr>
          <w:rFonts w:ascii="Arial" w:cs="Arial" w:eastAsia="Arial" w:hAnsi="Arial"/>
          <w:sz w:val="17"/>
          <w:szCs w:val="17"/>
          <w:color w:val="auto"/>
        </w:rPr>
      </w:pPr>
    </w:p>
    <w:p>
      <w:pPr>
        <w:ind w:left="1420" w:hanging="667"/>
        <w:spacing w:after="0"/>
        <w:tabs>
          <w:tab w:leader="none" w:pos="142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Liens in connection with the sale or transfer of any assets in a transaction permitted under Section 9(c), customary rights</w:t>
      </w:r>
    </w:p>
    <w:p>
      <w:pPr>
        <w:spacing w:after="0" w:line="46"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color w:val="auto"/>
        </w:rPr>
        <w:t>and restrictions</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contained in agreements relating to such sale or transfer pending the completion thereof;</w:t>
      </w:r>
    </w:p>
    <w:p>
      <w:pPr>
        <w:spacing w:after="0" w:line="225" w:lineRule="exact"/>
        <w:rPr>
          <w:sz w:val="20"/>
          <w:szCs w:val="20"/>
          <w:color w:val="auto"/>
        </w:rPr>
      </w:pPr>
    </w:p>
    <w:p>
      <w:pPr>
        <w:ind w:left="100" w:right="240" w:firstLine="653"/>
        <w:spacing w:after="0" w:line="291" w:lineRule="auto"/>
        <w:tabs>
          <w:tab w:leader="none" w:pos="1432" w:val="left"/>
        </w:tabs>
        <w:numPr>
          <w:ilvl w:val="1"/>
          <w:numId w:val="322"/>
        </w:numPr>
        <w:rPr>
          <w:rFonts w:ascii="Arial" w:cs="Arial" w:eastAsia="Arial" w:hAnsi="Arial"/>
          <w:sz w:val="16"/>
          <w:szCs w:val="16"/>
          <w:color w:val="auto"/>
        </w:rPr>
      </w:pPr>
      <w:r>
        <w:rPr>
          <w:rFonts w:ascii="Arial" w:cs="Arial" w:eastAsia="Arial" w:hAnsi="Arial"/>
          <w:sz w:val="16"/>
          <w:szCs w:val="16"/>
          <w:color w:val="auto"/>
        </w:rPr>
        <w:t>Liens in the nature of the right of setoff in favor of counterparties to contractual agreements with the Parent Guarantor, the Lessee, any Subsidiary Guarantor or any Bank Credit Agreement Specified Loan Party (A) in the ordinary course of business or</w:t>
      </w:r>
    </w:p>
    <w:p>
      <w:pPr>
        <w:ind w:left="380" w:hanging="275"/>
        <w:spacing w:after="0"/>
        <w:tabs>
          <w:tab w:leader="none" w:pos="3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otherwise permitted hereunder other than in connection with Indebtedness;</w:t>
      </w:r>
    </w:p>
    <w:p>
      <w:pPr>
        <w:spacing w:after="0" w:line="210" w:lineRule="exact"/>
        <w:rPr>
          <w:rFonts w:ascii="Arial" w:cs="Arial" w:eastAsia="Arial" w:hAnsi="Arial"/>
          <w:sz w:val="18"/>
          <w:szCs w:val="18"/>
          <w:color w:val="auto"/>
        </w:rPr>
      </w:pPr>
    </w:p>
    <w:p>
      <w:pPr>
        <w:ind w:left="1420" w:hanging="667"/>
        <w:spacing w:after="0"/>
        <w:tabs>
          <w:tab w:leader="none" w:pos="142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dispositions and other sales of assets permitted under Section 9(c);</w:t>
      </w:r>
    </w:p>
    <w:p>
      <w:pPr>
        <w:spacing w:after="0" w:line="225" w:lineRule="exact"/>
        <w:rPr>
          <w:rFonts w:ascii="Arial" w:cs="Arial" w:eastAsia="Arial" w:hAnsi="Arial"/>
          <w:sz w:val="18"/>
          <w:szCs w:val="18"/>
          <w:color w:val="auto"/>
        </w:rPr>
      </w:pPr>
    </w:p>
    <w:p>
      <w:pPr>
        <w:ind w:left="100" w:right="620" w:firstLine="653"/>
        <w:spacing w:after="0" w:line="277" w:lineRule="auto"/>
        <w:tabs>
          <w:tab w:leader="none" w:pos="1399"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to the extent constituting a Lien, Liens with respect to repurchase obligations in the ordinary course of business in connection with the cash management activities of the Parent Guarantor or any Subsidiary;</w:t>
      </w:r>
    </w:p>
    <w:p>
      <w:pPr>
        <w:spacing w:after="0" w:line="170" w:lineRule="exact"/>
        <w:rPr>
          <w:rFonts w:ascii="Arial" w:cs="Arial" w:eastAsia="Arial" w:hAnsi="Arial"/>
          <w:sz w:val="18"/>
          <w:szCs w:val="18"/>
          <w:color w:val="auto"/>
        </w:rPr>
      </w:pPr>
    </w:p>
    <w:p>
      <w:pPr>
        <w:ind w:left="100" w:right="20" w:firstLine="653"/>
        <w:spacing w:after="0" w:line="259" w:lineRule="auto"/>
        <w:tabs>
          <w:tab w:leader="none" w:pos="1409" w:val="left"/>
        </w:tabs>
        <w:numPr>
          <w:ilvl w:val="1"/>
          <w:numId w:val="323"/>
        </w:numPr>
        <w:rPr>
          <w:rFonts w:ascii="Arial" w:cs="Arial" w:eastAsia="Arial" w:hAnsi="Arial"/>
          <w:sz w:val="18"/>
          <w:szCs w:val="18"/>
          <w:color w:val="auto"/>
        </w:rPr>
      </w:pPr>
      <w:r>
        <w:rPr>
          <w:rFonts w:ascii="Arial" w:cs="Arial" w:eastAsia="Arial" w:hAnsi="Arial"/>
          <w:sz w:val="18"/>
          <w:szCs w:val="18"/>
          <w:color w:val="auto"/>
        </w:rPr>
        <w:t>Liens that are contractual rights of set-off (A) relating to the establishment of depositary relations with banks or other financial institutions not given in connection with the issuance of Indebtedness or (B) relating to pooled deposit or sweep accounts of Parent Guarantor or any Subsidiary to permit satisfaction of overdraft or similar obligations incurred in the ordinary course of business of the Parent Guarantor or any Subsidiary;</w:t>
      </w:r>
    </w:p>
    <w:p>
      <w:pPr>
        <w:spacing w:after="0" w:line="186" w:lineRule="exact"/>
        <w:rPr>
          <w:rFonts w:ascii="Arial" w:cs="Arial" w:eastAsia="Arial" w:hAnsi="Arial"/>
          <w:sz w:val="18"/>
          <w:szCs w:val="18"/>
          <w:color w:val="auto"/>
        </w:rPr>
      </w:pPr>
    </w:p>
    <w:p>
      <w:pPr>
        <w:ind w:left="100" w:right="980" w:firstLine="653"/>
        <w:spacing w:after="0" w:line="308" w:lineRule="auto"/>
        <w:tabs>
          <w:tab w:leader="none" w:pos="1418" w:val="left"/>
        </w:tabs>
        <w:numPr>
          <w:ilvl w:val="1"/>
          <w:numId w:val="323"/>
        </w:numPr>
        <w:rPr>
          <w:rFonts w:ascii="Arial" w:cs="Arial" w:eastAsia="Arial" w:hAnsi="Arial"/>
          <w:sz w:val="17"/>
          <w:szCs w:val="17"/>
          <w:color w:val="auto"/>
        </w:rPr>
      </w:pPr>
      <w:r>
        <w:rPr>
          <w:rFonts w:ascii="Arial" w:cs="Arial" w:eastAsia="Arial" w:hAnsi="Arial"/>
          <w:sz w:val="17"/>
          <w:szCs w:val="17"/>
          <w:color w:val="auto"/>
        </w:rPr>
        <w:t>any Lien (and rights of set-off) arising under Section 24 or 25 of the general terms and conditions (</w:t>
      </w:r>
      <w:r>
        <w:rPr>
          <w:rFonts w:ascii="Arial" w:cs="Arial" w:eastAsia="Arial" w:hAnsi="Arial"/>
          <w:sz w:val="17"/>
          <w:szCs w:val="17"/>
          <w:i w:val="1"/>
          <w:iCs w:val="1"/>
          <w:color w:val="auto"/>
        </w:rPr>
        <w:t>algemene</w:t>
      </w:r>
      <w:r>
        <w:rPr>
          <w:rFonts w:ascii="Arial" w:cs="Arial" w:eastAsia="Arial" w:hAnsi="Arial"/>
          <w:sz w:val="17"/>
          <w:szCs w:val="17"/>
          <w:color w:val="auto"/>
        </w:rPr>
        <w:t xml:space="preserve"> </w:t>
      </w:r>
      <w:r>
        <w:rPr>
          <w:rFonts w:ascii="Arial" w:cs="Arial" w:eastAsia="Arial" w:hAnsi="Arial"/>
          <w:sz w:val="17"/>
          <w:szCs w:val="17"/>
          <w:i w:val="1"/>
          <w:iCs w:val="1"/>
          <w:color w:val="auto"/>
        </w:rPr>
        <w:t>bankvoorwaarden</w:t>
      </w:r>
      <w:r>
        <w:rPr>
          <w:rFonts w:ascii="Arial" w:cs="Arial" w:eastAsia="Arial" w:hAnsi="Arial"/>
          <w:sz w:val="17"/>
          <w:szCs w:val="17"/>
          <w:color w:val="auto"/>
        </w:rPr>
        <w:t>) of any member of the Dutch Bankers’ Association (</w:t>
      </w:r>
      <w:r>
        <w:rPr>
          <w:rFonts w:ascii="Arial" w:cs="Arial" w:eastAsia="Arial" w:hAnsi="Arial"/>
          <w:sz w:val="17"/>
          <w:szCs w:val="17"/>
          <w:i w:val="1"/>
          <w:iCs w:val="1"/>
          <w:color w:val="auto"/>
        </w:rPr>
        <w:t>nederlandse vereniging van Banken</w:t>
      </w:r>
      <w:r>
        <w:rPr>
          <w:rFonts w:ascii="Arial" w:cs="Arial" w:eastAsia="Arial" w:hAnsi="Arial"/>
          <w:sz w:val="17"/>
          <w:szCs w:val="17"/>
          <w:color w:val="auto"/>
        </w:rPr>
        <w:t>);</w:t>
      </w:r>
    </w:p>
    <w:p>
      <w:pPr>
        <w:sectPr>
          <w:pgSz w:w="11900" w:h="16953" w:orient="portrait"/>
          <w:cols w:equalWidth="0" w:num="1">
            <w:col w:w="10220"/>
          </w:cols>
          <w:pgMar w:left="1440" w:top="126" w:right="239" w:bottom="0" w:gutter="0" w:footer="0" w:header="0"/>
        </w:sectPr>
      </w:pPr>
    </w:p>
    <w:bookmarkStart w:id="154" w:name="page155"/>
    <w:bookmarkEnd w:id="154"/>
    <w:p>
      <w:pPr>
        <w:ind w:left="1240" w:right="120" w:firstLine="653"/>
        <w:spacing w:after="0" w:line="264" w:lineRule="auto"/>
        <w:tabs>
          <w:tab w:leader="none" w:pos="2568" w:val="left"/>
        </w:tabs>
        <w:numPr>
          <w:ilvl w:val="0"/>
          <w:numId w:val="324"/>
        </w:numPr>
        <w:rPr>
          <w:rFonts w:ascii="Arial" w:cs="Arial" w:eastAsia="Arial" w:hAnsi="Arial"/>
          <w:sz w:val="18"/>
          <w:szCs w:val="18"/>
          <w:color w:val="auto"/>
        </w:rPr>
      </w:pPr>
      <w:r>
        <w:rPr>
          <w:rFonts w:ascii="Arial" w:cs="Arial" w:eastAsia="Arial" w:hAnsi="Arial"/>
          <w:sz w:val="18"/>
          <w:szCs w:val="18"/>
          <w:color w:val="auto"/>
        </w:rPr>
        <w:t>Liens of sellers of goods to the Parent Guarantor, any Subsidiary Guarantor and any of their respective Subsidiaries arising under Article 2 of the UCC or similar provisions of applicable law in the ordinary course of business, covering only the goods sold and securing only the unpaid purchase price for such goods and related expenses;</w:t>
      </w:r>
    </w:p>
    <w:p>
      <w:pPr>
        <w:spacing w:after="0" w:line="181" w:lineRule="exact"/>
        <w:rPr>
          <w:rFonts w:ascii="Arial" w:cs="Arial" w:eastAsia="Arial" w:hAnsi="Arial"/>
          <w:sz w:val="18"/>
          <w:szCs w:val="18"/>
          <w:color w:val="auto"/>
        </w:rPr>
      </w:pPr>
    </w:p>
    <w:p>
      <w:pPr>
        <w:ind w:left="1240" w:right="160" w:firstLine="653"/>
        <w:spacing w:after="0" w:line="254" w:lineRule="auto"/>
        <w:tabs>
          <w:tab w:leader="none" w:pos="2549" w:val="left"/>
        </w:tabs>
        <w:numPr>
          <w:ilvl w:val="0"/>
          <w:numId w:val="324"/>
        </w:numPr>
        <w:rPr>
          <w:rFonts w:ascii="Arial" w:cs="Arial" w:eastAsia="Arial" w:hAnsi="Arial"/>
          <w:sz w:val="18"/>
          <w:szCs w:val="18"/>
          <w:color w:val="auto"/>
        </w:rPr>
      </w:pPr>
      <w:r>
        <w:rPr>
          <w:rFonts w:ascii="Arial" w:cs="Arial" w:eastAsia="Arial" w:hAnsi="Arial"/>
          <w:sz w:val="18"/>
          <w:szCs w:val="18"/>
          <w:color w:val="auto"/>
        </w:rPr>
        <w:t>Liens securing (A) Indebtedness described in clause (a) of the definition of Priority Indebtedness and permitted to be incurred under Section 9(a)(xvii) and (B) other obligations (excluding any Indebtedness) of the Parent Guarantor or any Subsidiary, in an aggregate outstanding amount, for the foregoing clauses (A) and (B) taken together, not to exceed, at the time such Liens are created and when taken together with the aggregate outstanding principal amount of Indebtedness incurred pursuant to Section 9(a)(xvii), fifteen percent (15%) of the Parent Guarantor’s Consolidated Net Worth (determined as of the last day of the most recent fiscal quarter for which financial statements shall have been delivered pursuant to Section 8(a)(i) or Section 8(a)(ii) (or, prior to the delivery of any such financial statements, ending with the last fiscal quarter included in the financial statements referred to in Section 6.1(xviii) of the Participation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40" w:right="60" w:firstLine="653"/>
        <w:spacing w:after="0" w:line="264" w:lineRule="auto"/>
        <w:tabs>
          <w:tab w:leader="none" w:pos="2539" w:val="left"/>
        </w:tabs>
        <w:numPr>
          <w:ilvl w:val="0"/>
          <w:numId w:val="325"/>
        </w:numPr>
        <w:rPr>
          <w:rFonts w:ascii="Arial" w:cs="Arial" w:eastAsia="Arial" w:hAnsi="Arial"/>
          <w:sz w:val="18"/>
          <w:szCs w:val="18"/>
          <w:color w:val="auto"/>
        </w:rPr>
      </w:pPr>
      <w:r>
        <w:rPr>
          <w:rFonts w:ascii="Arial" w:cs="Arial" w:eastAsia="Arial" w:hAnsi="Arial"/>
          <w:sz w:val="18"/>
          <w:szCs w:val="18"/>
          <w:color w:val="auto"/>
        </w:rPr>
        <w:t>Liens in favor of a credit card or debit card processor arising in the ordinary course of business under any processor agreement and relating solely to the amounts paid or payable thereunder, or customary deposits on reserve held by such credit card or debit card processor;</w:t>
      </w:r>
    </w:p>
    <w:p>
      <w:pPr>
        <w:spacing w:after="0" w:line="181" w:lineRule="exact"/>
        <w:rPr>
          <w:rFonts w:ascii="Arial" w:cs="Arial" w:eastAsia="Arial" w:hAnsi="Arial"/>
          <w:sz w:val="18"/>
          <w:szCs w:val="18"/>
          <w:color w:val="auto"/>
        </w:rPr>
      </w:pPr>
    </w:p>
    <w:p>
      <w:pPr>
        <w:ind w:left="1240" w:right="520" w:firstLine="653"/>
        <w:spacing w:after="0" w:line="277" w:lineRule="auto"/>
        <w:tabs>
          <w:tab w:leader="none" w:pos="2549" w:val="left"/>
        </w:tabs>
        <w:numPr>
          <w:ilvl w:val="0"/>
          <w:numId w:val="325"/>
        </w:numPr>
        <w:rPr>
          <w:rFonts w:ascii="Arial" w:cs="Arial" w:eastAsia="Arial" w:hAnsi="Arial"/>
          <w:sz w:val="18"/>
          <w:szCs w:val="18"/>
          <w:color w:val="auto"/>
        </w:rPr>
      </w:pPr>
      <w:r>
        <w:rPr>
          <w:rFonts w:ascii="Arial" w:cs="Arial" w:eastAsia="Arial" w:hAnsi="Arial"/>
          <w:sz w:val="18"/>
          <w:szCs w:val="18"/>
          <w:color w:val="auto"/>
        </w:rPr>
        <w:t>pledges or deposits to secure Indebtedness permitted to be incurred under Section 9(a)(vi) so long as the aggregate principal amount of such Indebtedness so secured does not exceed $50,000,000;</w:t>
      </w:r>
    </w:p>
    <w:p>
      <w:pPr>
        <w:spacing w:after="0" w:line="170" w:lineRule="exact"/>
        <w:rPr>
          <w:rFonts w:ascii="Arial" w:cs="Arial" w:eastAsia="Arial" w:hAnsi="Arial"/>
          <w:sz w:val="18"/>
          <w:szCs w:val="18"/>
          <w:color w:val="auto"/>
        </w:rPr>
      </w:pPr>
    </w:p>
    <w:p>
      <w:pPr>
        <w:ind w:left="1240" w:right="140" w:firstLine="653"/>
        <w:spacing w:after="0" w:line="277" w:lineRule="auto"/>
        <w:tabs>
          <w:tab w:leader="none" w:pos="2558" w:val="left"/>
        </w:tabs>
        <w:numPr>
          <w:ilvl w:val="0"/>
          <w:numId w:val="325"/>
        </w:numPr>
        <w:rPr>
          <w:rFonts w:ascii="Arial" w:cs="Arial" w:eastAsia="Arial" w:hAnsi="Arial"/>
          <w:sz w:val="18"/>
          <w:szCs w:val="18"/>
          <w:color w:val="auto"/>
        </w:rPr>
      </w:pPr>
      <w:r>
        <w:rPr>
          <w:rFonts w:ascii="Arial" w:cs="Arial" w:eastAsia="Arial" w:hAnsi="Arial"/>
          <w:sz w:val="18"/>
          <w:szCs w:val="18"/>
          <w:color w:val="auto"/>
        </w:rPr>
        <w:t>pledges or transfers of collateral to support bilateral mark-to-market security arrangements in respect of uncleared swap or derivative transactions;</w:t>
      </w:r>
    </w:p>
    <w:p>
      <w:pPr>
        <w:spacing w:after="0" w:line="170" w:lineRule="exact"/>
        <w:rPr>
          <w:rFonts w:ascii="Arial" w:cs="Arial" w:eastAsia="Arial" w:hAnsi="Arial"/>
          <w:sz w:val="18"/>
          <w:szCs w:val="18"/>
          <w:color w:val="auto"/>
        </w:rPr>
      </w:pPr>
    </w:p>
    <w:p>
      <w:pPr>
        <w:ind w:left="1240" w:right="460" w:firstLine="653"/>
        <w:spacing w:after="0" w:line="342" w:lineRule="auto"/>
        <w:tabs>
          <w:tab w:leader="none" w:pos="2568" w:val="left"/>
        </w:tabs>
        <w:numPr>
          <w:ilvl w:val="0"/>
          <w:numId w:val="325"/>
        </w:numPr>
        <w:rPr>
          <w:rFonts w:ascii="Arial" w:cs="Arial" w:eastAsia="Arial" w:hAnsi="Arial"/>
          <w:sz w:val="16"/>
          <w:szCs w:val="16"/>
          <w:color w:val="auto"/>
        </w:rPr>
      </w:pPr>
      <w:r>
        <w:rPr>
          <w:rFonts w:ascii="Arial" w:cs="Arial" w:eastAsia="Arial" w:hAnsi="Arial"/>
          <w:sz w:val="16"/>
          <w:szCs w:val="16"/>
          <w:color w:val="auto"/>
        </w:rPr>
        <w:t>Liens on assets of the Parent Guarantor and its Subsidiaries not otherwise permitted above so long as the aggregate principal amount of the Indebtedness and other obligations subject to such Liens does not at any time exceed $50,000,000;</w:t>
      </w:r>
    </w:p>
    <w:p>
      <w:pPr>
        <w:spacing w:after="0" w:line="123" w:lineRule="exact"/>
        <w:rPr>
          <w:rFonts w:ascii="Arial" w:cs="Arial" w:eastAsia="Arial" w:hAnsi="Arial"/>
          <w:sz w:val="16"/>
          <w:szCs w:val="16"/>
          <w:color w:val="auto"/>
        </w:rPr>
      </w:pPr>
    </w:p>
    <w:p>
      <w:pPr>
        <w:ind w:left="1240" w:right="120" w:firstLine="653"/>
        <w:spacing w:after="0" w:line="264" w:lineRule="auto"/>
        <w:tabs>
          <w:tab w:leader="none" w:pos="254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Liens (if any) created pursuant to the Bank Credit Agreement with respect to any obligation to provide cash collateral in connection with any defaulting lenders thereunder, any letters of credit issued thereunder and/or extensions of credit thereunder denominated in a currency other than Dollars; and</w:t>
      </w:r>
    </w:p>
    <w:p>
      <w:pPr>
        <w:spacing w:after="0" w:line="181" w:lineRule="exact"/>
        <w:rPr>
          <w:sz w:val="20"/>
          <w:szCs w:val="20"/>
          <w:color w:val="auto"/>
        </w:rPr>
      </w:pPr>
    </w:p>
    <w:p>
      <w:pPr>
        <w:ind w:left="1240" w:right="20" w:firstLine="653"/>
        <w:spacing w:after="0" w:line="342" w:lineRule="auto"/>
        <w:tabs>
          <w:tab w:leader="none" w:pos="2544" w:val="left"/>
        </w:tabs>
        <w:numPr>
          <w:ilvl w:val="1"/>
          <w:numId w:val="326"/>
        </w:numPr>
        <w:rPr>
          <w:rFonts w:ascii="Arial" w:cs="Arial" w:eastAsia="Arial" w:hAnsi="Arial"/>
          <w:sz w:val="16"/>
          <w:szCs w:val="16"/>
          <w:color w:val="auto"/>
        </w:rPr>
      </w:pPr>
      <w:r>
        <w:rPr>
          <w:rFonts w:ascii="Arial" w:cs="Arial" w:eastAsia="Arial" w:hAnsi="Arial"/>
          <w:sz w:val="16"/>
          <w:szCs w:val="16"/>
          <w:color w:val="auto"/>
        </w:rPr>
        <w:t>Liens on Permitted Developed Areas, Undeveloped Areas and/or Permitted Development Projects and property related to any of the foregoing (other than any Collateral); provided that such Liens secure Indebtedness permitted by Section 9(a)(xxii).</w:t>
      </w:r>
    </w:p>
    <w:p>
      <w:pPr>
        <w:spacing w:after="0" w:line="123" w:lineRule="exact"/>
        <w:rPr>
          <w:rFonts w:ascii="Arial" w:cs="Arial" w:eastAsia="Arial" w:hAnsi="Arial"/>
          <w:sz w:val="16"/>
          <w:szCs w:val="16"/>
          <w:color w:val="auto"/>
        </w:rPr>
      </w:pPr>
    </w:p>
    <w:p>
      <w:pPr>
        <w:ind w:left="-60" w:firstLine="1332"/>
        <w:spacing w:after="0" w:line="279" w:lineRule="auto"/>
        <w:tabs>
          <w:tab w:leader="none" w:pos="1895" w:val="left"/>
        </w:tabs>
        <w:numPr>
          <w:ilvl w:val="0"/>
          <w:numId w:val="327"/>
        </w:numPr>
        <w:rPr>
          <w:rFonts w:ascii="Arial" w:cs="Arial" w:eastAsia="Arial" w:hAnsi="Arial"/>
          <w:sz w:val="17"/>
          <w:szCs w:val="17"/>
          <w:color w:val="auto"/>
        </w:rPr>
      </w:pPr>
      <w:r>
        <w:rPr>
          <w:rFonts w:ascii="Arial" w:cs="Arial" w:eastAsia="Arial" w:hAnsi="Arial"/>
          <w:sz w:val="17"/>
          <w:szCs w:val="17"/>
          <w:i w:val="1"/>
          <w:iCs w:val="1"/>
          <w:color w:val="auto"/>
        </w:rPr>
        <w:t>Fundamental Changes and Asset Sales</w:t>
      </w:r>
      <w:r>
        <w:rPr>
          <w:rFonts w:ascii="Arial" w:cs="Arial" w:eastAsia="Arial" w:hAnsi="Arial"/>
          <w:sz w:val="17"/>
          <w:szCs w:val="17"/>
          <w:color w:val="auto"/>
        </w:rPr>
        <w:t>. (i) The Parent Guarantor will not, and will not permit Lessee or any other Subsidiary to,</w:t>
      </w:r>
      <w:r>
        <w:rPr>
          <w:rFonts w:ascii="Arial" w:cs="Arial" w:eastAsia="Arial" w:hAnsi="Arial"/>
          <w:sz w:val="17"/>
          <w:szCs w:val="17"/>
          <w:i w:val="1"/>
          <w:iCs w:val="1"/>
          <w:color w:val="auto"/>
        </w:rPr>
        <w:t xml:space="preserve"> </w:t>
      </w:r>
      <w:r>
        <w:rPr>
          <w:rFonts w:ascii="Arial" w:cs="Arial" w:eastAsia="Arial" w:hAnsi="Arial"/>
          <w:sz w:val="17"/>
          <w:szCs w:val="17"/>
          <w:color w:val="auto"/>
        </w:rPr>
        <w:t>merge into or consolidate with any other Person, or permit any other Person to merge into or consolidate with it, or sell, transfer, lease or otherwise dispose of (in one transaction or in a series of transactions, including pursuant to a Sale and Leaseback Transaction) all or substantially all of the assets of the Parent Guarantor and its Subsidiaries (taken as a whole) (whether now owned or hereafter acquired), or liquidate or dissolve, except that:</w:t>
      </w:r>
    </w:p>
    <w:p>
      <w:pPr>
        <w:spacing w:after="0" w:line="171" w:lineRule="exact"/>
        <w:rPr>
          <w:rFonts w:ascii="Arial" w:cs="Arial" w:eastAsia="Arial" w:hAnsi="Arial"/>
          <w:sz w:val="17"/>
          <w:szCs w:val="17"/>
          <w:color w:val="auto"/>
        </w:rPr>
      </w:pPr>
    </w:p>
    <w:p>
      <w:pPr>
        <w:ind w:left="1560" w:right="20" w:firstLine="981"/>
        <w:spacing w:after="0" w:line="276" w:lineRule="auto"/>
        <w:tabs>
          <w:tab w:leader="none" w:pos="3201" w:val="left"/>
        </w:tabs>
        <w:numPr>
          <w:ilvl w:val="2"/>
          <w:numId w:val="327"/>
        </w:numPr>
        <w:rPr>
          <w:rFonts w:ascii="Arial" w:cs="Arial" w:eastAsia="Arial" w:hAnsi="Arial"/>
          <w:sz w:val="17"/>
          <w:szCs w:val="17"/>
          <w:color w:val="auto"/>
        </w:rPr>
      </w:pPr>
      <w:r>
        <w:rPr>
          <w:rFonts w:ascii="Arial" w:cs="Arial" w:eastAsia="Arial" w:hAnsi="Arial"/>
          <w:sz w:val="17"/>
          <w:szCs w:val="17"/>
          <w:color w:val="auto"/>
        </w:rPr>
        <w:t xml:space="preserve">if at the time thereof and immediately after giving effect thereto no Event of Default shall have occurred and be continuing, any Person (other than the Parent Guarantor or any of its Subsidiaries) may merge or consolidate with the Parent Guarantor or any of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merger or consolidation involving (1) the Lessee must result in the Lessee as the surviving entity, (2) the Parent Guarantor must result in the Parent Guarantor as the surviving entity and (3) a Subsidiary Guarantor must result in a Subsidiary Guarantor as the surviving entity;</w:t>
      </w:r>
    </w:p>
    <w:p>
      <w:pPr>
        <w:spacing w:after="0" w:line="172" w:lineRule="exact"/>
        <w:rPr>
          <w:rFonts w:ascii="Arial" w:cs="Arial" w:eastAsia="Arial" w:hAnsi="Arial"/>
          <w:sz w:val="17"/>
          <w:szCs w:val="17"/>
          <w:color w:val="auto"/>
        </w:rPr>
      </w:pPr>
    </w:p>
    <w:p>
      <w:pPr>
        <w:ind w:left="3200" w:hanging="659"/>
        <w:spacing w:after="0"/>
        <w:tabs>
          <w:tab w:leader="none" w:pos="3200" w:val="left"/>
        </w:tabs>
        <w:numPr>
          <w:ilvl w:val="2"/>
          <w:numId w:val="327"/>
        </w:numPr>
        <w:rPr>
          <w:rFonts w:ascii="Arial" w:cs="Arial" w:eastAsia="Arial" w:hAnsi="Arial"/>
          <w:sz w:val="18"/>
          <w:szCs w:val="18"/>
          <w:color w:val="auto"/>
        </w:rPr>
      </w:pPr>
      <w:r>
        <w:rPr>
          <w:rFonts w:ascii="Arial" w:cs="Arial" w:eastAsia="Arial" w:hAnsi="Arial"/>
          <w:sz w:val="18"/>
          <w:szCs w:val="18"/>
          <w:color w:val="auto"/>
        </w:rPr>
        <w:t>any Subsidiary may merge into or consolidate with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560" w:right="60"/>
        <w:spacing w:after="0" w:line="257" w:lineRule="auto"/>
        <w:rPr>
          <w:sz w:val="20"/>
          <w:szCs w:val="20"/>
          <w:color w:val="auto"/>
        </w:rPr>
      </w:pPr>
      <w:r>
        <w:rPr>
          <w:rFonts w:ascii="Arial" w:cs="Arial" w:eastAsia="Arial" w:hAnsi="Arial"/>
          <w:sz w:val="18"/>
          <w:szCs w:val="18"/>
          <w:color w:val="auto"/>
        </w:rPr>
        <w:t xml:space="preserve">Parent Guarantor, the Lessee, a Subsidiary Guarantor or a Bank Credit Agreement Specified Loan Party in a transaction in which the surviving entity is the Parent Guarantor, the Lessee, such Subsidiary Guarantor or such Bank Credit Agreement Specified Loan Party;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such merger or consolidation involving (1) the Lessee must result in the Lessee as the surviving entity, (2) the Parent</w:t>
      </w:r>
      <w:r>
        <w:rPr>
          <w:rFonts w:ascii="Arial" w:cs="Arial" w:eastAsia="Arial" w:hAnsi="Arial"/>
          <w:sz w:val="18"/>
          <w:szCs w:val="18"/>
          <w:i w:val="1"/>
          <w:iCs w:val="1"/>
          <w:color w:val="auto"/>
        </w:rPr>
        <w:t xml:space="preserve"> </w:t>
      </w:r>
      <w:r>
        <w:rPr>
          <w:rFonts w:ascii="Arial" w:cs="Arial" w:eastAsia="Arial" w:hAnsi="Arial"/>
          <w:sz w:val="18"/>
          <w:szCs w:val="18"/>
          <w:color w:val="auto"/>
        </w:rPr>
        <w:t>Guarantor must result in the Parent Guarantor as the surviving entity and (3) a Subsidiary Guarantor must result in a Subsidiary Guarantor as the surviving entity;</w:t>
      </w:r>
    </w:p>
    <w:p>
      <w:pPr>
        <w:spacing w:after="0" w:line="188" w:lineRule="exact"/>
        <w:rPr>
          <w:sz w:val="20"/>
          <w:szCs w:val="20"/>
          <w:color w:val="auto"/>
        </w:rPr>
      </w:pPr>
    </w:p>
    <w:p>
      <w:pPr>
        <w:ind w:left="1560" w:right="160" w:firstLine="981"/>
        <w:spacing w:after="0" w:line="277" w:lineRule="auto"/>
        <w:tabs>
          <w:tab w:leader="none" w:pos="3191"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any Subsidiary that is not a Subsidiary Guarantor may merge into or consolidate with, or sell, transfer, lease or otherwise dispose of any or all of its assets to, another Subsidiary that is not a Subsidiary Guarantor;</w:t>
      </w:r>
    </w:p>
    <w:p>
      <w:pPr>
        <w:spacing w:after="0" w:line="170" w:lineRule="exact"/>
        <w:rPr>
          <w:rFonts w:ascii="Arial" w:cs="Arial" w:eastAsia="Arial" w:hAnsi="Arial"/>
          <w:sz w:val="18"/>
          <w:szCs w:val="18"/>
          <w:color w:val="auto"/>
        </w:rPr>
      </w:pPr>
    </w:p>
    <w:p>
      <w:pPr>
        <w:ind w:left="1560" w:right="100" w:firstLine="981"/>
        <w:spacing w:after="0" w:line="264" w:lineRule="auto"/>
        <w:tabs>
          <w:tab w:leader="none" w:pos="3201"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any Subsidiary may sell, transfer, lease or otherwise dispose of any or all of its assets to the Parent Guarantor, the Lessee, a Subsidiary Guarantor or a Bank Credit Agreement Specified Loan Party (in connection with a liquidation, winding up or dissolution or otherwise);</w:t>
      </w:r>
    </w:p>
    <w:p>
      <w:pPr>
        <w:spacing w:after="0" w:line="181" w:lineRule="exact"/>
        <w:rPr>
          <w:rFonts w:ascii="Arial" w:cs="Arial" w:eastAsia="Arial" w:hAnsi="Arial"/>
          <w:sz w:val="18"/>
          <w:szCs w:val="18"/>
          <w:color w:val="auto"/>
        </w:rPr>
      </w:pPr>
    </w:p>
    <w:p>
      <w:pPr>
        <w:ind w:left="1560" w:right="40" w:firstLine="981"/>
        <w:spacing w:after="0" w:line="259" w:lineRule="auto"/>
        <w:tabs>
          <w:tab w:leader="none" w:pos="3194"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any Subsidiary that is not a Subsidiary Guarantor may liquidate, wind up or dissolve (1) if the Parent Guarantor determines in good faith that such liquidation, winding up or dissolution is in the best interests of the Parent Guarantor and is not materially disadvantageous to the Participants or (2) to the extent undertaken in good faith for the purpose of improving the overall tax efficiency of the Parent Guarantor and its Subsidiaries;</w:t>
      </w:r>
    </w:p>
    <w:p>
      <w:pPr>
        <w:spacing w:after="0" w:line="186" w:lineRule="exact"/>
        <w:rPr>
          <w:rFonts w:ascii="Arial" w:cs="Arial" w:eastAsia="Arial" w:hAnsi="Arial"/>
          <w:sz w:val="18"/>
          <w:szCs w:val="18"/>
          <w:color w:val="auto"/>
        </w:rPr>
      </w:pPr>
    </w:p>
    <w:p>
      <w:pPr>
        <w:ind w:left="3200" w:hanging="659"/>
        <w:spacing w:after="0"/>
        <w:tabs>
          <w:tab w:leader="none" w:pos="32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Parent Guarantor and its Subsidiaries may consummate Permitted Restructurings;</w:t>
      </w:r>
    </w:p>
    <w:p>
      <w:pPr>
        <w:sectPr>
          <w:pgSz w:w="11900" w:h="16838" w:orient="portrait"/>
          <w:cols w:equalWidth="0" w:num="1">
            <w:col w:w="11320"/>
          </w:cols>
          <w:pgMar w:left="300" w:top="341" w:right="279" w:bottom="32" w:gutter="0" w:footer="0" w:header="0"/>
        </w:sectPr>
      </w:pPr>
    </w:p>
    <w:bookmarkStart w:id="155" w:name="page156"/>
    <w:bookmarkEnd w:id="155"/>
    <w:p>
      <w:pPr>
        <w:spacing w:after="0" w:line="85" w:lineRule="exact"/>
        <w:rPr>
          <w:sz w:val="20"/>
          <w:szCs w:val="20"/>
          <w:color w:val="auto"/>
        </w:rPr>
      </w:pPr>
    </w:p>
    <w:p>
      <w:pPr>
        <w:ind w:left="1620" w:right="220" w:firstLine="981"/>
        <w:spacing w:after="0" w:line="259" w:lineRule="auto"/>
        <w:tabs>
          <w:tab w:leader="none" w:pos="3261"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Parent Guarantor and its Subsidiaries may enter into, terminate or modify leases, subleases, licenses and sublicenses of technology and other property (1) in the ordinary course of business, (2) between or among the Parent Guarantor, the Lessee, any Subsidiary Guarantors and any of their Subsidiaries (or any combination thereof) or (3) as permitted by Article VI of the Lease;</w:t>
      </w:r>
    </w:p>
    <w:p>
      <w:pPr>
        <w:spacing w:after="0" w:line="186" w:lineRule="exact"/>
        <w:rPr>
          <w:rFonts w:ascii="Arial" w:cs="Arial" w:eastAsia="Arial" w:hAnsi="Arial"/>
          <w:sz w:val="18"/>
          <w:szCs w:val="18"/>
          <w:color w:val="auto"/>
        </w:rPr>
      </w:pPr>
    </w:p>
    <w:p>
      <w:pPr>
        <w:ind w:left="3260" w:hanging="659"/>
        <w:spacing w:after="0"/>
        <w:tabs>
          <w:tab w:leader="none" w:pos="32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Parent Guarantor and its Subsidiaries may incur Liens permitted under Section 9(b); and</w:t>
      </w:r>
    </w:p>
    <w:p>
      <w:pPr>
        <w:spacing w:after="0" w:line="225" w:lineRule="exact"/>
        <w:rPr>
          <w:rFonts w:ascii="Arial" w:cs="Arial" w:eastAsia="Arial" w:hAnsi="Arial"/>
          <w:sz w:val="18"/>
          <w:szCs w:val="18"/>
          <w:color w:val="auto"/>
        </w:rPr>
      </w:pPr>
    </w:p>
    <w:p>
      <w:pPr>
        <w:ind w:left="1620" w:firstLine="981"/>
        <w:spacing w:after="0" w:line="257" w:lineRule="auto"/>
        <w:tabs>
          <w:tab w:leader="none" w:pos="3245" w:val="left"/>
        </w:tabs>
        <w:numPr>
          <w:ilvl w:val="0"/>
          <w:numId w:val="329"/>
        </w:numPr>
        <w:rPr>
          <w:rFonts w:ascii="Arial" w:cs="Arial" w:eastAsia="Arial" w:hAnsi="Arial"/>
          <w:sz w:val="18"/>
          <w:szCs w:val="18"/>
          <w:color w:val="auto"/>
        </w:rPr>
      </w:pPr>
      <w:r>
        <w:rPr>
          <w:rFonts w:ascii="Arial" w:cs="Arial" w:eastAsia="Arial" w:hAnsi="Arial"/>
          <w:sz w:val="18"/>
          <w:szCs w:val="18"/>
          <w:color w:val="auto"/>
        </w:rPr>
        <w:t>with respect to any rights, title or interest of the Parent Guarantor and its Subsidiaries in the Collateral and the Purchase Agreement, leases, subleases, assignments and other transfers pursuant to or permitted by the Operative Documents, including (A) the assignment of certain rights under the Purchase Agreement (including the right to take title to the Facility) pursuant to the Assignment of Purchase Agreement and (B) the assignment or other transfer by the Parent Guarantor to a directly or indirectly wholly-owned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Subsidiary as an affiliate transferee pursuant to the Operative Documents.</w:t>
      </w:r>
    </w:p>
    <w:p>
      <w:pPr>
        <w:spacing w:after="0" w:line="225" w:lineRule="exact"/>
        <w:rPr>
          <w:sz w:val="20"/>
          <w:szCs w:val="20"/>
          <w:color w:val="auto"/>
        </w:rPr>
      </w:pPr>
    </w:p>
    <w:p>
      <w:pPr>
        <w:ind w:left="1120" w:right="20" w:firstLine="833"/>
        <w:spacing w:after="0" w:line="259" w:lineRule="auto"/>
        <w:tabs>
          <w:tab w:leader="none" w:pos="2629" w:val="left"/>
        </w:tabs>
        <w:numPr>
          <w:ilvl w:val="1"/>
          <w:numId w:val="330"/>
        </w:numPr>
        <w:rPr>
          <w:rFonts w:ascii="Arial" w:cs="Arial" w:eastAsia="Arial" w:hAnsi="Arial"/>
          <w:sz w:val="18"/>
          <w:szCs w:val="18"/>
          <w:color w:val="auto"/>
        </w:rPr>
      </w:pPr>
      <w:r>
        <w:rPr>
          <w:rFonts w:ascii="Arial" w:cs="Arial" w:eastAsia="Arial" w:hAnsi="Arial"/>
          <w:sz w:val="18"/>
          <w:szCs w:val="18"/>
          <w:color w:val="auto"/>
        </w:rPr>
        <w:t>The Parent Guarantor will not, and will not permit Lessee or any other Subsidiary to, engage to any material extent in any business substantially different from businesses of the type conducted by the Parent Guarantor and its Subsidiaries (taken as a whole) on the Document Closing Date and businesses reasonably related, ancillary, similar, complementary or synergistic thereto or reasonable extensions, development or expansion thereof.</w:t>
      </w:r>
    </w:p>
    <w:p>
      <w:pPr>
        <w:spacing w:after="0" w:line="186" w:lineRule="exact"/>
        <w:rPr>
          <w:rFonts w:ascii="Arial" w:cs="Arial" w:eastAsia="Arial" w:hAnsi="Arial"/>
          <w:sz w:val="18"/>
          <w:szCs w:val="18"/>
          <w:color w:val="auto"/>
        </w:rPr>
      </w:pPr>
    </w:p>
    <w:p>
      <w:pPr>
        <w:ind w:right="20" w:firstLine="1129"/>
        <w:spacing w:after="0" w:line="284" w:lineRule="auto"/>
        <w:tabs>
          <w:tab w:leader="none" w:pos="1952" w:val="left"/>
        </w:tabs>
        <w:numPr>
          <w:ilvl w:val="0"/>
          <w:numId w:val="331"/>
        </w:numPr>
        <w:rPr>
          <w:rFonts w:ascii="Arial" w:cs="Arial" w:eastAsia="Arial" w:hAnsi="Arial"/>
          <w:sz w:val="16"/>
          <w:szCs w:val="16"/>
          <w:color w:val="auto"/>
        </w:rPr>
      </w:pPr>
      <w:r>
        <w:rPr>
          <w:rFonts w:ascii="Arial" w:cs="Arial" w:eastAsia="Arial" w:hAnsi="Arial"/>
          <w:sz w:val="16"/>
          <w:szCs w:val="16"/>
          <w:i w:val="1"/>
          <w:iCs w:val="1"/>
          <w:color w:val="auto"/>
        </w:rPr>
        <w:t>Restricted Payments</w:t>
      </w:r>
      <w:r>
        <w:rPr>
          <w:rFonts w:ascii="Arial" w:cs="Arial" w:eastAsia="Arial" w:hAnsi="Arial"/>
          <w:sz w:val="16"/>
          <w:szCs w:val="16"/>
          <w:color w:val="auto"/>
        </w:rPr>
        <w:t>. The Parent Guarantor will not, and will not permit Lessee or any other Subsidiary to, make,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indirectly, any Restricted Payment, except (i) the Parent Guarantor may pay dividends or make other Restricted Payments with respect to its Equity Interests payable solely in additional Equity Interests, (ii) the Parent Guarantor may repurchase Equity Interests upon the exercise of stock options or warrants if such Equity Interests represent a portion of the exercise price of such options or warrants or with the proceeds received from the substantially concurrent issue of new Equity Interests, (iii) the Parent Guarantor may make cash payments (A) on securities convertible into or exchangeable for Equity Interests in the Parent Guarantor in accordance with their terms or (B) in lieu of the issuance of fractional Equity Interests in connection with any dividend, split or combination thereof or the exercise of warrants, options or other securities convertible into or exchangeable for Equity Interests in the Parent Guarantor, (iv) Subsidiaries may (A) make dividends or other distributions to their respective equityholders with respect to their Equity Interests (which distributions shall be (x) made on at least a ratable basis to any such equityholders that are Subsidiary Guarantors and (y) in the case of a Subsidiary that is not a wholly-owned Subsidiary, made on at least a ratable basis to any such equityholders that are the Parent Guarantor or a Subsidiary), (B) make other Restricted Payments to Parent Guarantor, the Lessee or any Subsidiary Guarantor (either directly or indirectly through one or more Subsidiaries that are not Subsidiary Guarantors or the Lessee), (C) other than with respect to any such distributions by a Subsidiary Guarantor, make other Restricted Payments to a Bank Credit Agreement Specified Loan Party (either directly or indirectly through one or more Subsidiaries that are not Subsidiary Guarantors or the Lessee) and (D) make any Restricted Payments that the Parent Guarantor would have otherwise been permitted to make pursuant to this Section 9(d), (v) the Parent Guarantor may make Restricted Payments (A) for the repurchase, retirement or other acquisition or retirement for value of Equity Interests of the Parent Guarantor from any future, present or former employee, officer, director or manager or consultant of the Parent Guarantor or any Subsidiary upon the death, disability, retirement or termination of employment of any such Person or (B) pursuant to and in accordance with any agreement (including any employment agreement), stock option or stock ownership plans, incentive plans or other benefit plans, in each case for future, present or former directors, officers, managers or employees of the Parent Guarantor and its Subsidiaries (including, without limitation, in respect of tax withholding or other similar tax obligation related to the foregoing) and (vi) the Parent Guarantor and its Subsidiaries may make any other Restricted Payment so long as no Event of Default has occurred and is continuing prior to making such Restricted Payment or would arise immediately after giving effect (including giving effect on a pro forma basis) thereto and the aggregate amount of all such Restricted Payments pursuant to this clause (vi) during any fiscal year of the Parent Guarantor does not exceed $75,000,000;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Dollar limitation shall not be applicable, and such Restricted Payment shall not count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against such Dollar limitation, if at the time of the making of such Restricted Payment and immediately after giving effect (on a pro forma basis) thereto, the Total Leverage Ratio is equal to or less than 2.75 to 1.00.</w:t>
      </w:r>
    </w:p>
    <w:p>
      <w:pPr>
        <w:spacing w:after="0" w:line="170" w:lineRule="exact"/>
        <w:rPr>
          <w:sz w:val="20"/>
          <w:szCs w:val="20"/>
          <w:color w:val="auto"/>
        </w:rPr>
      </w:pPr>
    </w:p>
    <w:p>
      <w:pPr>
        <w:ind w:right="60" w:firstLine="1129"/>
        <w:spacing w:after="0" w:line="285" w:lineRule="auto"/>
        <w:tabs>
          <w:tab w:leader="none" w:pos="1955" w:val="left"/>
        </w:tabs>
        <w:numPr>
          <w:ilvl w:val="1"/>
          <w:numId w:val="332"/>
        </w:numPr>
        <w:rPr>
          <w:rFonts w:ascii="Arial" w:cs="Arial" w:eastAsia="Arial" w:hAnsi="Arial"/>
          <w:sz w:val="16"/>
          <w:szCs w:val="16"/>
          <w:color w:val="auto"/>
        </w:rPr>
      </w:pPr>
      <w:r>
        <w:rPr>
          <w:rFonts w:ascii="Arial" w:cs="Arial" w:eastAsia="Arial" w:hAnsi="Arial"/>
          <w:sz w:val="16"/>
          <w:szCs w:val="16"/>
          <w:i w:val="1"/>
          <w:iCs w:val="1"/>
          <w:color w:val="auto"/>
        </w:rPr>
        <w:t>Transactions with Affiliates</w:t>
      </w:r>
      <w:r>
        <w:rPr>
          <w:rFonts w:ascii="Arial" w:cs="Arial" w:eastAsia="Arial" w:hAnsi="Arial"/>
          <w:sz w:val="16"/>
          <w:szCs w:val="16"/>
          <w:color w:val="auto"/>
        </w:rPr>
        <w:t>. The Parent Guarantor will not, and will not permit Lessee or any other Subsidiary to, sell, lease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transfer any property or assets to, or purchase, lease or otherwise acquire any property or assets from, or otherwise engage in any other transactions with, any of its Affiliates, except (i) transactions on terms and conditions not materially less favorable to the Parent Guarantor or such Subsidiary than could be obtained on an arm’s-length basis from a Person that is not an Affiliate for a comparable transaction, (ii) transactions between or among the Parent Guarantor and its Subsidiaries (or an entity that becomes a Subsidiary of the Parent Guarantor as a result of such transaction) (or any combination thereof),</w:t>
      </w:r>
    </w:p>
    <w:p>
      <w:pPr>
        <w:spacing w:after="0" w:line="2" w:lineRule="exact"/>
        <w:rPr>
          <w:rFonts w:ascii="Arial" w:cs="Arial" w:eastAsia="Arial" w:hAnsi="Arial"/>
          <w:sz w:val="16"/>
          <w:szCs w:val="16"/>
          <w:color w:val="auto"/>
        </w:rPr>
      </w:pPr>
    </w:p>
    <w:p>
      <w:pPr>
        <w:ind w:firstLine="8"/>
        <w:spacing w:after="0" w:line="284" w:lineRule="auto"/>
        <w:tabs>
          <w:tab w:leader="none" w:pos="315" w:val="left"/>
        </w:tabs>
        <w:numPr>
          <w:ilvl w:val="0"/>
          <w:numId w:val="333"/>
        </w:numPr>
        <w:rPr>
          <w:rFonts w:ascii="Arial" w:cs="Arial" w:eastAsia="Arial" w:hAnsi="Arial"/>
          <w:sz w:val="16"/>
          <w:szCs w:val="16"/>
          <w:color w:val="auto"/>
        </w:rPr>
      </w:pPr>
      <w:r>
        <w:rPr>
          <w:rFonts w:ascii="Arial" w:cs="Arial" w:eastAsia="Arial" w:hAnsi="Arial"/>
          <w:sz w:val="16"/>
          <w:szCs w:val="16"/>
          <w:color w:val="auto"/>
        </w:rPr>
        <w:t>the payment of customary fees to directors of the Parent Guarantor or any of its Subsidiaries, and customary compensation, reasonable out-of-pocket expense reimbursement and indemnification (including the provision of directors and officers insurance) of, and other employment agreements and arrangements, employee benefit plans and stock incentive plans paid to, future, present or past directors, officers, managers and employees of the Parent Guarantor or any of its Subsidiaries, (iv) transactions undertaken in good faith for the purpose of improving the overall tax efficiency of the Parent Guarantor and its Subsidiaries, (v) loans, advances and other transactions to the extent permitted by the terms of this Guaranty, the Lease or the Participation Agreement, including without limitation any Restricted Payment permitted by Section 9(d) and transactions permitted by Section 9(c), (vi) issuances of Equity Interests to Affiliates and the registration rights associated therewith, (vii) any Collaboration Arrangement or any other license, sublicense, lease or sublease (A) in existence on the Document Closing Date (together with any amendments, restatements, extensions, replacements or other modifications thereto that are not materially adverse to the interests of the Lenders in their capacities as such), (B) in the ordinary course of business or (C) substantially consistent with past practices, (viii) transactions with Affiliates that are Disclosed Matters, (ix) transactions pursuant to agreements in effect on the Document Closing Date (together with any amendments, restatements, extensions, replacements or other modifications thereto that are not materially adverse to the interests of the Participants in their capacities as such), (x) transactions with joint ventures for the purchase or sale of property or other assets and services entered into in the ordinary course of business and investments in joint ventures, (xi) transactions approved by a majority of Disinterested Directors of the Parent Guarantor or of the applicable Subsidiary in good faith, (xii) any transactions or series of related transactions with respect to which the aggregate consideration paid, or fair market value of property disposed of, by the Parent Guarantor and its Subsidiaries is less than $2,000,000 and (xiii) subleases and assignments permitted by the Operative Documents, including Article VI of the Lease.</w:t>
      </w:r>
    </w:p>
    <w:p>
      <w:pPr>
        <w:sectPr>
          <w:pgSz w:w="11900" w:h="16923" w:orient="portrait"/>
          <w:cols w:equalWidth="0" w:num="1">
            <w:col w:w="11420"/>
          </w:cols>
          <w:pgMar w:left="240" w:top="125" w:right="239" w:bottom="0" w:gutter="0" w:footer="0" w:header="0"/>
        </w:sectPr>
      </w:pPr>
    </w:p>
    <w:bookmarkStart w:id="156" w:name="page157"/>
    <w:bookmarkEnd w:id="156"/>
    <w:p>
      <w:pPr>
        <w:ind w:firstLine="1129"/>
        <w:spacing w:after="0" w:line="257" w:lineRule="auto"/>
        <w:tabs>
          <w:tab w:leader="none" w:pos="1949" w:val="left"/>
        </w:tabs>
        <w:numPr>
          <w:ilvl w:val="0"/>
          <w:numId w:val="334"/>
        </w:numPr>
        <w:rPr>
          <w:rFonts w:ascii="Arial" w:cs="Arial" w:eastAsia="Arial" w:hAnsi="Arial"/>
          <w:sz w:val="18"/>
          <w:szCs w:val="18"/>
          <w:color w:val="auto"/>
        </w:rPr>
      </w:pPr>
      <w:r>
        <w:rPr>
          <w:rFonts w:ascii="Arial" w:cs="Arial" w:eastAsia="Arial" w:hAnsi="Arial"/>
          <w:sz w:val="18"/>
          <w:szCs w:val="18"/>
          <w:i w:val="1"/>
          <w:iCs w:val="1"/>
          <w:color w:val="auto"/>
        </w:rPr>
        <w:t>Maximum Total Leverage Ratio</w:t>
      </w:r>
      <w:r>
        <w:rPr>
          <w:rFonts w:ascii="Arial" w:cs="Arial" w:eastAsia="Arial" w:hAnsi="Arial"/>
          <w:sz w:val="18"/>
          <w:szCs w:val="18"/>
          <w:color w:val="auto"/>
        </w:rPr>
        <w:t>. The Parent Guarantor will not permit the ratio (the “</w:t>
      </w:r>
      <w:r>
        <w:rPr>
          <w:rFonts w:ascii="Arial" w:cs="Arial" w:eastAsia="Arial" w:hAnsi="Arial"/>
          <w:sz w:val="18"/>
          <w:szCs w:val="18"/>
          <w:i w:val="1"/>
          <w:iCs w:val="1"/>
          <w:color w:val="auto"/>
        </w:rPr>
        <w:t>Total Leverage Ratio</w:t>
      </w:r>
      <w:r>
        <w:rPr>
          <w:rFonts w:ascii="Arial" w:cs="Arial" w:eastAsia="Arial" w:hAnsi="Arial"/>
          <w:sz w:val="18"/>
          <w:szCs w:val="18"/>
          <w:color w:val="auto"/>
        </w:rPr>
        <w:t>”), determined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each of its fiscal quarters ending on and after March 31, 2017, of (i) Consolidated Total Indebtedness to (ii) Consolidated EBITDA for the period of four (4) consecutive fiscal quarters ending with the end of such fiscal quarter, all calculated for the Parent Guarantor and its Subsidiaries on a consolidated basis, to be greater than 3.00 to 1.00. Notwithstanding the foregoing, the Parent Guarantor shall be permitted (such permission, the “</w:t>
      </w:r>
      <w:r>
        <w:rPr>
          <w:rFonts w:ascii="Arial" w:cs="Arial" w:eastAsia="Arial" w:hAnsi="Arial"/>
          <w:sz w:val="18"/>
          <w:szCs w:val="18"/>
          <w:i w:val="1"/>
          <w:iCs w:val="1"/>
          <w:color w:val="auto"/>
        </w:rPr>
        <w:t>Acquisition Holiday</w:t>
      </w:r>
      <w:r>
        <w:rPr>
          <w:rFonts w:ascii="Arial" w:cs="Arial" w:eastAsia="Arial" w:hAnsi="Arial"/>
          <w:sz w:val="18"/>
          <w:szCs w:val="18"/>
          <w:color w:val="auto"/>
        </w:rPr>
        <w:t>”) on one (1) occasion during the term of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Participation Agreement to allow the maximum Total Leverage Ratio under this Section 9(f) to be increased to 3.50 to 1.00 for a period of four consecutive fiscal quarters in connection with an Acquisition occurring during the first of such four fiscal quarters if the aggregate consideration paid or to be paid in respect of such Acquisition exceeds $500,000,000, so long as the Parent Guarantor is in compliance on a pro forma basis with the maximum Total Leverage Ratio of 3.50 to 1.00 on the closing date of such Acquisition immediately after giving effect to such Acquisition;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the Parent Guarantor shall provide notice in writing to the Administrative Agent of such increase and a transaction description of such Acquisition (regarding the name of the Person or summary description of the assets being acquired and the approximate purchase price) and (y) at the end of such period of four consecutive fiscal quarters, the maximum Total Leverage Ratio permitted under this Section 9(f) shall revert to 3.00 to 1.00.</w:t>
      </w:r>
    </w:p>
    <w:p>
      <w:pPr>
        <w:spacing w:after="0" w:line="178" w:lineRule="exact"/>
        <w:rPr>
          <w:sz w:val="20"/>
          <w:szCs w:val="20"/>
          <w:color w:val="auto"/>
        </w:rPr>
      </w:pPr>
    </w:p>
    <w:p>
      <w:pPr>
        <w:ind w:right="240" w:firstLine="1305"/>
        <w:spacing w:after="0" w:line="291" w:lineRule="auto"/>
        <w:tabs>
          <w:tab w:leader="none" w:pos="1965" w:val="left"/>
        </w:tabs>
        <w:numPr>
          <w:ilvl w:val="1"/>
          <w:numId w:val="335"/>
        </w:numPr>
        <w:rPr>
          <w:rFonts w:ascii="Arial" w:cs="Arial" w:eastAsia="Arial" w:hAnsi="Arial"/>
          <w:sz w:val="16"/>
          <w:szCs w:val="16"/>
          <w:color w:val="auto"/>
        </w:rPr>
      </w:pPr>
      <w:r>
        <w:rPr>
          <w:rFonts w:ascii="Arial" w:cs="Arial" w:eastAsia="Arial" w:hAnsi="Arial"/>
          <w:sz w:val="16"/>
          <w:szCs w:val="16"/>
          <w:i w:val="1"/>
          <w:iCs w:val="1"/>
          <w:color w:val="auto"/>
        </w:rPr>
        <w:t>Minimum Interest Coverage Ratio</w:t>
      </w:r>
      <w:r>
        <w:rPr>
          <w:rFonts w:ascii="Arial" w:cs="Arial" w:eastAsia="Arial" w:hAnsi="Arial"/>
          <w:sz w:val="16"/>
          <w:szCs w:val="16"/>
          <w:color w:val="auto"/>
        </w:rPr>
        <w:t>. The Parent Guarantor will not permit the ratio, determined as of the end of each of its fiscal</w:t>
      </w:r>
      <w:r>
        <w:rPr>
          <w:rFonts w:ascii="Arial" w:cs="Arial" w:eastAsia="Arial" w:hAnsi="Arial"/>
          <w:sz w:val="16"/>
          <w:szCs w:val="16"/>
          <w:i w:val="1"/>
          <w:iCs w:val="1"/>
          <w:color w:val="auto"/>
        </w:rPr>
        <w:t xml:space="preserve"> </w:t>
      </w:r>
      <w:r>
        <w:rPr>
          <w:rFonts w:ascii="Arial" w:cs="Arial" w:eastAsia="Arial" w:hAnsi="Arial"/>
          <w:sz w:val="16"/>
          <w:szCs w:val="16"/>
          <w:color w:val="auto"/>
        </w:rPr>
        <w:t>quarters ending on and after March 31, 2017, of (i) Consolidated EBITDA to (ii) Consolidated Interest Expense, in each case for the period of four</w:t>
      </w:r>
    </w:p>
    <w:p>
      <w:pPr>
        <w:ind w:right="160" w:firstLine="8"/>
        <w:spacing w:after="0" w:line="261" w:lineRule="auto"/>
        <w:tabs>
          <w:tab w:leader="none" w:pos="255" w:val="left"/>
        </w:tabs>
        <w:numPr>
          <w:ilvl w:val="0"/>
          <w:numId w:val="336"/>
        </w:numPr>
        <w:rPr>
          <w:rFonts w:ascii="Arial" w:cs="Arial" w:eastAsia="Arial" w:hAnsi="Arial"/>
          <w:sz w:val="18"/>
          <w:szCs w:val="18"/>
          <w:color w:val="auto"/>
        </w:rPr>
      </w:pPr>
      <w:r>
        <w:rPr>
          <w:rFonts w:ascii="Arial" w:cs="Arial" w:eastAsia="Arial" w:hAnsi="Arial"/>
          <w:sz w:val="18"/>
          <w:szCs w:val="18"/>
          <w:color w:val="auto"/>
        </w:rPr>
        <w:t>consecutive fiscal quarters ending with the end of such fiscal quarter, all calculated for the Parent Guarantor and its Subsidiaries on a consolidated basis, to be less than 3.00 to 1.00.</w:t>
      </w:r>
    </w:p>
    <w:p>
      <w:pPr>
        <w:spacing w:after="0" w:line="184" w:lineRule="exact"/>
        <w:rPr>
          <w:sz w:val="20"/>
          <w:szCs w:val="20"/>
          <w:color w:val="auto"/>
        </w:rPr>
      </w:pPr>
    </w:p>
    <w:p>
      <w:pPr>
        <w:ind w:firstLine="729"/>
        <w:spacing w:after="0" w:line="259" w:lineRule="auto"/>
        <w:rPr>
          <w:sz w:val="20"/>
          <w:szCs w:val="20"/>
          <w:color w:val="auto"/>
        </w:rPr>
      </w:pPr>
      <w:r>
        <w:rPr>
          <w:rFonts w:ascii="Arial" w:cs="Arial" w:eastAsia="Arial" w:hAnsi="Arial"/>
          <w:sz w:val="18"/>
          <w:szCs w:val="18"/>
          <w:i w:val="1"/>
          <w:iCs w:val="1"/>
          <w:color w:val="auto"/>
        </w:rPr>
        <w:t>Section 10. Successors and Assigns</w:t>
      </w:r>
      <w:r>
        <w:rPr>
          <w:rFonts w:ascii="Arial" w:cs="Arial" w:eastAsia="Arial" w:hAnsi="Arial"/>
          <w:sz w:val="18"/>
          <w:szCs w:val="18"/>
          <w:color w:val="auto"/>
        </w:rPr>
        <w:t>. This Guaranty shall be binding upon each Guarantor and upon each Guarantor’s successors and assigns;</w:t>
      </w:r>
      <w:r>
        <w:rPr>
          <w:rFonts w:ascii="Arial" w:cs="Arial" w:eastAsia="Arial" w:hAnsi="Arial"/>
          <w:sz w:val="18"/>
          <w:szCs w:val="18"/>
          <w:i w:val="1"/>
          <w:iCs w:val="1"/>
          <w:color w:val="auto"/>
        </w:rPr>
        <w:t xml:space="preserve"> provided </w:t>
      </w:r>
      <w:r>
        <w:rPr>
          <w:rFonts w:ascii="Arial" w:cs="Arial" w:eastAsia="Arial" w:hAnsi="Arial"/>
          <w:sz w:val="18"/>
          <w:szCs w:val="18"/>
          <w:color w:val="auto"/>
        </w:rPr>
        <w:t>that no Guarantor shall assign or transfer any of its interests or obligations hereunder without the prior written consent of the requisite Participants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Section 15.5 of the Participation Agreement (it being understood that the foregoing proviso shall not prohibit transactions permitted by Section 9(c) of this Guaranty).</w:t>
      </w:r>
    </w:p>
    <w:p>
      <w:pPr>
        <w:spacing w:after="0" w:line="187" w:lineRule="exact"/>
        <w:rPr>
          <w:sz w:val="20"/>
          <w:szCs w:val="20"/>
          <w:color w:val="auto"/>
        </w:rPr>
      </w:pPr>
    </w:p>
    <w:p>
      <w:pPr>
        <w:ind w:right="60" w:firstLine="729"/>
        <w:spacing w:after="0" w:line="264" w:lineRule="auto"/>
        <w:rPr>
          <w:sz w:val="20"/>
          <w:szCs w:val="20"/>
          <w:color w:val="auto"/>
        </w:rPr>
      </w:pPr>
      <w:r>
        <w:rPr>
          <w:rFonts w:ascii="Arial" w:cs="Arial" w:eastAsia="Arial" w:hAnsi="Arial"/>
          <w:sz w:val="18"/>
          <w:szCs w:val="18"/>
          <w:i w:val="1"/>
          <w:iCs w:val="1"/>
          <w:color w:val="auto"/>
        </w:rPr>
        <w:t>Section 11. Severability</w:t>
      </w:r>
      <w:r>
        <w:rPr>
          <w:rFonts w:ascii="Arial" w:cs="Arial" w:eastAsia="Arial" w:hAnsi="Arial"/>
          <w:sz w:val="18"/>
          <w:szCs w:val="18"/>
          <w:color w:val="auto"/>
        </w:rPr>
        <w:t>. Any provision of this Guaranty that is prohibited or unenforceable in any jurisdiction shall, as to such jurisdiction, be</w:t>
      </w:r>
      <w:r>
        <w:rPr>
          <w:rFonts w:ascii="Arial" w:cs="Arial" w:eastAsia="Arial" w:hAnsi="Arial"/>
          <w:sz w:val="18"/>
          <w:szCs w:val="18"/>
          <w:i w:val="1"/>
          <w:iCs w:val="1"/>
          <w:color w:val="auto"/>
        </w:rPr>
        <w:t xml:space="preserve"> </w:t>
      </w:r>
      <w:r>
        <w:rPr>
          <w:rFonts w:ascii="Arial" w:cs="Arial" w:eastAsia="Arial" w:hAnsi="Arial"/>
          <w:sz w:val="18"/>
          <w:szCs w:val="18"/>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81" w:lineRule="exact"/>
        <w:rPr>
          <w:sz w:val="20"/>
          <w:szCs w:val="20"/>
          <w:color w:val="auto"/>
        </w:rPr>
      </w:pPr>
    </w:p>
    <w:p>
      <w:pPr>
        <w:ind w:firstLine="729"/>
        <w:spacing w:after="0" w:line="290" w:lineRule="auto"/>
        <w:rPr>
          <w:sz w:val="20"/>
          <w:szCs w:val="20"/>
          <w:color w:val="auto"/>
        </w:rPr>
      </w:pPr>
      <w:r>
        <w:rPr>
          <w:rFonts w:ascii="Arial" w:cs="Arial" w:eastAsia="Arial" w:hAnsi="Arial"/>
          <w:sz w:val="16"/>
          <w:szCs w:val="16"/>
          <w:i w:val="1"/>
          <w:iCs w:val="1"/>
          <w:color w:val="auto"/>
        </w:rPr>
        <w:t>Section 12. Submission to Jurisdiction; Service of Process</w:t>
      </w:r>
      <w:r>
        <w:rPr>
          <w:rFonts w:ascii="Arial" w:cs="Arial" w:eastAsia="Arial" w:hAnsi="Arial"/>
          <w:sz w:val="16"/>
          <w:szCs w:val="16"/>
          <w:color w:val="auto"/>
        </w:rPr>
        <w:t>. Each Guarantor: (a) submits for itself and its property in any legal action or</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 relating to this Guaranty, or for recognition and enforcement of any judgment in respect thereof, to the exclusive general jurisdiction of the United States District Court for the Southern District of New York and of any New York state court sitting in the borough of Manhattan, and appellate courts from any thereof; (b) consents that any such action or proceedings may be brought to such courts, and waives any objection that it may now or hereafter have to the venue of any such action or proceeding in any such court or that such action or proceeding was brought in an inconvenient court and agrees not to plead or claim the same; (c) agrees, to the fullest extent of Applicable Law, that service of process in any such action or proceeding may be effected by mailing a copy thereof by registered or certified mail (or any substantially similar form of mail), postage prepaid, to it at its address referred to in Section 13 below or at such other address of which the other parties hereto shall have been notified pursuant to Section 13; and (d) agrees that nothing herein shall affect the right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to effect service of process in any other manner permitted by law or shall affect the right that any Beneficiary may otherwise have to sue in any other jurisdiction.</w:t>
      </w:r>
    </w:p>
    <w:p>
      <w:pPr>
        <w:spacing w:after="0" w:line="170" w:lineRule="exact"/>
        <w:rPr>
          <w:sz w:val="20"/>
          <w:szCs w:val="20"/>
          <w:color w:val="auto"/>
        </w:rPr>
      </w:pPr>
    </w:p>
    <w:p>
      <w:pPr>
        <w:ind w:right="80" w:firstLine="729"/>
        <w:spacing w:after="0" w:line="259" w:lineRule="auto"/>
        <w:rPr>
          <w:sz w:val="20"/>
          <w:szCs w:val="20"/>
          <w:color w:val="auto"/>
        </w:rPr>
      </w:pPr>
      <w:r>
        <w:rPr>
          <w:rFonts w:ascii="Arial" w:cs="Arial" w:eastAsia="Arial" w:hAnsi="Arial"/>
          <w:sz w:val="18"/>
          <w:szCs w:val="18"/>
          <w:i w:val="1"/>
          <w:iCs w:val="1"/>
          <w:color w:val="auto"/>
        </w:rPr>
        <w:t>Section 13. Notices</w:t>
      </w:r>
      <w:r>
        <w:rPr>
          <w:rFonts w:ascii="Arial" w:cs="Arial" w:eastAsia="Arial" w:hAnsi="Arial"/>
          <w:sz w:val="18"/>
          <w:szCs w:val="18"/>
          <w:color w:val="auto"/>
        </w:rPr>
        <w:t>. All notices, requests, demands or other communications (i) to any Guarantor or (ii) that are required or permitted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made by any Guarantor pursuant to this Guaranty to Administrative Agent and/or any Participant shall be in writing and shall be deemed to have been duly given when addressed to the appropriate Person and delivered in the manner specified in Section 15.3 of the Participation Agreement. The initial address for notices to each Guarantor is set forth on Schedule III to the Participation Agreement.</w:t>
      </w:r>
    </w:p>
    <w:p>
      <w:pPr>
        <w:spacing w:after="0" w:line="187" w:lineRule="exact"/>
        <w:rPr>
          <w:sz w:val="20"/>
          <w:szCs w:val="20"/>
          <w:color w:val="auto"/>
        </w:rPr>
      </w:pPr>
    </w:p>
    <w:p>
      <w:pPr>
        <w:ind w:right="80" w:firstLine="729"/>
        <w:spacing w:after="0" w:line="277" w:lineRule="auto"/>
        <w:rPr>
          <w:sz w:val="20"/>
          <w:szCs w:val="20"/>
          <w:color w:val="auto"/>
        </w:rPr>
      </w:pPr>
      <w:r>
        <w:rPr>
          <w:rFonts w:ascii="Arial" w:cs="Arial" w:eastAsia="Arial" w:hAnsi="Arial"/>
          <w:sz w:val="18"/>
          <w:szCs w:val="18"/>
          <w:i w:val="1"/>
          <w:iCs w:val="1"/>
          <w:color w:val="auto"/>
        </w:rPr>
        <w:t xml:space="preserve">Section 14. Amendment. </w:t>
      </w:r>
      <w:r>
        <w:rPr>
          <w:rFonts w:ascii="Arial" w:cs="Arial" w:eastAsia="Arial" w:hAnsi="Arial"/>
          <w:sz w:val="18"/>
          <w:szCs w:val="18"/>
          <w:color w:val="auto"/>
        </w:rPr>
        <w:t>This Guaranty may not be amended or modified or any of its provisions waived, except in accordance with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of Section 15.5 of the Participation Agreement.</w:t>
      </w:r>
    </w:p>
    <w:p>
      <w:pPr>
        <w:spacing w:after="0" w:line="166" w:lineRule="exact"/>
        <w:rPr>
          <w:sz w:val="20"/>
          <w:szCs w:val="20"/>
          <w:color w:val="auto"/>
        </w:rPr>
      </w:pPr>
    </w:p>
    <w:p>
      <w:pPr>
        <w:ind w:left="740"/>
        <w:spacing w:after="0"/>
        <w:tabs>
          <w:tab w:leader="none" w:pos="1900" w:val="left"/>
        </w:tabs>
        <w:rPr>
          <w:sz w:val="20"/>
          <w:szCs w:val="20"/>
          <w:color w:val="auto"/>
        </w:rPr>
      </w:pPr>
      <w:r>
        <w:rPr>
          <w:rFonts w:ascii="Arial" w:cs="Arial" w:eastAsia="Arial" w:hAnsi="Arial"/>
          <w:sz w:val="18"/>
          <w:szCs w:val="18"/>
          <w:i w:val="1"/>
          <w:iCs w:val="1"/>
          <w:color w:val="auto"/>
        </w:rPr>
        <w:t>Section 15.</w:t>
      </w:r>
      <w:r>
        <w:rPr>
          <w:sz w:val="20"/>
          <w:szCs w:val="20"/>
          <w:color w:val="auto"/>
        </w:rPr>
        <w:tab/>
      </w:r>
      <w:r>
        <w:rPr>
          <w:rFonts w:ascii="Arial" w:cs="Arial" w:eastAsia="Arial" w:hAnsi="Arial"/>
          <w:sz w:val="17"/>
          <w:szCs w:val="17"/>
          <w:i w:val="1"/>
          <w:iCs w:val="1"/>
          <w:color w:val="auto"/>
        </w:rPr>
        <w:t>Governing Law; Waiver of Jury Trial</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THIS GUARANTY SHALL IN ALL RESPECTS, EXCEPT AS SET FORTH IN THE</w:t>
      </w:r>
    </w:p>
    <w:p>
      <w:pPr>
        <w:spacing w:after="0" w:line="2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b w:val="1"/>
          <w:bCs w:val="1"/>
          <w:color w:val="auto"/>
        </w:rPr>
        <w:t>PROVISO, BE GOVERNED BY THE INTERNAL LAW OF THE STATE OF NEW YORK AS TO ALL MATTERS OF CONSTRUCTION, VALIDITY AND PERFORMANCE, WITHOUT REGARD TO CONFLICTS OF LAW PRINCIPLES, EXCEPT TITLE 14 OF ARTICLE 5 OF THE NEW YORK GENERAL OBLIGATIONS LAW; PROVIDED, HOWEVER, THAT WITH RESPECT TO THE CREATION, PERFECTION, EFFECT OF PERFECTION, PRIORITY AND ENFORCEMENT OF SECURITY INTERESTS AND LIENS IN THE LEASED PROPERTY AND PROJECT COLLATERAL, SUCH MATTERS SHALL BE GOVERNED BY THE LAWS OF THE STATE OF NEW YORK AND, TO THE EXTENT APPLICABLE, THE UNIFORM COMMERCIAL CODE OF SUCH STATE (INCLUDING THE CHOICE OF LAW RULES UNDER SUCH UNIFORM COMMERCIAL CODE). EACH GUARANTOR HEREBY EXPRESSLY WAIVES ANY RIGHT TO A TRIAL BY JURY IN ANY ACTION OR PROCEEDING TO ENFORCE OR DEFEND ANY RIGHTS UNDER THIS GUARANTY OR UNDER ANY AMENDMENT, INSTRUMENT, DOCUMENT OR AGREEMENT DELIVERED OR WHICH MAY IN THE FUTURE BE DELIVERED IN CONNECTION HEREWITH OR ARISING FROM ANY RELATIONSHIP EXISTING IN CONNECTION WITH THIS GUARANTY, AND AGREES THAT ANY SUCH ACTION OR PROCEEDING SHALL BE TRIED BEFORE A COURT AND NOT BEFORE A JURY.</w:t>
      </w:r>
    </w:p>
    <w:p>
      <w:pPr>
        <w:spacing w:after="0" w:line="198" w:lineRule="exact"/>
        <w:rPr>
          <w:sz w:val="20"/>
          <w:szCs w:val="20"/>
          <w:color w:val="auto"/>
        </w:rPr>
      </w:pPr>
    </w:p>
    <w:p>
      <w:pPr>
        <w:ind w:right="240" w:firstLine="729"/>
        <w:spacing w:after="0" w:line="291" w:lineRule="auto"/>
        <w:rPr>
          <w:sz w:val="20"/>
          <w:szCs w:val="20"/>
          <w:color w:val="auto"/>
        </w:rPr>
      </w:pPr>
      <w:r>
        <w:rPr>
          <w:rFonts w:ascii="Arial" w:cs="Arial" w:eastAsia="Arial" w:hAnsi="Arial"/>
          <w:sz w:val="16"/>
          <w:szCs w:val="16"/>
          <w:i w:val="1"/>
          <w:iCs w:val="1"/>
          <w:color w:val="auto"/>
        </w:rPr>
        <w:t>Section 16. No Advisory or Fiduciary Responsibility</w:t>
      </w:r>
      <w:r>
        <w:rPr>
          <w:rFonts w:ascii="Arial" w:cs="Arial" w:eastAsia="Arial" w:hAnsi="Arial"/>
          <w:sz w:val="16"/>
          <w:szCs w:val="16"/>
          <w:color w:val="auto"/>
        </w:rPr>
        <w:t>. In connection with all aspects of each transaction contemplated hereby (including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any amendment, waiver or other modification hereof or of any other Operative Document), each Guarantor acknowledges and agrees that:</w:t>
      </w:r>
    </w:p>
    <w:p>
      <w:pPr>
        <w:ind w:right="20" w:firstLine="8"/>
        <w:spacing w:after="0" w:line="302" w:lineRule="auto"/>
        <w:tabs>
          <w:tab w:leader="none" w:pos="215" w:val="left"/>
        </w:tabs>
        <w:numPr>
          <w:ilvl w:val="0"/>
          <w:numId w:val="337"/>
        </w:numPr>
        <w:rPr>
          <w:rFonts w:ascii="Arial" w:cs="Arial" w:eastAsia="Arial" w:hAnsi="Arial"/>
          <w:sz w:val="16"/>
          <w:szCs w:val="16"/>
          <w:color w:val="auto"/>
        </w:rPr>
      </w:pPr>
      <w:r>
        <w:rPr>
          <w:rFonts w:ascii="Arial" w:cs="Arial" w:eastAsia="Arial" w:hAnsi="Arial"/>
          <w:sz w:val="16"/>
          <w:szCs w:val="16"/>
          <w:color w:val="auto"/>
        </w:rPr>
        <w:t>(A) the services regarding this Guaranty provided by the Administrative Agent and the Participants are arm’s-length commercial transactions between the Guarantors, on the one hand, and the Administrative Agent and the Participants, on the other hand, (B) each Guarantor has consulted its own legal, accounting, regulatory and tax advisors to the extent it has deemed appropriate, and (C) each Guarantor is capable of evaluating, and understands and accepts,</w:t>
      </w:r>
    </w:p>
    <w:p>
      <w:pPr>
        <w:sectPr>
          <w:pgSz w:w="11900" w:h="16838" w:orient="portrait"/>
          <w:cols w:equalWidth="0" w:num="1">
            <w:col w:w="11400"/>
          </w:cols>
          <w:pgMar w:left="240" w:top="341" w:right="259" w:bottom="0" w:gutter="0" w:footer="0" w:header="0"/>
        </w:sectPr>
      </w:pPr>
    </w:p>
    <w:bookmarkStart w:id="157" w:name="page158"/>
    <w:bookmarkEnd w:id="157"/>
    <w:p>
      <w:pPr>
        <w:ind w:right="320"/>
        <w:spacing w:after="0" w:line="308" w:lineRule="auto"/>
        <w:rPr>
          <w:sz w:val="20"/>
          <w:szCs w:val="20"/>
          <w:color w:val="auto"/>
        </w:rPr>
      </w:pPr>
      <w:r>
        <w:rPr>
          <w:rFonts w:ascii="Arial" w:cs="Arial" w:eastAsia="Arial" w:hAnsi="Arial"/>
          <w:sz w:val="17"/>
          <w:szCs w:val="17"/>
          <w:color w:val="auto"/>
        </w:rPr>
        <w:t>the terms, risks and conditions of the transactions contemplated hereby and by the other Operative Documents; (ii) (A) the Administrative Agent and each Participant is and has been acting solely as a principal and, except as expressly agreed in writing by the relevant parties, has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not been, is not, and will not be acting as an advisor, agent or fiduciary for any Guarantor or any other Person and (B) neither the Administrative Agent nor any Participant has any obligation to any Guarantor or any of its Affiliates with respect to the transactions contemplated hereby except those obligations expressly set forth herein and in the other Operative Documents; and (iii) the Administrative Agent and the Participants and their respective Affiliates may be engaged in a broad range of transactions that involve interests that differ from those of the Guarantors and their respective Affiliates, and neither the Administrative Agent, nor any Participant has any obligation to disclose any of such interests to any Guarantor or any of its Affiliates. To the fullest extent permitted by law, each Guarantor hereby waives and releases any claims that it may have against the Administrative Agent, or any Participant with respect to any breach or alleged breach of agency or fiduciary duty in connection with any aspect of any transaction contemplated hereby.</w:t>
      </w:r>
    </w:p>
    <w:p>
      <w:pPr>
        <w:spacing w:after="0" w:line="167" w:lineRule="exact"/>
        <w:rPr>
          <w:sz w:val="20"/>
          <w:szCs w:val="20"/>
          <w:color w:val="auto"/>
        </w:rPr>
      </w:pPr>
    </w:p>
    <w:p>
      <w:pPr>
        <w:ind w:left="740"/>
        <w:spacing w:after="0"/>
        <w:tabs>
          <w:tab w:leader="none" w:pos="1900" w:val="left"/>
        </w:tabs>
        <w:rPr>
          <w:sz w:val="20"/>
          <w:szCs w:val="20"/>
          <w:color w:val="auto"/>
        </w:rPr>
      </w:pPr>
      <w:r>
        <w:rPr>
          <w:rFonts w:ascii="Arial" w:cs="Arial" w:eastAsia="Arial" w:hAnsi="Arial"/>
          <w:sz w:val="18"/>
          <w:szCs w:val="18"/>
          <w:i w:val="1"/>
          <w:iCs w:val="1"/>
          <w:color w:val="auto"/>
        </w:rPr>
        <w:t>Section 17.</w:t>
      </w:r>
      <w:r>
        <w:rPr>
          <w:sz w:val="20"/>
          <w:szCs w:val="20"/>
          <w:color w:val="auto"/>
        </w:rPr>
        <w:tab/>
      </w:r>
      <w:r>
        <w:rPr>
          <w:rFonts w:ascii="Arial" w:cs="Arial" w:eastAsia="Arial" w:hAnsi="Arial"/>
          <w:sz w:val="16"/>
          <w:szCs w:val="16"/>
          <w:i w:val="1"/>
          <w:iCs w:val="1"/>
          <w:color w:val="auto"/>
        </w:rPr>
        <w:t>Releases; Termination of Guaranty</w:t>
      </w:r>
      <w:r>
        <w:rPr>
          <w:rFonts w:ascii="Arial" w:cs="Arial" w:eastAsia="Arial" w:hAnsi="Arial"/>
          <w:sz w:val="16"/>
          <w:szCs w:val="16"/>
          <w:color w:val="auto"/>
        </w:rPr>
        <w:t>.</w:t>
      </w:r>
    </w:p>
    <w:p>
      <w:pPr>
        <w:spacing w:after="0" w:line="225" w:lineRule="exact"/>
        <w:rPr>
          <w:sz w:val="20"/>
          <w:szCs w:val="20"/>
          <w:color w:val="auto"/>
        </w:rPr>
      </w:pPr>
    </w:p>
    <w:p>
      <w:pPr>
        <w:ind w:right="80" w:firstLine="1332"/>
        <w:spacing w:after="0" w:line="302" w:lineRule="auto"/>
        <w:tabs>
          <w:tab w:leader="none" w:pos="1942" w:val="left"/>
        </w:tabs>
        <w:numPr>
          <w:ilvl w:val="1"/>
          <w:numId w:val="338"/>
        </w:numPr>
        <w:rPr>
          <w:rFonts w:ascii="Arial" w:cs="Arial" w:eastAsia="Arial" w:hAnsi="Arial"/>
          <w:sz w:val="16"/>
          <w:szCs w:val="16"/>
          <w:color w:val="auto"/>
        </w:rPr>
      </w:pPr>
      <w:r>
        <w:rPr>
          <w:rFonts w:ascii="Arial" w:cs="Arial" w:eastAsia="Arial" w:hAnsi="Arial"/>
          <w:sz w:val="16"/>
          <w:szCs w:val="16"/>
          <w:color w:val="auto"/>
        </w:rPr>
        <w:t xml:space="preserve">A Subsidiary Guarantor shall automatically be released from its obligations under this Guaranty upon the consummation of any transaction permitted by this Guaranty as a result of which such Subsidiary Guarantor ceases to be a Subsidiary, so long as, immediately after giving effect to the consummation of such transaction, no Default or Event of Default results therefrom;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so required by this Guaranty or the Participation Agreement, the Required Participants shall have consented to such transaction and the terms of such consent shall not have provided otherwise.</w:t>
      </w:r>
    </w:p>
    <w:p>
      <w:pPr>
        <w:spacing w:after="0" w:line="154" w:lineRule="exact"/>
        <w:rPr>
          <w:rFonts w:ascii="Arial" w:cs="Arial" w:eastAsia="Arial" w:hAnsi="Arial"/>
          <w:sz w:val="16"/>
          <w:szCs w:val="16"/>
          <w:color w:val="auto"/>
        </w:rPr>
      </w:pPr>
    </w:p>
    <w:p>
      <w:pPr>
        <w:ind w:firstLine="1332"/>
        <w:spacing w:after="0" w:line="255" w:lineRule="auto"/>
        <w:tabs>
          <w:tab w:leader="none" w:pos="1952" w:val="left"/>
        </w:tabs>
        <w:numPr>
          <w:ilvl w:val="1"/>
          <w:numId w:val="338"/>
        </w:numPr>
        <w:rPr>
          <w:rFonts w:ascii="Arial" w:cs="Arial" w:eastAsia="Arial" w:hAnsi="Arial"/>
          <w:sz w:val="18"/>
          <w:szCs w:val="18"/>
          <w:color w:val="auto"/>
        </w:rPr>
      </w:pPr>
      <w:r>
        <w:rPr>
          <w:rFonts w:ascii="Arial" w:cs="Arial" w:eastAsia="Arial" w:hAnsi="Arial"/>
          <w:sz w:val="18"/>
          <w:szCs w:val="18"/>
          <w:color w:val="auto"/>
        </w:rPr>
        <w:t>Further, the Administrative Agent may (and is hereby irrevocably authorized by each Participant to), upon the request of the Parent Guarantor or Lessee, release any Subsidiary Guarantor from its obligations under this Guaranty if such Subsidiary Guarantor is no longer a Material Domestic Subsidiary, becomes an Excluded Subsidiary or is otherwise not required pursuant to this terms of this Guaranty to provide a Subsidiary Guaranty; provided that, unless such Subsidiary Guarantor is a Bank Credit Agreement Specified Loan Party, prior to or substantially concurrently with the release of such Subsidiary Guarantor pursuant to this Section 17(b), it ceases to be a loan party (whether as a guarantor and/or borrower) under the Bank Credit Agreement and related loan documents.</w:t>
      </w:r>
    </w:p>
    <w:p>
      <w:pPr>
        <w:spacing w:after="0" w:line="193" w:lineRule="exact"/>
        <w:rPr>
          <w:rFonts w:ascii="Arial" w:cs="Arial" w:eastAsia="Arial" w:hAnsi="Arial"/>
          <w:sz w:val="18"/>
          <w:szCs w:val="18"/>
          <w:color w:val="auto"/>
        </w:rPr>
      </w:pPr>
    </w:p>
    <w:p>
      <w:pPr>
        <w:ind w:right="20" w:firstLine="1332"/>
        <w:spacing w:after="0" w:line="264" w:lineRule="auto"/>
        <w:tabs>
          <w:tab w:leader="none" w:pos="1955" w:val="left"/>
        </w:tabs>
        <w:numPr>
          <w:ilvl w:val="1"/>
          <w:numId w:val="338"/>
        </w:numPr>
        <w:rPr>
          <w:rFonts w:ascii="Arial" w:cs="Arial" w:eastAsia="Arial" w:hAnsi="Arial"/>
          <w:sz w:val="18"/>
          <w:szCs w:val="18"/>
          <w:color w:val="auto"/>
        </w:rPr>
      </w:pPr>
      <w:r>
        <w:rPr>
          <w:rFonts w:ascii="Arial" w:cs="Arial" w:eastAsia="Arial" w:hAnsi="Arial"/>
          <w:sz w:val="18"/>
          <w:szCs w:val="18"/>
          <w:color w:val="auto"/>
        </w:rPr>
        <w:t>Further, the Administrative Agent may (and is hereby irrevocably authorized by each Participant to), upon the request of the Parent Guarantor or Lessee, release any Guarantor from its obligations under this Guaranty if such release is approved, authorized or ratified by the requisite Participants pursuant to Section 15.5 of the Participation Agreement.</w:t>
      </w:r>
    </w:p>
    <w:p>
      <w:pPr>
        <w:spacing w:after="0" w:line="181" w:lineRule="exact"/>
        <w:rPr>
          <w:rFonts w:ascii="Arial" w:cs="Arial" w:eastAsia="Arial" w:hAnsi="Arial"/>
          <w:sz w:val="18"/>
          <w:szCs w:val="18"/>
          <w:color w:val="auto"/>
        </w:rPr>
      </w:pPr>
    </w:p>
    <w:p>
      <w:pPr>
        <w:jc w:val="both"/>
        <w:ind w:right="280" w:firstLine="1332"/>
        <w:spacing w:after="0" w:line="286" w:lineRule="auto"/>
        <w:tabs>
          <w:tab w:leader="none" w:pos="1952" w:val="left"/>
        </w:tabs>
        <w:numPr>
          <w:ilvl w:val="1"/>
          <w:numId w:val="338"/>
        </w:numPr>
        <w:rPr>
          <w:rFonts w:ascii="Arial" w:cs="Arial" w:eastAsia="Arial" w:hAnsi="Arial"/>
          <w:sz w:val="16"/>
          <w:szCs w:val="16"/>
          <w:color w:val="auto"/>
        </w:rPr>
      </w:pPr>
      <w:r>
        <w:rPr>
          <w:rFonts w:ascii="Arial" w:cs="Arial" w:eastAsia="Arial" w:hAnsi="Arial"/>
          <w:sz w:val="16"/>
          <w:szCs w:val="16"/>
          <w:color w:val="auto"/>
        </w:rPr>
        <w:t>At such time as the Liabilities (other than Liabilities expressly stated to survive such payment and termination) shall have been indefeasibly paid in full in cash, all obligations of each Guarantor under this Guaranty shall automatically terminate (other than with respect to Liabilities expressly stated to survive such payment and termination), all without delivery of any instrument or performance of any act by any Person (it being agreed that, upon indefeasible payment in full in cash of the Liabilities (other than (i) Liabilities expressly stated to survive such payment and termination and</w:t>
      </w:r>
    </w:p>
    <w:p>
      <w:pPr>
        <w:spacing w:after="0" w:line="1" w:lineRule="exact"/>
        <w:rPr>
          <w:rFonts w:ascii="Arial" w:cs="Arial" w:eastAsia="Arial" w:hAnsi="Arial"/>
          <w:sz w:val="16"/>
          <w:szCs w:val="16"/>
          <w:color w:val="auto"/>
        </w:rPr>
      </w:pPr>
    </w:p>
    <w:p>
      <w:pPr>
        <w:ind w:left="280" w:hanging="272"/>
        <w:spacing w:after="0"/>
        <w:tabs>
          <w:tab w:leader="none" w:pos="2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contingent Liabilities for costs, expenses, indemnities and similar obligations not then due and payable), Sections 8 and 9 of this Guaranty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shall automatically terminate, notwithstanding the survival of this Guaranty with respect to Liabilities expressly stated to survive such payment and termination).</w:t>
      </w:r>
    </w:p>
    <w:p>
      <w:pPr>
        <w:spacing w:after="0" w:line="170" w:lineRule="exact"/>
        <w:rPr>
          <w:sz w:val="20"/>
          <w:szCs w:val="20"/>
          <w:color w:val="auto"/>
        </w:rPr>
      </w:pPr>
    </w:p>
    <w:p>
      <w:pPr>
        <w:ind w:right="260" w:firstLine="1332"/>
        <w:spacing w:after="0" w:line="273" w:lineRule="auto"/>
        <w:tabs>
          <w:tab w:leader="none" w:pos="1955" w:val="left"/>
        </w:tabs>
        <w:numPr>
          <w:ilvl w:val="0"/>
          <w:numId w:val="340"/>
        </w:numPr>
        <w:rPr>
          <w:rFonts w:ascii="Arial" w:cs="Arial" w:eastAsia="Arial" w:hAnsi="Arial"/>
          <w:sz w:val="17"/>
          <w:szCs w:val="17"/>
          <w:color w:val="auto"/>
        </w:rPr>
      </w:pPr>
      <w:r>
        <w:rPr>
          <w:rFonts w:ascii="Arial" w:cs="Arial" w:eastAsia="Arial" w:hAnsi="Arial"/>
          <w:sz w:val="17"/>
          <w:szCs w:val="17"/>
          <w:color w:val="auto"/>
        </w:rPr>
        <w:t>Upon request by the Administrative Agent at any time, the Participants will confirm in writing the Administrative Agent’s authority to release any particular Guarantor pursuant hereto. In connection with any termination or release pursuant to this Section 17, the Administrative Agent shall (and is hereby irrevocably authorized by each Participant to) execute and deliver to any Guarantor or Lessee, at such Guarantor’s or Lessee’s expense, all documents that such Guarantor or Lessee shall reasonably request to evidence such termination or release. Any execution and delivery of documents pursuant to this Section 17 shall be without recourse to or warranty by the Administrative Agent except with respect to any customary further assurances that are expressly agreed to in writing by the Administrative Agent.</w:t>
      </w:r>
    </w:p>
    <w:p>
      <w:pPr>
        <w:spacing w:after="0" w:line="178" w:lineRule="exact"/>
        <w:rPr>
          <w:sz w:val="20"/>
          <w:szCs w:val="20"/>
          <w:color w:val="auto"/>
        </w:rPr>
      </w:pPr>
    </w:p>
    <w:p>
      <w:pPr>
        <w:ind w:left="740"/>
        <w:spacing w:after="0"/>
        <w:tabs>
          <w:tab w:leader="none" w:pos="1900" w:val="left"/>
        </w:tabs>
        <w:rPr>
          <w:sz w:val="20"/>
          <w:szCs w:val="20"/>
          <w:color w:val="auto"/>
        </w:rPr>
      </w:pPr>
      <w:r>
        <w:rPr>
          <w:rFonts w:ascii="Arial" w:cs="Arial" w:eastAsia="Arial" w:hAnsi="Arial"/>
          <w:sz w:val="18"/>
          <w:szCs w:val="18"/>
          <w:i w:val="1"/>
          <w:iCs w:val="1"/>
          <w:color w:val="auto"/>
        </w:rPr>
        <w:t>Section 18.</w:t>
      </w:r>
      <w:r>
        <w:rPr>
          <w:sz w:val="20"/>
          <w:szCs w:val="20"/>
          <w:color w:val="auto"/>
        </w:rPr>
        <w:tab/>
      </w:r>
      <w:r>
        <w:rPr>
          <w:rFonts w:ascii="Arial" w:cs="Arial" w:eastAsia="Arial" w:hAnsi="Arial"/>
          <w:sz w:val="16"/>
          <w:szCs w:val="16"/>
          <w:i w:val="1"/>
          <w:iCs w:val="1"/>
          <w:color w:val="auto"/>
        </w:rPr>
        <w:t>Contribution with Respect to Liabilities</w:t>
      </w:r>
      <w:r>
        <w:rPr>
          <w:rFonts w:ascii="Arial" w:cs="Arial" w:eastAsia="Arial" w:hAnsi="Arial"/>
          <w:sz w:val="16"/>
          <w:szCs w:val="16"/>
          <w:color w:val="auto"/>
        </w:rPr>
        <w:t>.</w:t>
      </w:r>
    </w:p>
    <w:p>
      <w:pPr>
        <w:spacing w:after="0" w:line="225" w:lineRule="exact"/>
        <w:rPr>
          <w:sz w:val="20"/>
          <w:szCs w:val="20"/>
          <w:color w:val="auto"/>
        </w:rPr>
      </w:pPr>
    </w:p>
    <w:p>
      <w:pPr>
        <w:ind w:right="60" w:firstLine="1332"/>
        <w:spacing w:after="0" w:line="254" w:lineRule="auto"/>
        <w:tabs>
          <w:tab w:leader="none" w:pos="1942"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To the extent that any Guarantor shall make a payment under this Guaranty (a “</w:t>
      </w:r>
      <w:r>
        <w:rPr>
          <w:rFonts w:ascii="Arial" w:cs="Arial" w:eastAsia="Arial" w:hAnsi="Arial"/>
          <w:sz w:val="18"/>
          <w:szCs w:val="18"/>
          <w:i w:val="1"/>
          <w:iCs w:val="1"/>
          <w:color w:val="auto"/>
        </w:rPr>
        <w:t>Guarantor Payment</w:t>
      </w:r>
      <w:r>
        <w:rPr>
          <w:rFonts w:ascii="Arial" w:cs="Arial" w:eastAsia="Arial" w:hAnsi="Arial"/>
          <w:sz w:val="18"/>
          <w:szCs w:val="18"/>
          <w:color w:val="auto"/>
        </w:rPr>
        <w:t>”) which, taking into account all other Guarantor Payments then previously or concurrently made by any other Guarantor, exceeds the amount which otherwise would have been paid by or attributable to such Guarantor if each Guarantor had paid the aggregate Liabilities satisfied by such Guarantor Payment in the same proportion as such Guarantor’s “Allocable Amount” (as defined below) (as determined immediately prior to such Guarantor Payment) bore to the aggregate Allocable Amounts of each of the Guarantors as determined immediately prior to the making of such Guarantor Payment, then, following indefeasible payment in full in cash of the Liabilities and termination of this Guaranty, such Guarantor shall be entitled to receive contribution and indemnification payments from, and be reimbursed by, each other Guarantor for the amount of such excess, pro rata based upon their respective Allocable Amounts in effect immediately prior to such Guarantor Payment.</w:t>
      </w:r>
    </w:p>
    <w:p>
      <w:pPr>
        <w:spacing w:after="0" w:line="192" w:lineRule="exact"/>
        <w:rPr>
          <w:rFonts w:ascii="Arial" w:cs="Arial" w:eastAsia="Arial" w:hAnsi="Arial"/>
          <w:sz w:val="18"/>
          <w:szCs w:val="18"/>
          <w:color w:val="auto"/>
        </w:rPr>
      </w:pPr>
    </w:p>
    <w:p>
      <w:pPr>
        <w:ind w:right="40" w:firstLine="1332"/>
        <w:spacing w:after="0" w:line="302" w:lineRule="auto"/>
        <w:tabs>
          <w:tab w:leader="none" w:pos="1952" w:val="left"/>
        </w:tabs>
        <w:numPr>
          <w:ilvl w:val="0"/>
          <w:numId w:val="341"/>
        </w:numPr>
        <w:rPr>
          <w:rFonts w:ascii="Arial" w:cs="Arial" w:eastAsia="Arial" w:hAnsi="Arial"/>
          <w:sz w:val="16"/>
          <w:szCs w:val="16"/>
          <w:color w:val="auto"/>
        </w:rPr>
      </w:pPr>
      <w:r>
        <w:rPr>
          <w:rFonts w:ascii="Arial" w:cs="Arial" w:eastAsia="Arial" w:hAnsi="Arial"/>
          <w:sz w:val="16"/>
          <w:szCs w:val="16"/>
          <w:color w:val="auto"/>
        </w:rPr>
        <w:t>As of any date of determination, the “Allocable Amount” of any Guarantor shall be equal to the excess of the fair saleable value of the property of such Guarantor over the total liabilities of such Guarantor (including the maximum amount reasonably expected to become due in respect of contingent liabilities, calculated, without duplication, assuming each other Guarantor that is also liable for such contingent liability pays its ratable share thereof), giving effect to all payments made by other Guarantors as of such date in a manner to maximize the amount of such contributions.</w:t>
      </w:r>
    </w:p>
    <w:p>
      <w:pPr>
        <w:spacing w:after="0" w:line="154" w:lineRule="exact"/>
        <w:rPr>
          <w:rFonts w:ascii="Arial" w:cs="Arial" w:eastAsia="Arial" w:hAnsi="Arial"/>
          <w:sz w:val="16"/>
          <w:szCs w:val="16"/>
          <w:color w:val="auto"/>
        </w:rPr>
      </w:pPr>
    </w:p>
    <w:p>
      <w:pPr>
        <w:ind w:right="120" w:firstLine="1332"/>
        <w:spacing w:after="0" w:line="264" w:lineRule="auto"/>
        <w:tabs>
          <w:tab w:leader="none" w:pos="195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This Section 18 is intended only to define the relative rights of the Guarantors, and nothing set forth in this Section 18 is intended to or shall impair the obligations of the Guarantors, jointly and severally, to pay any amounts as and when the same shall become due and payable in accordance with the terms of this Guaranty.</w:t>
      </w:r>
    </w:p>
    <w:p>
      <w:pPr>
        <w:spacing w:after="0" w:line="181" w:lineRule="exact"/>
        <w:rPr>
          <w:rFonts w:ascii="Arial" w:cs="Arial" w:eastAsia="Arial" w:hAnsi="Arial"/>
          <w:sz w:val="18"/>
          <w:szCs w:val="18"/>
          <w:color w:val="auto"/>
        </w:rPr>
      </w:pPr>
    </w:p>
    <w:p>
      <w:pPr>
        <w:ind w:right="700" w:firstLine="1332"/>
        <w:spacing w:after="0" w:line="277" w:lineRule="auto"/>
        <w:tabs>
          <w:tab w:leader="none" w:pos="1952"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parties hereto acknowledge that the rights of contribution and indemnification hereunder shall constitute assets of the Guarantor or Guarantors to which such contribution and indemnification is owing.</w:t>
      </w:r>
    </w:p>
    <w:p>
      <w:pPr>
        <w:sectPr>
          <w:pgSz w:w="11900" w:h="16838" w:orient="portrait"/>
          <w:cols w:equalWidth="0" w:num="1">
            <w:col w:w="11420"/>
          </w:cols>
          <w:pgMar w:left="240" w:top="125" w:right="239" w:bottom="0" w:gutter="0" w:footer="0" w:header="0"/>
        </w:sectPr>
      </w:pPr>
    </w:p>
    <w:bookmarkStart w:id="158" w:name="page159"/>
    <w:bookmarkEnd w:id="158"/>
    <w:p>
      <w:pPr>
        <w:jc w:val="center"/>
        <w:ind w:right="-2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32"/>
        <w:spacing w:after="0" w:line="277" w:lineRule="auto"/>
        <w:tabs>
          <w:tab w:leader="none" w:pos="1955"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rights of the indemnifying Guarantors against other Guarantors under this Section 18 shall be exercisable upon the full and indefeasible payment of the Liabilities in cash and the termination of this Guaranty pursuant to Section 17.</w:t>
      </w:r>
    </w:p>
    <w:p>
      <w:pPr>
        <w:spacing w:after="0" w:line="17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[END OF PAGE]</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[SIGNATURE PAGES FOLLOW]</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each Initial Guarantor has caused this Guaranty to be executed and delivered as of the date first above written.</w:t>
      </w:r>
    </w:p>
    <w:p>
      <w:pPr>
        <w:spacing w:after="0" w:line="200" w:lineRule="exact"/>
        <w:rPr>
          <w:sz w:val="20"/>
          <w:szCs w:val="20"/>
          <w:color w:val="auto"/>
        </w:rPr>
      </w:pPr>
    </w:p>
    <w:p>
      <w:pPr>
        <w:spacing w:after="0" w:line="25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as Parent Guarantor</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Dominick Agron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Dominick Agron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Treasurer</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[Signature Page to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REGENERON HEALTHCARE SOLUTIONS, INC.,</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as a Subsidiary Guarantor</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Robert J. Terifay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Robert J. Terifay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General Manager</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[Signature Page to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REGENERON GENETICS CENTER LLC,</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as a Subsidiary Guarantor</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Christopher Fenimore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Christopher Fenimore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[Signature Page to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of the date first written above:</w:t>
      </w:r>
    </w:p>
    <w:p>
      <w:pPr>
        <w:spacing w:after="0" w:line="211" w:lineRule="exact"/>
        <w:rPr>
          <w:sz w:val="20"/>
          <w:szCs w:val="20"/>
          <w:color w:val="auto"/>
        </w:rPr>
      </w:pPr>
    </w:p>
    <w:p>
      <w:pPr>
        <w:jc w:val="right"/>
        <w:ind w:right="326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right"/>
        <w:ind w:right="332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Aamir Saleem</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Aamir Saleem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[Signature Page to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ANNEX I TO GUARANTY</w:t>
      </w:r>
    </w:p>
    <w:p>
      <w:pPr>
        <w:sectPr>
          <w:pgSz w:w="11900" w:h="16838" w:orient="portrait"/>
          <w:cols w:equalWidth="0" w:num="1">
            <w:col w:w="11120"/>
          </w:cols>
          <w:pgMar w:left="240" w:top="125" w:right="539" w:bottom="0" w:gutter="0" w:footer="0" w:header="0"/>
        </w:sectPr>
      </w:pPr>
    </w:p>
    <w:bookmarkStart w:id="159" w:name="page160"/>
    <w:bookmarkEnd w:id="159"/>
    <w:p>
      <w:pPr>
        <w:ind w:left="660"/>
        <w:spacing w:after="0"/>
        <w:rPr>
          <w:sz w:val="20"/>
          <w:szCs w:val="20"/>
          <w:color w:val="auto"/>
        </w:rPr>
      </w:pPr>
      <w:r>
        <w:rPr>
          <w:rFonts w:ascii="Arial" w:cs="Arial" w:eastAsia="Arial" w:hAnsi="Arial"/>
          <w:sz w:val="16"/>
          <w:szCs w:val="16"/>
          <w:color w:val="auto"/>
        </w:rPr>
        <w:t>Reference is hereby made to the Guaranty, dated as of March 3 2017 (as amended, restated, supplemented or otherwise modified from time to time,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i w:val="1"/>
          <w:iCs w:val="1"/>
          <w:color w:val="auto"/>
        </w:rPr>
        <w:t>Guaranty</w:t>
      </w:r>
      <w:r>
        <w:rPr>
          <w:rFonts w:ascii="Arial" w:cs="Arial" w:eastAsia="Arial" w:hAnsi="Arial"/>
          <w:sz w:val="17"/>
          <w:szCs w:val="17"/>
          <w:color w:val="auto"/>
        </w:rPr>
        <w:t>”), made by (i) REGENERON PHARMACEUTICALS, INC., a New York corporation (the “</w:t>
      </w:r>
      <w:r>
        <w:rPr>
          <w:rFonts w:ascii="Arial" w:cs="Arial" w:eastAsia="Arial" w:hAnsi="Arial"/>
          <w:sz w:val="17"/>
          <w:szCs w:val="17"/>
          <w:i w:val="1"/>
          <w:iCs w:val="1"/>
          <w:color w:val="auto"/>
        </w:rPr>
        <w:t>Parent Guarantor</w:t>
      </w:r>
      <w:r>
        <w:rPr>
          <w:rFonts w:ascii="Arial" w:cs="Arial" w:eastAsia="Arial" w:hAnsi="Arial"/>
          <w:sz w:val="17"/>
          <w:szCs w:val="17"/>
          <w:color w:val="auto"/>
        </w:rPr>
        <w:t>”) and (ii) each Subsidiary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Parent Guarantor party thereto from time to time as a Subsidiary Guarantor, and together with the New Subsidiary Guarantor (as defined below)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 Guarantors</w:t>
      </w:r>
      <w:r>
        <w:rPr>
          <w:rFonts w:ascii="Arial" w:cs="Arial" w:eastAsia="Arial" w:hAnsi="Arial"/>
          <w:sz w:val="16"/>
          <w:szCs w:val="16"/>
          <w:color w:val="auto"/>
        </w:rPr>
        <w:t>”) in favor of (a) each Participant, and (b) the Administrative Agent, for the benefit of itself and the other Beneficiaries. Capitalized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terms used herein and not defined herein shall have the meanings given to them in the Guaranty. By its execution below, the undersigned </w:t>
      </w:r>
      <w:r>
        <w:rPr>
          <w:rFonts w:ascii="Arial" w:cs="Arial" w:eastAsia="Arial" w:hAnsi="Arial"/>
          <w:sz w:val="16"/>
          <w:szCs w:val="16"/>
          <w:b w:val="1"/>
          <w:bCs w:val="1"/>
          <w:color w:val="auto"/>
        </w:rPr>
        <w:t>[NAME OF NEW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SUBSIDIARY GUARANTOR]</w:t>
      </w:r>
      <w:r>
        <w:rPr>
          <w:rFonts w:ascii="Arial" w:cs="Arial" w:eastAsia="Arial" w:hAnsi="Arial"/>
          <w:sz w:val="16"/>
          <w:szCs w:val="16"/>
          <w:color w:val="auto"/>
        </w:rPr>
        <w:t>, a</w:t>
      </w:r>
      <w:r>
        <w:rPr>
          <w:rFonts w:ascii="Arial" w:cs="Arial" w:eastAsia="Arial" w:hAnsi="Arial"/>
          <w:sz w:val="16"/>
          <w:szCs w:val="16"/>
          <w:b w:val="1"/>
          <w:bCs w:val="1"/>
          <w:color w:val="auto"/>
        </w:rPr>
        <w:t xml:space="preserve"> [corporation] [partnership] [limited liability company] </w:t>
      </w:r>
      <w:r>
        <w:rPr>
          <w:rFonts w:ascii="Arial" w:cs="Arial" w:eastAsia="Arial" w:hAnsi="Arial"/>
          <w:sz w:val="16"/>
          <w:szCs w:val="16"/>
          <w:color w:val="auto"/>
        </w:rPr>
        <w:t>(the “</w:t>
      </w:r>
      <w:r>
        <w:rPr>
          <w:rFonts w:ascii="Arial" w:cs="Arial" w:eastAsia="Arial" w:hAnsi="Arial"/>
          <w:sz w:val="16"/>
          <w:szCs w:val="16"/>
          <w:i w:val="1"/>
          <w:iCs w:val="1"/>
          <w:color w:val="auto"/>
        </w:rPr>
        <w:t>New Subsidiary Guarantor</w:t>
      </w:r>
      <w:r>
        <w:rPr>
          <w:rFonts w:ascii="Arial" w:cs="Arial" w:eastAsia="Arial" w:hAnsi="Arial"/>
          <w:sz w:val="16"/>
          <w:szCs w:val="16"/>
          <w:color w:val="auto"/>
        </w:rPr>
        <w:t>”), agrees to become, and does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hereby become, a Subsidiary Guarantor under the Guaranty and agrees to be bound by such Guaranty as if originally a party thereto. By its execution below,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represents and warrants as to itself that all of the representations and warranties contained in Section 7 of the Guaranty that are applicable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Subsidiary Guarantor or a Subsidiary of the Parent Guarantor are true and correct in all material respects (or, in the case of any representation or warranty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qualified by materiality or Material Adverse Effect, in all respects) as of the date hereof except to the extent that such representations and warranties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specifically refer to an earlier date, in which case they are true and correct in all material respects (or, in the case of any representation or warranty qualified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materiality or Material Adverse Effect, in all respects) as of such earlier date.</w:t>
      </w:r>
    </w:p>
    <w:p>
      <w:pPr>
        <w:sectPr>
          <w:pgSz w:w="11900" w:h="16838" w:orient="portrait"/>
          <w:cols w:equalWidth="0" w:num="1">
            <w:col w:w="11460"/>
          </w:cols>
          <w:pgMar w:left="240" w:top="125" w:right="199" w:bottom="45"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of this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160" w:hanging="346"/>
        <w:spacing w:after="0" w:line="277" w:lineRule="auto"/>
        <w:rPr>
          <w:sz w:val="20"/>
          <w:szCs w:val="20"/>
          <w:color w:val="auto"/>
        </w:rPr>
      </w:pPr>
      <w:r>
        <w:rPr>
          <w:rFonts w:ascii="Arial" w:cs="Arial" w:eastAsia="Arial" w:hAnsi="Arial"/>
          <w:sz w:val="18"/>
          <w:szCs w:val="18"/>
          <w:color w:val="auto"/>
        </w:rPr>
        <w:t>IN WITNESS WHEREOF, the New Subsidiary Guarantor has caused this Annex I counterpart to the Guaranty to be duly executed and delivered as day of , 20 .</w:t>
      </w:r>
    </w:p>
    <w:p>
      <w:pPr>
        <w:spacing w:after="0" w:line="170" w:lineRule="exact"/>
        <w:rPr>
          <w:sz w:val="20"/>
          <w:szCs w:val="20"/>
          <w:color w:val="auto"/>
        </w:rPr>
      </w:pPr>
    </w:p>
    <w:p>
      <w:pPr>
        <w:sectPr>
          <w:pgSz w:w="11900" w:h="16838" w:orient="portrait"/>
          <w:cols w:equalWidth="0" w:num="2">
            <w:col w:w="460" w:space="540"/>
            <w:col w:w="10460"/>
          </w:cols>
          <w:pgMar w:left="240" w:top="125" w:right="199" w:bottom="45" w:gutter="0" w:footer="0" w:header="0"/>
          <w:type w:val="continuous"/>
        </w:sectPr>
      </w:pPr>
    </w:p>
    <w:p>
      <w:pPr>
        <w:ind w:left="5720"/>
        <w:spacing w:after="0"/>
        <w:rPr>
          <w:sz w:val="20"/>
          <w:szCs w:val="20"/>
          <w:color w:val="auto"/>
        </w:rPr>
      </w:pPr>
      <w:r>
        <w:rPr>
          <w:rFonts w:ascii="Arial" w:cs="Arial" w:eastAsia="Arial" w:hAnsi="Arial"/>
          <w:sz w:val="18"/>
          <w:szCs w:val="18"/>
          <w:color w:val="auto"/>
        </w:rPr>
        <w:t>[NAME OF NEW SUBSIDIARY GUARANTOR]</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5715</wp:posOffset>
            </wp:positionV>
            <wp:extent cx="283845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83845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-130810</wp:posOffset>
            </wp:positionV>
            <wp:extent cx="283845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8384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40" w:type="dxa"/>
            <w:vAlign w:val="bottom"/>
          </w:tcPr>
          <w:p>
            <w:pPr>
              <w:ind w:left="2040"/>
              <w:spacing w:after="0"/>
              <w:rPr>
                <w:sz w:val="20"/>
                <w:szCs w:val="20"/>
                <w:color w:val="auto"/>
              </w:rPr>
            </w:pPr>
            <w:r>
              <w:rPr>
                <w:rFonts w:ascii="Arial" w:cs="Arial" w:eastAsia="Arial" w:hAnsi="Arial"/>
                <w:sz w:val="18"/>
                <w:szCs w:val="18"/>
                <w:b w:val="1"/>
                <w:bCs w:val="1"/>
                <w:color w:val="auto"/>
              </w:rPr>
              <w:t>SCHEDULES TO GUARANTY:</w:t>
            </w:r>
          </w:p>
        </w:tc>
      </w:tr>
      <w:tr>
        <w:trPr>
          <w:trHeight w:val="414"/>
        </w:trPr>
        <w:tc>
          <w:tcPr>
            <w:tcW w:w="1680" w:type="dxa"/>
            <w:vAlign w:val="bottom"/>
          </w:tcPr>
          <w:p>
            <w:pPr>
              <w:spacing w:after="0"/>
              <w:rPr>
                <w:sz w:val="20"/>
                <w:szCs w:val="20"/>
                <w:color w:val="auto"/>
              </w:rPr>
            </w:pPr>
            <w:r>
              <w:rPr>
                <w:rFonts w:ascii="Arial" w:cs="Arial" w:eastAsia="Arial" w:hAnsi="Arial"/>
                <w:sz w:val="18"/>
                <w:szCs w:val="18"/>
                <w:b w:val="1"/>
                <w:bCs w:val="1"/>
                <w:color w:val="auto"/>
              </w:rPr>
              <w:t>SCHEDULE 7(A)</w:t>
            </w:r>
          </w:p>
        </w:tc>
        <w:tc>
          <w:tcPr>
            <w:tcW w:w="740" w:type="dxa"/>
            <w:vAlign w:val="bottom"/>
          </w:tcPr>
          <w:p>
            <w:pPr>
              <w:ind w:left="320"/>
              <w:spacing w:after="0"/>
              <w:rPr>
                <w:sz w:val="20"/>
                <w:szCs w:val="20"/>
                <w:color w:val="auto"/>
              </w:rPr>
            </w:pPr>
            <w:r>
              <w:rPr>
                <w:rFonts w:ascii="Arial" w:cs="Arial" w:eastAsia="Arial" w:hAnsi="Arial"/>
                <w:sz w:val="18"/>
                <w:szCs w:val="18"/>
                <w:b w:val="1"/>
                <w:bCs w:val="1"/>
                <w:color w:val="auto"/>
              </w:rPr>
              <w:t>—</w:t>
            </w:r>
          </w:p>
        </w:tc>
        <w:tc>
          <w:tcPr>
            <w:tcW w:w="9040" w:type="dxa"/>
            <w:vAlign w:val="bottom"/>
          </w:tcPr>
          <w:p>
            <w:pPr>
              <w:ind w:left="240"/>
              <w:spacing w:after="0"/>
              <w:rPr>
                <w:sz w:val="20"/>
                <w:szCs w:val="20"/>
                <w:color w:val="auto"/>
              </w:rPr>
            </w:pPr>
            <w:r>
              <w:rPr>
                <w:rFonts w:ascii="Arial" w:cs="Arial" w:eastAsia="Arial" w:hAnsi="Arial"/>
                <w:sz w:val="18"/>
                <w:szCs w:val="18"/>
                <w:b w:val="1"/>
                <w:bCs w:val="1"/>
                <w:color w:val="auto"/>
              </w:rPr>
              <w:t>SUBSIDIARIES</w:t>
            </w:r>
          </w:p>
        </w:tc>
      </w:tr>
      <w:tr>
        <w:trPr>
          <w:trHeight w:val="216"/>
        </w:trPr>
        <w:tc>
          <w:tcPr>
            <w:tcW w:w="1680" w:type="dxa"/>
            <w:vAlign w:val="bottom"/>
          </w:tcPr>
          <w:p>
            <w:pPr>
              <w:spacing w:after="0"/>
              <w:rPr>
                <w:sz w:val="20"/>
                <w:szCs w:val="20"/>
                <w:color w:val="auto"/>
              </w:rPr>
            </w:pPr>
            <w:r>
              <w:rPr>
                <w:rFonts w:ascii="Arial" w:cs="Arial" w:eastAsia="Arial" w:hAnsi="Arial"/>
                <w:sz w:val="18"/>
                <w:szCs w:val="18"/>
                <w:b w:val="1"/>
                <w:bCs w:val="1"/>
                <w:color w:val="auto"/>
              </w:rPr>
              <w:t>SCHEDULE 9(A)</w:t>
            </w:r>
          </w:p>
        </w:tc>
        <w:tc>
          <w:tcPr>
            <w:tcW w:w="740" w:type="dxa"/>
            <w:vAlign w:val="bottom"/>
          </w:tcPr>
          <w:p>
            <w:pPr>
              <w:ind w:left="320"/>
              <w:spacing w:after="0"/>
              <w:rPr>
                <w:sz w:val="20"/>
                <w:szCs w:val="20"/>
                <w:color w:val="auto"/>
              </w:rPr>
            </w:pPr>
            <w:r>
              <w:rPr>
                <w:rFonts w:ascii="Arial" w:cs="Arial" w:eastAsia="Arial" w:hAnsi="Arial"/>
                <w:sz w:val="18"/>
                <w:szCs w:val="18"/>
                <w:b w:val="1"/>
                <w:bCs w:val="1"/>
                <w:color w:val="auto"/>
              </w:rPr>
              <w:t>—</w:t>
            </w:r>
          </w:p>
        </w:tc>
        <w:tc>
          <w:tcPr>
            <w:tcW w:w="9040" w:type="dxa"/>
            <w:vAlign w:val="bottom"/>
          </w:tcPr>
          <w:p>
            <w:pPr>
              <w:ind w:left="240"/>
              <w:spacing w:after="0"/>
              <w:rPr>
                <w:sz w:val="20"/>
                <w:szCs w:val="20"/>
                <w:color w:val="auto"/>
              </w:rPr>
            </w:pPr>
            <w:r>
              <w:rPr>
                <w:rFonts w:ascii="Arial" w:cs="Arial" w:eastAsia="Arial" w:hAnsi="Arial"/>
                <w:sz w:val="18"/>
                <w:szCs w:val="18"/>
                <w:b w:val="1"/>
                <w:bCs w:val="1"/>
                <w:color w:val="auto"/>
              </w:rPr>
              <w:t>EXISTING INDEBTEDNESS</w:t>
            </w:r>
          </w:p>
        </w:tc>
      </w:tr>
      <w:tr>
        <w:trPr>
          <w:trHeight w:val="234"/>
        </w:trPr>
        <w:tc>
          <w:tcPr>
            <w:tcW w:w="1680" w:type="dxa"/>
            <w:vAlign w:val="bottom"/>
          </w:tcPr>
          <w:p>
            <w:pPr>
              <w:spacing w:after="0"/>
              <w:rPr>
                <w:sz w:val="20"/>
                <w:szCs w:val="20"/>
                <w:color w:val="auto"/>
              </w:rPr>
            </w:pPr>
            <w:r>
              <w:rPr>
                <w:rFonts w:ascii="Arial" w:cs="Arial" w:eastAsia="Arial" w:hAnsi="Arial"/>
                <w:sz w:val="18"/>
                <w:szCs w:val="18"/>
                <w:b w:val="1"/>
                <w:bCs w:val="1"/>
                <w:color w:val="auto"/>
              </w:rPr>
              <w:t>SCHEDULE 9(B)</w:t>
            </w:r>
          </w:p>
        </w:tc>
        <w:tc>
          <w:tcPr>
            <w:tcW w:w="740" w:type="dxa"/>
            <w:vAlign w:val="bottom"/>
          </w:tcPr>
          <w:p>
            <w:pPr>
              <w:ind w:left="320"/>
              <w:spacing w:after="0"/>
              <w:rPr>
                <w:sz w:val="20"/>
                <w:szCs w:val="20"/>
                <w:color w:val="auto"/>
              </w:rPr>
            </w:pPr>
            <w:r>
              <w:rPr>
                <w:rFonts w:ascii="Arial" w:cs="Arial" w:eastAsia="Arial" w:hAnsi="Arial"/>
                <w:sz w:val="18"/>
                <w:szCs w:val="18"/>
                <w:b w:val="1"/>
                <w:bCs w:val="1"/>
                <w:color w:val="auto"/>
              </w:rPr>
              <w:t>—</w:t>
            </w:r>
          </w:p>
        </w:tc>
        <w:tc>
          <w:tcPr>
            <w:tcW w:w="9040" w:type="dxa"/>
            <w:vAlign w:val="bottom"/>
          </w:tcPr>
          <w:p>
            <w:pPr>
              <w:ind w:left="220"/>
              <w:spacing w:after="0"/>
              <w:rPr>
                <w:sz w:val="20"/>
                <w:szCs w:val="20"/>
                <w:color w:val="auto"/>
              </w:rPr>
            </w:pPr>
            <w:r>
              <w:rPr>
                <w:rFonts w:ascii="Arial" w:cs="Arial" w:eastAsia="Arial" w:hAnsi="Arial"/>
                <w:sz w:val="18"/>
                <w:szCs w:val="18"/>
                <w:b w:val="1"/>
                <w:bCs w:val="1"/>
                <w:color w:val="auto"/>
              </w:rPr>
              <w:t>EXISTING LIENS</w:t>
            </w:r>
          </w:p>
        </w:tc>
      </w:tr>
      <w:tr>
        <w:trPr>
          <w:trHeight w:val="348"/>
        </w:trPr>
        <w:tc>
          <w:tcPr>
            <w:tcW w:w="16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9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7(A) TO GUARANTY</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SUBSIDIARIES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vMerge w:val="restart"/>
          </w:tcPr>
          <w:p>
            <w:pPr>
              <w:spacing w:after="0"/>
              <w:rPr>
                <w:sz w:val="20"/>
                <w:szCs w:val="20"/>
                <w:color w:val="auto"/>
              </w:rPr>
            </w:pPr>
            <w:r>
              <w:rPr>
                <w:rFonts w:ascii="Arial" w:cs="Arial" w:eastAsia="Arial" w:hAnsi="Arial"/>
                <w:sz w:val="14"/>
                <w:szCs w:val="14"/>
                <w:b w:val="1"/>
                <w:bCs w:val="1"/>
                <w:color w:val="auto"/>
              </w:rPr>
              <w:t>Owner</w:t>
            </w:r>
          </w:p>
        </w:tc>
        <w:tc>
          <w:tcPr>
            <w:tcW w:w="280" w:type="dxa"/>
            <w:vAlign w:val="bottom"/>
          </w:tcPr>
          <w:p>
            <w:pPr>
              <w:spacing w:after="0"/>
              <w:rPr>
                <w:sz w:val="14"/>
                <w:szCs w:val="14"/>
                <w:color w:val="auto"/>
              </w:rPr>
            </w:pPr>
          </w:p>
        </w:tc>
        <w:tc>
          <w:tcPr>
            <w:tcW w:w="2880" w:type="dxa"/>
            <w:vAlign w:val="bottom"/>
            <w:vMerge w:val="restart"/>
          </w:tcPr>
          <w:p>
            <w:pPr>
              <w:ind w:left="1100"/>
              <w:spacing w:after="0"/>
              <w:rPr>
                <w:sz w:val="20"/>
                <w:szCs w:val="20"/>
                <w:color w:val="auto"/>
              </w:rPr>
            </w:pPr>
            <w:r>
              <w:rPr>
                <w:rFonts w:ascii="Arial" w:cs="Arial" w:eastAsia="Arial" w:hAnsi="Arial"/>
                <w:sz w:val="14"/>
                <w:szCs w:val="14"/>
                <w:b w:val="1"/>
                <w:bCs w:val="1"/>
                <w:color w:val="auto"/>
              </w:rPr>
              <w:t>Subsidiary</w:t>
            </w:r>
          </w:p>
        </w:tc>
        <w:tc>
          <w:tcPr>
            <w:tcW w:w="280" w:type="dxa"/>
            <w:vAlign w:val="bottom"/>
          </w:tcPr>
          <w:p>
            <w:pPr>
              <w:spacing w:after="0"/>
              <w:rPr>
                <w:sz w:val="14"/>
                <w:szCs w:val="14"/>
                <w:color w:val="auto"/>
              </w:rPr>
            </w:pPr>
          </w:p>
        </w:tc>
        <w:tc>
          <w:tcPr>
            <w:tcW w:w="900" w:type="dxa"/>
            <w:vAlign w:val="bottom"/>
          </w:tcPr>
          <w:p>
            <w:pPr>
              <w:ind w:left="180"/>
              <w:spacing w:after="0"/>
              <w:rPr>
                <w:sz w:val="20"/>
                <w:szCs w:val="20"/>
                <w:color w:val="auto"/>
              </w:rPr>
            </w:pPr>
            <w:r>
              <w:rPr>
                <w:rFonts w:ascii="Arial" w:cs="Arial" w:eastAsia="Arial" w:hAnsi="Arial"/>
                <w:sz w:val="14"/>
                <w:szCs w:val="14"/>
                <w:b w:val="1"/>
                <w:bCs w:val="1"/>
                <w:color w:val="auto"/>
              </w:rPr>
              <w:t>Material</w:t>
            </w:r>
          </w:p>
        </w:tc>
        <w:tc>
          <w:tcPr>
            <w:tcW w:w="280" w:type="dxa"/>
            <w:vAlign w:val="bottom"/>
          </w:tcPr>
          <w:p>
            <w:pPr>
              <w:spacing w:after="0"/>
              <w:rPr>
                <w:sz w:val="14"/>
                <w:szCs w:val="14"/>
                <w:color w:val="auto"/>
              </w:rPr>
            </w:pPr>
          </w:p>
        </w:tc>
        <w:tc>
          <w:tcPr>
            <w:tcW w:w="1760" w:type="dxa"/>
            <w:vAlign w:val="bottom"/>
            <w:gridSpan w:val="2"/>
          </w:tcPr>
          <w:p>
            <w:pPr>
              <w:ind w:left="300"/>
              <w:spacing w:after="0"/>
              <w:rPr>
                <w:sz w:val="20"/>
                <w:szCs w:val="20"/>
                <w:color w:val="auto"/>
              </w:rPr>
            </w:pPr>
            <w:r>
              <w:rPr>
                <w:rFonts w:ascii="Arial" w:cs="Arial" w:eastAsia="Arial" w:hAnsi="Arial"/>
                <w:sz w:val="14"/>
                <w:szCs w:val="14"/>
                <w:b w:val="1"/>
                <w:bCs w:val="1"/>
                <w:color w:val="auto"/>
              </w:rPr>
              <w:t>Jurisdiction of</w:t>
            </w:r>
          </w:p>
        </w:tc>
        <w:tc>
          <w:tcPr>
            <w:tcW w:w="10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Ownership</w:t>
            </w:r>
          </w:p>
        </w:tc>
        <w:tc>
          <w:tcPr>
            <w:tcW w:w="5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88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Subsidiary</w:t>
            </w:r>
          </w:p>
        </w:tc>
        <w:tc>
          <w:tcPr>
            <w:tcW w:w="2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Organization</w:t>
            </w:r>
          </w:p>
        </w:tc>
        <w:tc>
          <w:tcPr>
            <w:tcW w:w="2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Regeneron Pharmaceuticals, Inc.</w:t>
            </w:r>
          </w:p>
        </w:tc>
        <w:tc>
          <w:tcPr>
            <w:tcW w:w="2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Regeneron Genetics Center LLC</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No.</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2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5"/>
              </w:rPr>
              <w:t>Regeneron Healthcare Solutions, Inc.</w:t>
            </w: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w:t>
            </w:r>
          </w:p>
        </w:tc>
        <w:tc>
          <w:tcPr>
            <w:tcW w:w="20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New York</w:t>
            </w: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3"/>
              </w:rPr>
              <w:t>Regeneron International Holdings LLC</w:t>
            </w: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w:t>
            </w:r>
          </w:p>
        </w:tc>
        <w:tc>
          <w:tcPr>
            <w:tcW w:w="20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Delaware</w:t>
            </w: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Old Saw Mill Holdings LLC</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No.</w:t>
            </w:r>
          </w:p>
        </w:tc>
        <w:tc>
          <w:tcPr>
            <w:tcW w:w="20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New York</w:t>
            </w: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Loop Road Holdings LLC</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No.</w:t>
            </w:r>
          </w:p>
        </w:tc>
        <w:tc>
          <w:tcPr>
            <w:tcW w:w="20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New York</w:t>
            </w: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Regeneron Assurance, Inc.</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No.</w:t>
            </w: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w:t>
            </w: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Rockwood Road Holdings LLC</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No.</w:t>
            </w:r>
          </w:p>
        </w:tc>
        <w:tc>
          <w:tcPr>
            <w:tcW w:w="2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w:t>
            </w: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rPr>
              <w:t>Regeneron International Holdings LLC</w:t>
            </w:r>
          </w:p>
        </w:tc>
        <w:tc>
          <w:tcPr>
            <w:tcW w:w="280" w:type="dxa"/>
            <w:vAlign w:val="bottom"/>
          </w:tcPr>
          <w:p>
            <w:pPr>
              <w:spacing w:after="0"/>
              <w:rPr>
                <w:sz w:val="17"/>
                <w:szCs w:val="17"/>
                <w:color w:val="auto"/>
              </w:rPr>
            </w:pPr>
          </w:p>
        </w:tc>
        <w:tc>
          <w:tcPr>
            <w:tcW w:w="2880" w:type="dxa"/>
            <w:vAlign w:val="bottom"/>
          </w:tcPr>
          <w:p>
            <w:pPr>
              <w:spacing w:after="0" w:line="201" w:lineRule="exact"/>
              <w:rPr>
                <w:sz w:val="20"/>
                <w:szCs w:val="20"/>
                <w:color w:val="auto"/>
              </w:rPr>
            </w:pPr>
            <w:r>
              <w:rPr>
                <w:rFonts w:ascii="Arial" w:cs="Arial" w:eastAsia="Arial" w:hAnsi="Arial"/>
                <w:sz w:val="18"/>
                <w:szCs w:val="18"/>
                <w:color w:val="auto"/>
              </w:rPr>
              <w:t>OSMR Holdings</w:t>
            </w:r>
          </w:p>
        </w:tc>
        <w:tc>
          <w:tcPr>
            <w:tcW w:w="28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No.</w:t>
            </w:r>
          </w:p>
        </w:tc>
        <w:tc>
          <w:tcPr>
            <w:tcW w:w="280" w:type="dxa"/>
            <w:vAlign w:val="bottom"/>
          </w:tcPr>
          <w:p>
            <w:pPr>
              <w:spacing w:after="0"/>
              <w:rPr>
                <w:sz w:val="17"/>
                <w:szCs w:val="17"/>
                <w:color w:val="auto"/>
              </w:rPr>
            </w:pPr>
          </w:p>
        </w:tc>
        <w:tc>
          <w:tcPr>
            <w:tcW w:w="1760" w:type="dxa"/>
            <w:vAlign w:val="bottom"/>
            <w:gridSpan w:val="2"/>
          </w:tcPr>
          <w:p>
            <w:pPr>
              <w:spacing w:after="0" w:line="201" w:lineRule="exact"/>
              <w:rPr>
                <w:sz w:val="20"/>
                <w:szCs w:val="20"/>
                <w:color w:val="auto"/>
              </w:rPr>
            </w:pPr>
            <w:r>
              <w:rPr>
                <w:rFonts w:ascii="Arial" w:cs="Arial" w:eastAsia="Arial" w:hAnsi="Arial"/>
                <w:sz w:val="18"/>
                <w:szCs w:val="18"/>
                <w:color w:val="auto"/>
              </w:rPr>
              <w:t>Bermuda</w:t>
            </w:r>
          </w:p>
        </w:tc>
        <w:tc>
          <w:tcPr>
            <w:tcW w:w="154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OSMR International</w:t>
            </w: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No.</w:t>
            </w:r>
          </w:p>
        </w:tc>
        <w:tc>
          <w:tcPr>
            <w:tcW w:w="2040" w:type="dxa"/>
            <w:vAlign w:val="bottom"/>
            <w:gridSpan w:val="3"/>
          </w:tcPr>
          <w:p>
            <w:pPr>
              <w:ind w:left="280"/>
              <w:spacing w:after="0"/>
              <w:rPr>
                <w:sz w:val="20"/>
                <w:szCs w:val="20"/>
                <w:color w:val="auto"/>
              </w:rPr>
            </w:pPr>
            <w:r>
              <w:rPr>
                <w:rFonts w:ascii="Arial" w:cs="Arial" w:eastAsia="Arial" w:hAnsi="Arial"/>
                <w:sz w:val="18"/>
                <w:szCs w:val="18"/>
                <w:color w:val="auto"/>
              </w:rPr>
              <w:t>Bermuda</w:t>
            </w: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Regeneron International Unlimited</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Company</w:t>
            </w: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No.</w:t>
            </w:r>
          </w:p>
        </w:tc>
        <w:tc>
          <w:tcPr>
            <w:tcW w:w="2040" w:type="dxa"/>
            <w:vAlign w:val="bottom"/>
            <w:gridSpan w:val="3"/>
          </w:tcPr>
          <w:p>
            <w:pPr>
              <w:ind w:left="280"/>
              <w:spacing w:after="0"/>
              <w:rPr>
                <w:sz w:val="20"/>
                <w:szCs w:val="20"/>
                <w:color w:val="auto"/>
              </w:rPr>
            </w:pPr>
            <w:r>
              <w:rPr>
                <w:rFonts w:ascii="Arial" w:cs="Arial" w:eastAsia="Arial" w:hAnsi="Arial"/>
                <w:sz w:val="18"/>
                <w:szCs w:val="18"/>
                <w:color w:val="auto"/>
              </w:rPr>
              <w:t>Ireland</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99.98%(1)</w:t>
            </w:r>
          </w:p>
        </w:tc>
        <w:tc>
          <w:tcPr>
            <w:tcW w:w="0" w:type="dxa"/>
            <w:vAlign w:val="bottom"/>
          </w:tcPr>
          <w:p>
            <w:pPr>
              <w:spacing w:after="0"/>
              <w:rPr>
                <w:sz w:val="1"/>
                <w:szCs w:val="1"/>
                <w:color w:val="auto"/>
              </w:rPr>
            </w:pPr>
          </w:p>
        </w:tc>
      </w:tr>
      <w:tr>
        <w:trPr>
          <w:trHeight w:val="202"/>
        </w:trPr>
        <w:tc>
          <w:tcPr>
            <w:tcW w:w="3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Regeneron International Unlimited Company</w:t>
            </w:r>
          </w:p>
        </w:tc>
        <w:tc>
          <w:tcPr>
            <w:tcW w:w="28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Regeneron Ireland Holdings Unlimited</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Company</w:t>
            </w: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w:t>
            </w:r>
          </w:p>
        </w:tc>
        <w:tc>
          <w:tcPr>
            <w:tcW w:w="20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Ireland</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99.99%(2)</w:t>
            </w:r>
          </w:p>
        </w:tc>
        <w:tc>
          <w:tcPr>
            <w:tcW w:w="0" w:type="dxa"/>
            <w:vAlign w:val="bottom"/>
          </w:tcPr>
          <w:p>
            <w:pPr>
              <w:spacing w:after="0"/>
              <w:rPr>
                <w:sz w:val="1"/>
                <w:szCs w:val="1"/>
                <w:color w:val="auto"/>
              </w:rPr>
            </w:pPr>
          </w:p>
        </w:tc>
      </w:tr>
      <w:tr>
        <w:trPr>
          <w:trHeight w:val="202"/>
        </w:trPr>
        <w:tc>
          <w:tcPr>
            <w:tcW w:w="3500" w:type="dxa"/>
            <w:vAlign w:val="bottom"/>
          </w:tcPr>
          <w:p>
            <w:pPr>
              <w:spacing w:after="0" w:line="201" w:lineRule="exact"/>
              <w:rPr>
                <w:sz w:val="20"/>
                <w:szCs w:val="20"/>
                <w:color w:val="auto"/>
              </w:rPr>
            </w:pPr>
            <w:r>
              <w:rPr>
                <w:rFonts w:ascii="Arial" w:cs="Arial" w:eastAsia="Arial" w:hAnsi="Arial"/>
                <w:sz w:val="18"/>
                <w:szCs w:val="18"/>
                <w:color w:val="auto"/>
              </w:rPr>
              <w:t>Regeneron Ireland Holdings Unlimited</w:t>
            </w:r>
          </w:p>
        </w:tc>
        <w:tc>
          <w:tcPr>
            <w:tcW w:w="2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Company</w:t>
            </w:r>
          </w:p>
        </w:tc>
        <w:tc>
          <w:tcPr>
            <w:tcW w:w="28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8"/>
                <w:szCs w:val="18"/>
                <w:color w:val="auto"/>
                <w:w w:val="91"/>
              </w:rPr>
              <w:t>Regeneron Ireland Unlimited Company</w:t>
            </w: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No.</w:t>
            </w:r>
          </w:p>
        </w:tc>
        <w:tc>
          <w:tcPr>
            <w:tcW w:w="2040" w:type="dxa"/>
            <w:vAlign w:val="bottom"/>
            <w:gridSpan w:val="3"/>
          </w:tcPr>
          <w:p>
            <w:pPr>
              <w:ind w:left="280"/>
              <w:spacing w:after="0"/>
              <w:rPr>
                <w:sz w:val="20"/>
                <w:szCs w:val="20"/>
                <w:color w:val="auto"/>
              </w:rPr>
            </w:pPr>
            <w:r>
              <w:rPr>
                <w:rFonts w:ascii="Arial" w:cs="Arial" w:eastAsia="Arial" w:hAnsi="Arial"/>
                <w:sz w:val="18"/>
                <w:szCs w:val="18"/>
                <w:color w:val="auto"/>
              </w:rPr>
              <w:t>Ireland</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99.99%(3)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Regeneron Ireland Unlimited Company</w:t>
            </w:r>
          </w:p>
        </w:tc>
        <w:tc>
          <w:tcPr>
            <w:tcW w:w="2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7"/>
              </w:rPr>
              <w:t>Regeneron Capital International B.V.</w:t>
            </w: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w:t>
            </w:r>
          </w:p>
        </w:tc>
        <w:tc>
          <w:tcPr>
            <w:tcW w:w="20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Netherlands</w:t>
            </w: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Regeneron UK Limited</w:t>
            </w: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w:t>
            </w:r>
          </w:p>
        </w:tc>
        <w:tc>
          <w:tcPr>
            <w:tcW w:w="20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United Kingdom</w:t>
            </w: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Regeneron Spain, S.L.U.</w:t>
            </w: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w:t>
            </w:r>
          </w:p>
        </w:tc>
        <w:tc>
          <w:tcPr>
            <w:tcW w:w="20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Spain</w:t>
            </w: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Regeneron Belgium BVBA</w:t>
            </w: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w:t>
            </w:r>
          </w:p>
        </w:tc>
        <w:tc>
          <w:tcPr>
            <w:tcW w:w="20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Belgium</w:t>
            </w:r>
          </w:p>
        </w:tc>
        <w:tc>
          <w:tcPr>
            <w:tcW w:w="1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0.02% held by OSMR International.</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0.01% held by OSMR Holdings.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0.01% held by OSMR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9(A) TO GUARANTY</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EXISTING INDEBTEDNESS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45" w:gutter="0" w:footer="0" w:header="0"/>
          <w:type w:val="continuous"/>
        </w:sectPr>
      </w:pPr>
    </w:p>
    <w:bookmarkStart w:id="160" w:name="page161"/>
    <w:bookmarkEnd w:id="160"/>
    <w:p>
      <w:pPr>
        <w:jc w:val="center"/>
        <w:ind w:right="-1200"/>
        <w:spacing w:after="0"/>
        <w:rPr>
          <w:sz w:val="20"/>
          <w:szCs w:val="20"/>
          <w:color w:val="auto"/>
        </w:rPr>
      </w:pPr>
      <w:r>
        <w:rPr>
          <w:rFonts w:ascii="Arial" w:cs="Arial" w:eastAsia="Arial" w:hAnsi="Arial"/>
          <w:sz w:val="17"/>
          <w:szCs w:val="17"/>
          <w:b w:val="1"/>
          <w:bCs w:val="1"/>
          <w:color w:val="auto"/>
        </w:rPr>
        <w:t>SCHEDULE 9(B) TO GUARANTY</w:t>
      </w:r>
    </w:p>
    <w:p>
      <w:pPr>
        <w:spacing w:after="0" w:line="24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EXISTING LIENS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5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2D7B105"/>
    <w:multiLevelType w:val="hybridMultilevel"/>
    <w:lvl w:ilvl="0">
      <w:lvlJc w:val="left"/>
      <w:lvlText w:val="%1."/>
      <w:numFmt w:val="upperLetter"/>
      <w:start w:val="1"/>
    </w:lvl>
  </w:abstractNum>
  <w:abstractNum w:abstractNumId="1">
    <w:nsid w:val="2E8A6394"/>
    <w:multiLevelType w:val="hybridMultilevel"/>
    <w:lvl w:ilvl="0">
      <w:lvlJc w:val="left"/>
      <w:lvlText w:val="%1."/>
      <w:numFmt w:val="upperLetter"/>
      <w:start w:val="4"/>
    </w:lvl>
  </w:abstractNum>
  <w:abstractNum w:abstractNumId="2">
    <w:nsid w:val="24E60401"/>
    <w:multiLevelType w:val="hybridMultilevel"/>
    <w:lvl w:ilvl="0">
      <w:lvlJc w:val="left"/>
      <w:lvlText w:val="(%1)"/>
      <w:numFmt w:val="lowerLetter"/>
      <w:start w:val="2"/>
    </w:lvl>
  </w:abstractNum>
  <w:abstractNum w:abstractNumId="3">
    <w:nsid w:val="2A6AD9BE"/>
    <w:multiLevelType w:val="hybridMultilevel"/>
    <w:lvl w:ilvl="0">
      <w:lvlJc w:val="left"/>
      <w:lvlText w:val="(%1)"/>
      <w:numFmt w:val="lowerLetter"/>
      <w:start w:val="4"/>
    </w:lvl>
    <w:lvl w:ilvl="1">
      <w:lvlJc w:val="left"/>
      <w:lvlText w:val="(%2)"/>
      <w:numFmt w:val="lowerLetter"/>
      <w:start w:val="35"/>
    </w:lvl>
  </w:abstractNum>
  <w:abstractNum w:abstractNumId="4">
    <w:nsid w:val="BAAC1B4"/>
    <w:multiLevelType w:val="hybridMultilevel"/>
    <w:lvl w:ilvl="0">
      <w:lvlJc w:val="left"/>
      <w:lvlText w:val="(%1)"/>
      <w:numFmt w:val="lowerRoman"/>
      <w:start w:val="1"/>
    </w:lvl>
  </w:abstractNum>
  <w:abstractNum w:abstractNumId="5">
    <w:nsid w:val="36B2ACBC"/>
    <w:multiLevelType w:val="hybridMultilevel"/>
    <w:lvl w:ilvl="0">
      <w:lvlJc w:val="left"/>
      <w:lvlText w:val="(%1)"/>
      <w:numFmt w:val="lowerLetter"/>
      <w:start w:val="1"/>
    </w:lvl>
    <w:lvl w:ilvl="1">
      <w:lvlJc w:val="left"/>
      <w:lvlText w:val="(%2)"/>
      <w:numFmt w:val="lowerLetter"/>
      <w:start w:val="2"/>
    </w:lvl>
  </w:abstractNum>
  <w:abstractNum w:abstractNumId="6">
    <w:nsid w:val="779D8544"/>
    <w:multiLevelType w:val="hybridMultilevel"/>
    <w:lvl w:ilvl="0">
      <w:lvlJc w:val="left"/>
      <w:lvlText w:val="(%1)"/>
      <w:numFmt w:val="lowerLetter"/>
      <w:start w:val="1"/>
    </w:lvl>
  </w:abstractNum>
  <w:abstractNum w:abstractNumId="7">
    <w:nsid w:val="4AB26E78"/>
    <w:multiLevelType w:val="hybridMultilevel"/>
    <w:lvl w:ilvl="0">
      <w:lvlJc w:val="left"/>
      <w:lvlText w:val="(%1)"/>
      <w:numFmt w:val="lowerLetter"/>
      <w:start w:val="25"/>
    </w:lvl>
    <w:lvl w:ilvl="1">
      <w:lvlJc w:val="left"/>
      <w:lvlText w:val="(%2)"/>
      <w:numFmt w:val="lowerLetter"/>
      <w:start w:val="2"/>
    </w:lvl>
  </w:abstractNum>
  <w:abstractNum w:abstractNumId="8">
    <w:nsid w:val="21FAA2FA"/>
    <w:multiLevelType w:val="hybridMultilevel"/>
    <w:lvl w:ilvl="0">
      <w:lvlJc w:val="left"/>
      <w:lvlText w:val="(%1)"/>
      <w:numFmt w:val="lowerLetter"/>
      <w:start w:val="3"/>
    </w:lvl>
  </w:abstractNum>
  <w:abstractNum w:abstractNumId="9">
    <w:nsid w:val="5451CF49"/>
    <w:multiLevelType w:val="hybridMultilevel"/>
    <w:lvl w:ilvl="0">
      <w:lvlJc w:val="left"/>
      <w:lvlText w:val="(%1)"/>
      <w:numFmt w:val="lowerLetter"/>
      <w:start w:val="1"/>
    </w:lvl>
    <w:lvl w:ilvl="1">
      <w:lvlJc w:val="left"/>
      <w:lvlText w:val="(%2)"/>
      <w:numFmt w:val="lowerRoman"/>
      <w:start w:val="1"/>
    </w:lvl>
  </w:abstractNum>
  <w:abstractNum w:abstractNumId="10">
    <w:nsid w:val="6181EF69"/>
    <w:multiLevelType w:val="hybridMultilevel"/>
    <w:lvl w:ilvl="0">
      <w:lvlJc w:val="left"/>
      <w:lvlText w:val="(%1)"/>
      <w:numFmt w:val="lowerRoman"/>
      <w:start w:val="3"/>
    </w:lvl>
  </w:abstractNum>
  <w:abstractNum w:abstractNumId="11">
    <w:nsid w:val="3E6400E6"/>
    <w:multiLevelType w:val="hybridMultilevel"/>
    <w:lvl w:ilvl="0">
      <w:lvlJc w:val="left"/>
      <w:lvlText w:val="(%1)"/>
      <w:numFmt w:val="lowerLetter"/>
      <w:start w:val="2"/>
    </w:lvl>
  </w:abstractNum>
  <w:abstractNum w:abstractNumId="12">
    <w:nsid w:val="14217E23"/>
    <w:multiLevelType w:val="hybridMultilevel"/>
    <w:lvl w:ilvl="0">
      <w:lvlJc w:val="left"/>
      <w:lvlText w:val="(%1)"/>
      <w:numFmt w:val="lowerLetter"/>
      <w:start w:val="2"/>
    </w:lvl>
    <w:lvl w:ilvl="1">
      <w:lvlJc w:val="left"/>
      <w:lvlText w:val="(%2)"/>
      <w:numFmt w:val="lowerRoman"/>
      <w:start w:val="1"/>
    </w:lvl>
  </w:abstractNum>
  <w:abstractNum w:abstractNumId="13">
    <w:nsid w:val="710757D0"/>
    <w:multiLevelType w:val="hybridMultilevel"/>
    <w:lvl w:ilvl="0">
      <w:lvlJc w:val="left"/>
      <w:lvlText w:val="(%1)"/>
      <w:numFmt w:val="lowerRoman"/>
      <w:start w:val="1"/>
    </w:lvl>
  </w:abstractNum>
  <w:abstractNum w:abstractNumId="14">
    <w:nsid w:val="5015CD1A"/>
    <w:multiLevelType w:val="hybridMultilevel"/>
    <w:lvl w:ilvl="0">
      <w:lvlJc w:val="left"/>
      <w:lvlText w:val="(%1)"/>
      <w:numFmt w:val="lowerLetter"/>
      <w:start w:val="3"/>
    </w:lvl>
  </w:abstractNum>
  <w:abstractNum w:abstractNumId="15">
    <w:nsid w:val="424479DA"/>
    <w:multiLevelType w:val="hybridMultilevel"/>
    <w:lvl w:ilvl="0">
      <w:lvlJc w:val="left"/>
      <w:lvlText w:val="(%1)"/>
      <w:numFmt w:val="lowerLetter"/>
      <w:start w:val="4"/>
    </w:lvl>
  </w:abstractNum>
  <w:abstractNum w:abstractNumId="16">
    <w:nsid w:val="1A9A9E69"/>
    <w:multiLevelType w:val="hybridMultilevel"/>
    <w:lvl w:ilvl="0">
      <w:lvlJc w:val="left"/>
      <w:lvlText w:val="(%1)"/>
      <w:numFmt w:val="lowerLetter"/>
      <w:start w:val="5"/>
    </w:lvl>
  </w:abstractNum>
  <w:abstractNum w:abstractNumId="17">
    <w:nsid w:val="475E256A"/>
    <w:multiLevelType w:val="hybridMultilevel"/>
    <w:lvl w:ilvl="0">
      <w:lvlJc w:val="left"/>
      <w:lvlText w:val="(%1)"/>
      <w:numFmt w:val="lowerLetter"/>
      <w:start w:val="7"/>
    </w:lvl>
    <w:lvl w:ilvl="1">
      <w:lvlJc w:val="left"/>
      <w:lvlText w:val="(%2)"/>
      <w:numFmt w:val="lowerRoman"/>
      <w:start w:val="2"/>
    </w:lvl>
  </w:abstractNum>
  <w:abstractNum w:abstractNumId="18">
    <w:nsid w:val="368DB37E"/>
    <w:multiLevelType w:val="hybridMultilevel"/>
    <w:lvl w:ilvl="0">
      <w:lvlJc w:val="left"/>
      <w:lvlText w:val="%1"/>
      <w:numFmt w:val="lowerLetter"/>
      <w:start w:val="1"/>
    </w:lvl>
    <w:lvl w:ilvl="1">
      <w:lvlJc w:val="left"/>
      <w:lvlText w:val="(%2)"/>
      <w:numFmt w:val="lowerLetter"/>
      <w:start w:val="9"/>
    </w:lvl>
  </w:abstractNum>
  <w:abstractNum w:abstractNumId="19">
    <w:nsid w:val="6A3B714C"/>
    <w:multiLevelType w:val="hybridMultilevel"/>
    <w:lvl w:ilvl="0">
      <w:lvlJc w:val="left"/>
      <w:lvlText w:val="(%1)"/>
      <w:numFmt w:val="lowerLetter"/>
      <w:start w:val="26"/>
    </w:lvl>
    <w:lvl w:ilvl="1">
      <w:lvlJc w:val="left"/>
      <w:lvlText w:val="%2"/>
      <w:numFmt w:val="lowerLetter"/>
      <w:start w:val="1"/>
    </w:lvl>
  </w:abstractNum>
  <w:abstractNum w:abstractNumId="20">
    <w:nsid w:val="327B517E"/>
    <w:multiLevelType w:val="hybridMultilevel"/>
    <w:lvl w:ilvl="0">
      <w:lvlJc w:val="left"/>
      <w:lvlText w:val="(%1)"/>
      <w:numFmt w:val="upperLetter"/>
      <w:start w:val="3"/>
    </w:lvl>
  </w:abstractNum>
  <w:abstractNum w:abstractNumId="21">
    <w:nsid w:val="1F461B51"/>
    <w:multiLevelType w:val="hybridMultilevel"/>
    <w:lvl w:ilvl="0">
      <w:lvlJc w:val="left"/>
      <w:lvlText w:val="(%1)"/>
      <w:numFmt w:val="lowerRoman"/>
      <w:start w:val="2"/>
    </w:lvl>
  </w:abstractNum>
  <w:abstractNum w:abstractNumId="22">
    <w:nsid w:val="29BACF25"/>
    <w:multiLevelType w:val="hybridMultilevel"/>
    <w:lvl w:ilvl="0">
      <w:lvlJc w:val="left"/>
      <w:lvlText w:val="(%1)"/>
      <w:numFmt w:val="lowerRoman"/>
      <w:start w:val="6"/>
    </w:lvl>
    <w:lvl w:ilvl="1">
      <w:lvlJc w:val="left"/>
      <w:lvlText w:val="(%2)"/>
      <w:numFmt w:val="upperLetter"/>
      <w:start w:val="1"/>
    </w:lvl>
  </w:abstractNum>
  <w:abstractNum w:abstractNumId="23">
    <w:nsid w:val="5D5BABB3"/>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3"/>
    </w:lvl>
  </w:abstractNum>
  <w:abstractNum w:abstractNumId="24">
    <w:nsid w:val="51BF6B48"/>
    <w:multiLevelType w:val="hybridMultilevel"/>
    <w:lvl w:ilvl="0">
      <w:lvlJc w:val="left"/>
      <w:lvlText w:val="%1"/>
      <w:numFmt w:val="lowerRoman"/>
      <w:start w:val="1"/>
    </w:lvl>
    <w:lvl w:ilvl="1">
      <w:lvlJc w:val="left"/>
      <w:lvlText w:val="(%2)"/>
      <w:numFmt w:val="lowerRoman"/>
      <w:start w:val="8"/>
    </w:lvl>
    <w:lvl w:ilvl="2">
      <w:lvlJc w:val="left"/>
      <w:lvlText w:val="%3"/>
      <w:numFmt w:val="upperLetter"/>
      <w:start w:val="1"/>
    </w:lvl>
  </w:abstractNum>
  <w:abstractNum w:abstractNumId="25">
    <w:nsid w:val="7E0F6384"/>
    <w:multiLevelType w:val="hybridMultilevel"/>
    <w:lvl w:ilvl="0">
      <w:lvlJc w:val="left"/>
      <w:lvlText w:val="(%1)"/>
      <w:numFmt w:val="lowerRoman"/>
      <w:start w:val="5"/>
    </w:lvl>
    <w:lvl w:ilvl="1">
      <w:lvlJc w:val="left"/>
      <w:lvlText w:val="%2"/>
      <w:numFmt w:val="lowerRoman"/>
      <w:start w:val="1"/>
    </w:lvl>
    <w:lvl w:ilvl="2">
      <w:lvlJc w:val="left"/>
      <w:lvlText w:val="%3"/>
      <w:numFmt w:val="upperLetter"/>
      <w:start w:val="1"/>
    </w:lvl>
  </w:abstractNum>
  <w:abstractNum w:abstractNumId="26">
    <w:nsid w:val="2B4B8B53"/>
    <w:multiLevelType w:val="hybridMultilevel"/>
    <w:lvl w:ilvl="0">
      <w:lvlJc w:val="left"/>
      <w:lvlText w:val="%1"/>
      <w:numFmt w:val="lowerLetter"/>
      <w:start w:val="1"/>
    </w:lvl>
    <w:lvl w:ilvl="1">
      <w:lvlJc w:val="left"/>
      <w:lvlText w:val="(%2)"/>
      <w:numFmt w:val="lowerLetter"/>
      <w:start w:val="24"/>
    </w:lvl>
  </w:abstractNum>
  <w:abstractNum w:abstractNumId="27">
    <w:nsid w:val="72E3413A"/>
    <w:multiLevelType w:val="hybridMultilevel"/>
    <w:lvl w:ilvl="0">
      <w:lvlJc w:val="left"/>
      <w:lvlText w:val="(%1)"/>
      <w:numFmt w:val="lowerLetter"/>
      <w:start w:val="25"/>
    </w:lvl>
    <w:lvl w:ilvl="1">
      <w:lvlJc w:val="left"/>
      <w:lvlText w:val="%2"/>
      <w:numFmt w:val="lowerLetter"/>
      <w:start w:val="1"/>
    </w:lvl>
  </w:abstractNum>
  <w:abstractNum w:abstractNumId="28">
    <w:nsid w:val="116AE494"/>
    <w:multiLevelType w:val="hybridMultilevel"/>
    <w:lvl w:ilvl="0">
      <w:lvlJc w:val="left"/>
      <w:lvlText w:val="(%1)"/>
      <w:numFmt w:val="lowerRoman"/>
      <w:start w:val="11"/>
    </w:lvl>
  </w:abstractNum>
  <w:abstractNum w:abstractNumId="29">
    <w:nsid w:val="3494B2FB"/>
    <w:multiLevelType w:val="hybridMultilevel"/>
    <w:lvl w:ilvl="0">
      <w:lvlJc w:val="left"/>
      <w:lvlText w:val="(%1)"/>
      <w:numFmt w:val="lowerRoman"/>
      <w:start w:val="2"/>
    </w:lvl>
    <w:lvl w:ilvl="1">
      <w:lvlJc w:val="left"/>
      <w:lvlText w:val="(%2)"/>
      <w:numFmt w:val="lowerRoman"/>
      <w:start w:val="13"/>
    </w:lvl>
  </w:abstractNum>
  <w:abstractNum w:abstractNumId="30">
    <w:nsid w:val="B13A31"/>
    <w:multiLevelType w:val="hybridMultilevel"/>
    <w:lvl w:ilvl="0">
      <w:lvlJc w:val="left"/>
      <w:lvlText w:val="(%1)"/>
      <w:numFmt w:val="lowerRoman"/>
      <w:start w:val="20"/>
    </w:lvl>
  </w:abstractNum>
  <w:abstractNum w:abstractNumId="31">
    <w:nsid w:val="64429599"/>
    <w:multiLevelType w:val="hybridMultilevel"/>
    <w:lvl w:ilvl="0">
      <w:lvlJc w:val="left"/>
      <w:lvlText w:val="(%1)"/>
      <w:numFmt w:val="lowerRoman"/>
      <w:start w:val="21"/>
    </w:lvl>
    <w:lvl w:ilvl="1">
      <w:lvlJc w:val="left"/>
      <w:lvlText w:val="(%2)"/>
      <w:numFmt w:val="lowerRoman"/>
      <w:start w:val="23"/>
    </w:lvl>
    <w:lvl w:ilvl="2">
      <w:lvlJc w:val="left"/>
      <w:lvlText w:val="(%3)"/>
      <w:numFmt w:val="lowerRoman"/>
      <w:start w:val="25"/>
    </w:lvl>
  </w:abstractNum>
  <w:abstractNum w:abstractNumId="32">
    <w:nsid w:val="631F1690"/>
    <w:multiLevelType w:val="hybridMultilevel"/>
    <w:lvl w:ilvl="0">
      <w:lvlJc w:val="left"/>
      <w:lvlText w:val="(%1)"/>
      <w:numFmt w:val="lowerRoman"/>
      <w:start w:val="27"/>
    </w:lvl>
  </w:abstractNum>
  <w:abstractNum w:abstractNumId="33">
    <w:nsid w:val="25973E32"/>
    <w:multiLevelType w:val="hybridMultilevel"/>
    <w:lvl w:ilvl="0">
      <w:lvlJc w:val="left"/>
      <w:lvlText w:val="(%1)"/>
      <w:numFmt w:val="lowerLetter"/>
      <w:start w:val="1"/>
    </w:lvl>
  </w:abstractNum>
  <w:abstractNum w:abstractNumId="34">
    <w:nsid w:val="EAD6F57"/>
    <w:multiLevelType w:val="hybridMultilevel"/>
    <w:lvl w:ilvl="0">
      <w:lvlJc w:val="left"/>
      <w:lvlText w:val="(%1)"/>
      <w:numFmt w:val="lowerLetter"/>
      <w:start w:val="4"/>
    </w:lvl>
  </w:abstractNum>
  <w:abstractNum w:abstractNumId="35">
    <w:nsid w:val="6EC9D84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36">
    <w:nsid w:val="5C49EAEE"/>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3"/>
    </w:lvl>
  </w:abstractNum>
  <w:abstractNum w:abstractNumId="37">
    <w:nsid w:val="64AF49B"/>
    <w:multiLevelType w:val="hybridMultilevel"/>
    <w:lvl w:ilvl="0">
      <w:lvlJc w:val="left"/>
      <w:lvlText w:val="%1"/>
      <w:numFmt w:val="lowerLetter"/>
      <w:start w:val="1"/>
    </w:lvl>
    <w:lvl w:ilvl="1">
      <w:lvlJc w:val="left"/>
      <w:lvlText w:val="(%2)"/>
      <w:numFmt w:val="lowerLetter"/>
      <w:start w:val="4"/>
    </w:lvl>
  </w:abstractNum>
  <w:abstractNum w:abstractNumId="38">
    <w:nsid w:val="397C46BC"/>
    <w:multiLevelType w:val="hybridMultilevel"/>
    <w:lvl w:ilvl="0">
      <w:lvlJc w:val="left"/>
      <w:lvlText w:val="(%1)"/>
      <w:numFmt w:val="lowerLetter"/>
      <w:start w:val="61"/>
    </w:lvl>
    <w:lvl w:ilvl="1">
      <w:lvlJc w:val="left"/>
      <w:lvlText w:val="%2"/>
      <w:numFmt w:val="lowerLetter"/>
      <w:start w:val="1"/>
    </w:lvl>
  </w:abstractNum>
  <w:abstractNum w:abstractNumId="39">
    <w:nsid w:val="7E448DE9"/>
    <w:multiLevelType w:val="hybridMultilevel"/>
    <w:lvl w:ilvl="0">
      <w:lvlJc w:val="left"/>
      <w:lvlText w:val="(%1)"/>
      <w:numFmt w:val="lowerLetter"/>
      <w:start w:val="1"/>
    </w:lvl>
  </w:abstractNum>
  <w:abstractNum w:abstractNumId="40">
    <w:nsid w:val="5A9CC3E5"/>
    <w:multiLevelType w:val="hybridMultilevel"/>
    <w:lvl w:ilvl="0">
      <w:lvlJc w:val="left"/>
      <w:lvlText w:val="(%1)"/>
      <w:numFmt w:val="lowerLetter"/>
      <w:start w:val="4"/>
    </w:lvl>
  </w:abstractNum>
  <w:abstractNum w:abstractNumId="41">
    <w:nsid w:val="1AFE3625"/>
    <w:multiLevelType w:val="hybridMultilevel"/>
    <w:lvl w:ilvl="0">
      <w:lvlJc w:val="left"/>
      <w:lvlText w:val="(%1)"/>
      <w:numFmt w:val="lowerLetter"/>
      <w:start w:val="1"/>
    </w:lvl>
  </w:abstractNum>
  <w:abstractNum w:abstractNumId="42">
    <w:nsid w:val="3CA88ECF"/>
    <w:multiLevelType w:val="hybridMultilevel"/>
    <w:lvl w:ilvl="0">
      <w:lvlJc w:val="left"/>
      <w:lvlText w:val="%1"/>
      <w:numFmt w:val="lowerLetter"/>
      <w:start w:val="1"/>
    </w:lvl>
    <w:lvl w:ilvl="1">
      <w:lvlJc w:val="left"/>
      <w:lvlText w:val="(%2)"/>
      <w:numFmt w:val="lowerRoman"/>
      <w:start w:val="1"/>
    </w:lvl>
  </w:abstractNum>
  <w:abstractNum w:abstractNumId="43">
    <w:nsid w:val="6EBE4208"/>
    <w:multiLevelType w:val="hybridMultilevel"/>
    <w:lvl w:ilvl="0">
      <w:lvlJc w:val="left"/>
      <w:lvlText w:val="(%1)"/>
      <w:numFmt w:val="lowerLetter"/>
      <w:start w:val="2"/>
    </w:lvl>
    <w:lvl w:ilvl="1">
      <w:lvlJc w:val="left"/>
      <w:lvlText w:val="%2"/>
      <w:numFmt w:val="lowerRoman"/>
      <w:start w:val="1"/>
    </w:lvl>
  </w:abstractNum>
  <w:abstractNum w:abstractNumId="44">
    <w:nsid w:val="C058DF5"/>
    <w:multiLevelType w:val="hybridMultilevel"/>
    <w:lvl w:ilvl="0">
      <w:lvlJc w:val="left"/>
      <w:lvlText w:val="(%1)"/>
      <w:numFmt w:val="lowerLetter"/>
      <w:start w:val="3"/>
    </w:lvl>
  </w:abstractNum>
  <w:abstractNum w:abstractNumId="45">
    <w:nsid w:val="CBE5BE9"/>
    <w:multiLevelType w:val="hybridMultilevel"/>
    <w:lvl w:ilvl="0">
      <w:lvlJc w:val="left"/>
      <w:lvlText w:val="(%1)"/>
      <w:numFmt w:val="lowerLetter"/>
      <w:start w:val="7"/>
    </w:lvl>
  </w:abstractNum>
  <w:abstractNum w:abstractNumId="46">
    <w:nsid w:val="3102BBE2"/>
    <w:multiLevelType w:val="hybridMultilevel"/>
    <w:lvl w:ilvl="0">
      <w:lvlJc w:val="left"/>
      <w:lvlText w:val="(%1)"/>
      <w:numFmt w:val="lowerLetter"/>
      <w:start w:val="1"/>
    </w:lvl>
  </w:abstractNum>
  <w:abstractNum w:abstractNumId="47">
    <w:nsid w:val="26A02C5E"/>
    <w:multiLevelType w:val="hybridMultilevel"/>
    <w:lvl w:ilvl="0">
      <w:lvlJc w:val="left"/>
      <w:lvlText w:val="(%1)"/>
      <w:numFmt w:val="lowerLetter"/>
      <w:start w:val="2"/>
    </w:lvl>
  </w:abstractNum>
  <w:abstractNum w:abstractNumId="48">
    <w:nsid w:val="541C8153"/>
    <w:multiLevelType w:val="hybridMultilevel"/>
    <w:lvl w:ilvl="0">
      <w:lvlJc w:val="left"/>
      <w:lvlText w:val="(%1)"/>
      <w:numFmt w:val="decimal"/>
      <w:start w:val="1"/>
    </w:lvl>
  </w:abstractNum>
  <w:abstractNum w:abstractNumId="49">
    <w:nsid w:val="67906F60"/>
    <w:multiLevelType w:val="hybridMultilevel"/>
    <w:lvl w:ilvl="0">
      <w:lvlJc w:val="left"/>
      <w:lvlText w:val="(%1)"/>
      <w:numFmt w:val="lowerLetter"/>
      <w:start w:val="3"/>
    </w:lvl>
  </w:abstractNum>
  <w:abstractNum w:abstractNumId="50">
    <w:nsid w:val="10DB9DAA"/>
    <w:multiLevelType w:val="hybridMultilevel"/>
    <w:lvl w:ilvl="0">
      <w:lvlJc w:val="left"/>
      <w:lvlText w:val="(%1)"/>
      <w:numFmt w:val="lowerLetter"/>
      <w:start w:val="1"/>
    </w:lvl>
  </w:abstractNum>
  <w:abstractNum w:abstractNumId="51">
    <w:nsid w:val="697D2D2"/>
    <w:multiLevelType w:val="hybridMultilevel"/>
    <w:lvl w:ilvl="0">
      <w:lvlJc w:val="left"/>
      <w:lvlText w:val="(%1)"/>
      <w:numFmt w:val="lowerLetter"/>
      <w:start w:val="3"/>
    </w:lvl>
  </w:abstractNum>
  <w:abstractNum w:abstractNumId="52">
    <w:nsid w:val="6D68AB2"/>
    <w:multiLevelType w:val="hybridMultilevel"/>
    <w:lvl w:ilvl="0">
      <w:lvlJc w:val="left"/>
      <w:lvlText w:val="%1"/>
      <w:numFmt w:val="lowerLetter"/>
      <w:start w:val="1"/>
    </w:lvl>
    <w:lvl w:ilvl="1">
      <w:lvlJc w:val="left"/>
      <w:lvlText w:val="(%2)"/>
      <w:numFmt w:val="lowerLetter"/>
      <w:start w:val="2"/>
    </w:lvl>
  </w:abstractNum>
  <w:abstractNum w:abstractNumId="53">
    <w:nsid w:val="3A966CD0"/>
    <w:multiLevelType w:val="hybridMultilevel"/>
    <w:lvl w:ilvl="0">
      <w:lvlJc w:val="left"/>
      <w:lvlText w:val="(%1)"/>
      <w:numFmt w:val="lowerLetter"/>
      <w:start w:val="9"/>
    </w:lvl>
    <w:lvl w:ilvl="1">
      <w:lvlJc w:val="left"/>
      <w:lvlText w:val="%2"/>
      <w:numFmt w:val="lowerLetter"/>
      <w:start w:val="1"/>
    </w:lvl>
  </w:abstractNum>
  <w:abstractNum w:abstractNumId="54">
    <w:nsid w:val="63F37E85"/>
    <w:multiLevelType w:val="hybridMultilevel"/>
    <w:lvl w:ilvl="0">
      <w:lvlJc w:val="left"/>
      <w:lvlText w:val="(%1)"/>
      <w:numFmt w:val="lowerLetter"/>
      <w:start w:val="35"/>
    </w:lvl>
    <w:lvl w:ilvl="1">
      <w:lvlJc w:val="left"/>
      <w:lvlText w:val="(%2)"/>
      <w:numFmt w:val="lowerLetter"/>
      <w:start w:val="4"/>
    </w:lvl>
    <w:lvl w:ilvl="2">
      <w:lvlJc w:val="left"/>
      <w:lvlText w:val="(%3)"/>
      <w:numFmt w:val="lowerLetter"/>
      <w:start w:val="3"/>
    </w:lvl>
  </w:abstractNum>
  <w:abstractNum w:abstractNumId="55">
    <w:nsid w:val="5895F5FA"/>
    <w:multiLevelType w:val="hybridMultilevel"/>
    <w:lvl w:ilvl="0">
      <w:lvlJc w:val="left"/>
      <w:lvlText w:val="(%1)"/>
      <w:numFmt w:val="lowerLetter"/>
      <w:start w:val="1"/>
    </w:lvl>
  </w:abstractNum>
  <w:abstractNum w:abstractNumId="56">
    <w:nsid w:val="38A5D054"/>
    <w:multiLevelType w:val="hybridMultilevel"/>
    <w:lvl w:ilvl="0">
      <w:lvlJc w:val="left"/>
      <w:lvlText w:val="(%1)"/>
      <w:numFmt w:val="decimal"/>
      <w:start w:val="1"/>
    </w:lvl>
  </w:abstractNum>
  <w:abstractNum w:abstractNumId="57">
    <w:nsid w:val="F3F09D8"/>
    <w:multiLevelType w:val="hybridMultilevel"/>
    <w:lvl w:ilvl="0">
      <w:lvlJc w:val="left"/>
      <w:lvlText w:val="(%1)"/>
      <w:numFmt w:val="decimal"/>
      <w:start w:val="4"/>
    </w:lvl>
  </w:abstractNum>
  <w:abstractNum w:abstractNumId="58">
    <w:nsid w:val="4B793735"/>
    <w:multiLevelType w:val="hybridMultilevel"/>
    <w:lvl w:ilvl="0">
      <w:lvlJc w:val="left"/>
      <w:lvlText w:val="%1"/>
      <w:numFmt w:val="lowerLetter"/>
      <w:start w:val="1"/>
    </w:lvl>
    <w:lvl w:ilvl="1">
      <w:lvlJc w:val="left"/>
      <w:lvlText w:val="(%2)"/>
      <w:numFmt w:val="lowerLetter"/>
      <w:start w:val="2"/>
    </w:lvl>
  </w:abstractNum>
  <w:abstractNum w:abstractNumId="59">
    <w:nsid w:val="4A10B4E8"/>
    <w:multiLevelType w:val="hybridMultilevel"/>
    <w:lvl w:ilvl="0">
      <w:lvlJc w:val="left"/>
      <w:lvlText w:val="(%1)"/>
      <w:numFmt w:val="lowerLetter"/>
      <w:start w:val="22"/>
    </w:lvl>
    <w:lvl w:ilvl="1">
      <w:lvlJc w:val="left"/>
      <w:lvlText w:val="%2"/>
      <w:numFmt w:val="lowerLetter"/>
      <w:start w:val="1"/>
    </w:lvl>
  </w:abstractNum>
  <w:abstractNum w:abstractNumId="60">
    <w:nsid w:val="43D3BCD4"/>
    <w:multiLevelType w:val="hybridMultilevel"/>
    <w:lvl w:ilvl="0">
      <w:lvlJc w:val="left"/>
      <w:lvlText w:val="(%1)"/>
      <w:numFmt w:val="decimal"/>
      <w:start w:val="10"/>
    </w:lvl>
  </w:abstractNum>
  <w:abstractNum w:abstractNumId="61">
    <w:nsid w:val="4C2A7166"/>
    <w:multiLevelType w:val="hybridMultilevel"/>
    <w:lvl w:ilvl="0">
      <w:lvlJc w:val="left"/>
      <w:lvlText w:val="(%1)"/>
      <w:numFmt w:val="decimal"/>
      <w:start w:val="90"/>
    </w:lvl>
  </w:abstractNum>
  <w:abstractNum w:abstractNumId="62">
    <w:nsid w:val="2E534A82"/>
    <w:multiLevelType w:val="hybridMultilevel"/>
    <w:lvl w:ilvl="0">
      <w:lvlJc w:val="left"/>
      <w:lvlText w:val="(%1)"/>
      <w:numFmt w:val="lowerLetter"/>
      <w:start w:val="1"/>
    </w:lvl>
  </w:abstractNum>
  <w:abstractNum w:abstractNumId="63">
    <w:nsid w:val="26F2D364"/>
    <w:multiLevelType w:val="hybridMultilevel"/>
    <w:lvl w:ilvl="0">
      <w:lvlJc w:val="left"/>
      <w:lvlText w:val="(%1)"/>
      <w:numFmt w:val="lowerLetter"/>
      <w:start w:val="2"/>
    </w:lvl>
  </w:abstractNum>
  <w:abstractNum w:abstractNumId="64">
    <w:nsid w:val="71C1AF98"/>
    <w:multiLevelType w:val="hybridMultilevel"/>
    <w:lvl w:ilvl="0">
      <w:lvlJc w:val="left"/>
      <w:lvlText w:val="(%1)"/>
      <w:numFmt w:val="lowerLetter"/>
      <w:start w:val="3"/>
    </w:lvl>
  </w:abstractNum>
  <w:abstractNum w:abstractNumId="65">
    <w:nsid w:val="3D00B9D9"/>
    <w:multiLevelType w:val="hybridMultilevel"/>
    <w:lvl w:ilvl="0">
      <w:lvlJc w:val="left"/>
      <w:lvlText w:val="(%1)"/>
      <w:numFmt w:val="lowerLetter"/>
      <w:start w:val="35"/>
    </w:lvl>
    <w:lvl w:ilvl="1">
      <w:lvlJc w:val="left"/>
      <w:lvlText w:val="(%2)"/>
      <w:numFmt w:val="lowerLetter"/>
      <w:start w:val="25"/>
    </w:lvl>
  </w:abstractNum>
  <w:abstractNum w:abstractNumId="66">
    <w:nsid w:val="15BCABA8"/>
    <w:multiLevelType w:val="hybridMultilevel"/>
    <w:lvl w:ilvl="0">
      <w:lvlJc w:val="left"/>
      <w:lvlText w:val="%1"/>
      <w:numFmt w:val="lowerLetter"/>
      <w:start w:val="1"/>
    </w:lvl>
    <w:lvl w:ilvl="1">
      <w:lvlJc w:val="left"/>
      <w:lvlText w:val="(%2)"/>
      <w:numFmt w:val="lowerLetter"/>
      <w:start w:val="9"/>
    </w:lvl>
    <w:lvl w:ilvl="2">
      <w:lvlJc w:val="left"/>
      <w:lvlText w:val="%3"/>
      <w:numFmt w:val="upperLetter"/>
      <w:start w:val="1"/>
    </w:lvl>
  </w:abstractNum>
  <w:abstractNum w:abstractNumId="67">
    <w:nsid w:val="4E0B9A87"/>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abstractNum>
  <w:abstractNum w:abstractNumId="68">
    <w:nsid w:val="434BAE75"/>
    <w:multiLevelType w:val="hybridMultilevel"/>
    <w:lvl w:ilvl="0">
      <w:lvlJc w:val="left"/>
      <w:lvlText w:val="(%1)"/>
      <w:numFmt w:val="upperLetter"/>
      <w:start w:val="3"/>
    </w:lvl>
  </w:abstractNum>
  <w:abstractNum w:abstractNumId="69">
    <w:nsid w:val="4F38F265"/>
    <w:multiLevelType w:val="hybridMultilevel"/>
    <w:lvl w:ilvl="0">
      <w:lvlJc w:val="left"/>
      <w:lvlText w:val="%1"/>
      <w:numFmt w:val="lowerLetter"/>
      <w:start w:val="1"/>
    </w:lvl>
    <w:lvl w:ilvl="1">
      <w:lvlJc w:val="left"/>
      <w:lvlText w:val="(%2)"/>
      <w:numFmt w:val="lowerLetter"/>
      <w:start w:val="35"/>
    </w:lvl>
  </w:abstractNum>
  <w:abstractNum w:abstractNumId="70">
    <w:nsid w:val="4C502870"/>
    <w:multiLevelType w:val="hybridMultilevel"/>
    <w:lvl w:ilvl="0">
      <w:lvlJc w:val="left"/>
      <w:lvlText w:val="(%1)"/>
      <w:numFmt w:val="lowerLetter"/>
      <w:start w:val="6"/>
    </w:lvl>
    <w:lvl w:ilvl="1">
      <w:lvlJc w:val="left"/>
      <w:lvlText w:val="%2"/>
      <w:numFmt w:val="lowerLetter"/>
      <w:start w:val="1"/>
    </w:lvl>
  </w:abstractNum>
  <w:abstractNum w:abstractNumId="71">
    <w:nsid w:val="1DE8725A"/>
    <w:multiLevelType w:val="hybridMultilevel"/>
    <w:lvl w:ilvl="0">
      <w:lvlJc w:val="left"/>
      <w:lvlText w:val="(%1)"/>
      <w:numFmt w:val="lowerLetter"/>
      <w:start w:val="1"/>
    </w:lvl>
  </w:abstractNum>
  <w:abstractNum w:abstractNumId="72">
    <w:nsid w:val="6A37288A"/>
    <w:multiLevelType w:val="hybridMultilevel"/>
    <w:lvl w:ilvl="0">
      <w:lvlJc w:val="left"/>
      <w:lvlText w:val="(%1)"/>
      <w:numFmt w:val="lowerLetter"/>
      <w:start w:val="5"/>
    </w:lvl>
  </w:abstractNum>
  <w:abstractNum w:abstractNumId="73">
    <w:nsid w:val="8F8B73F"/>
    <w:multiLevelType w:val="hybridMultilevel"/>
    <w:lvl w:ilvl="0">
      <w:lvlJc w:val="left"/>
      <w:lvlText w:val="(%1)"/>
      <w:numFmt w:val="lowerLetter"/>
      <w:start w:val="1"/>
    </w:lvl>
  </w:abstractNum>
  <w:abstractNum w:abstractNumId="74">
    <w:nsid w:val="CA6B462"/>
    <w:multiLevelType w:val="hybridMultilevel"/>
    <w:lvl w:ilvl="0">
      <w:lvlJc w:val="left"/>
      <w:lvlText w:val="(%1)"/>
      <w:numFmt w:val="lowerLetter"/>
      <w:start w:val="2"/>
    </w:lvl>
  </w:abstractNum>
  <w:abstractNum w:abstractNumId="75">
    <w:nsid w:val="763CB680"/>
    <w:multiLevelType w:val="hybridMultilevel"/>
    <w:lvl w:ilvl="0">
      <w:lvlJc w:val="left"/>
      <w:lvlText w:val="(%1)"/>
      <w:numFmt w:val="lowerLetter"/>
      <w:start w:val="1"/>
    </w:lvl>
  </w:abstractNum>
  <w:abstractNum w:abstractNumId="76">
    <w:nsid w:val="15B71329"/>
    <w:multiLevelType w:val="hybridMultilevel"/>
    <w:lvl w:ilvl="0">
      <w:lvlJc w:val="left"/>
      <w:lvlText w:val="(%1)"/>
      <w:numFmt w:val="lowerLetter"/>
      <w:start w:val="2"/>
    </w:lvl>
  </w:abstractNum>
  <w:abstractNum w:abstractNumId="77">
    <w:nsid w:val="3DA97044"/>
    <w:multiLevelType w:val="hybridMultilevel"/>
    <w:lvl w:ilvl="0">
      <w:lvlJc w:val="left"/>
      <w:lvlText w:val="%1"/>
      <w:numFmt w:val="lowerLetter"/>
      <w:start w:val="1"/>
    </w:lvl>
    <w:lvl w:ilvl="1">
      <w:lvlJc w:val="left"/>
      <w:lvlText w:val="(%2)"/>
      <w:numFmt w:val="lowerLetter"/>
      <w:start w:val="2"/>
    </w:lvl>
  </w:abstractNum>
  <w:abstractNum w:abstractNumId="78">
    <w:nsid w:val="1CDCE2DE"/>
    <w:multiLevelType w:val="hybridMultilevel"/>
    <w:lvl w:ilvl="0">
      <w:lvlJc w:val="left"/>
      <w:lvlText w:val="(%1)"/>
      <w:numFmt w:val="lowerLetter"/>
      <w:start w:val="35"/>
    </w:lvl>
    <w:lvl w:ilvl="1">
      <w:lvlJc w:val="left"/>
      <w:lvlText w:val="%2"/>
      <w:numFmt w:val="lowerLetter"/>
      <w:start w:val="1"/>
    </w:lvl>
  </w:abstractNum>
  <w:abstractNum w:abstractNumId="79">
    <w:nsid w:val="69D3947C"/>
    <w:multiLevelType w:val="hybridMultilevel"/>
    <w:lvl w:ilvl="0">
      <w:lvlJc w:val="left"/>
      <w:lvlText w:val="(%1)"/>
      <w:numFmt w:val="lowerLetter"/>
      <w:start w:val="1"/>
    </w:lvl>
  </w:abstractNum>
  <w:abstractNum w:abstractNumId="80">
    <w:nsid w:val="2539DFA5"/>
    <w:multiLevelType w:val="hybridMultilevel"/>
    <w:lvl w:ilvl="0">
      <w:lvlJc w:val="left"/>
      <w:lvlText w:val="(%1)"/>
      <w:numFmt w:val="lowerLetter"/>
      <w:start w:val="4"/>
    </w:lvl>
  </w:abstractNum>
  <w:abstractNum w:abstractNumId="81">
    <w:nsid w:val="2DB88089"/>
    <w:multiLevelType w:val="hybridMultilevel"/>
    <w:lvl w:ilvl="0">
      <w:lvlJc w:val="left"/>
      <w:lvlText w:val="(%1)"/>
      <w:numFmt w:val="lowerLetter"/>
      <w:start w:val="5"/>
    </w:lvl>
  </w:abstractNum>
  <w:abstractNum w:abstractNumId="82">
    <w:nsid w:val="706B674E"/>
    <w:multiLevelType w:val="hybridMultilevel"/>
    <w:lvl w:ilvl="0">
      <w:lvlJc w:val="left"/>
      <w:lvlText w:val="(%1)"/>
      <w:numFmt w:val="lowerLetter"/>
      <w:start w:val="1"/>
    </w:lvl>
  </w:abstractNum>
  <w:abstractNum w:abstractNumId="83">
    <w:nsid w:val="2C106A57"/>
    <w:multiLevelType w:val="hybridMultilevel"/>
    <w:lvl w:ilvl="0">
      <w:lvlJc w:val="left"/>
      <w:lvlText w:val="%1"/>
      <w:numFmt w:val="lowerLetter"/>
      <w:start w:val="1"/>
    </w:lvl>
    <w:lvl w:ilvl="1">
      <w:lvlJc w:val="left"/>
      <w:lvlText w:val="(%2)"/>
      <w:numFmt w:val="lowerLetter"/>
      <w:start w:val="1"/>
    </w:lvl>
  </w:abstractNum>
  <w:abstractNum w:abstractNumId="84">
    <w:nsid w:val="684EED59"/>
    <w:multiLevelType w:val="hybridMultilevel"/>
    <w:lvl w:ilvl="0">
      <w:lvlJc w:val="left"/>
      <w:lvlText w:val="(%1)"/>
      <w:numFmt w:val="lowerLetter"/>
      <w:start w:val="35"/>
    </w:lvl>
    <w:lvl w:ilvl="1">
      <w:lvlJc w:val="left"/>
      <w:lvlText w:val="%2"/>
      <w:numFmt w:val="lowerLetter"/>
      <w:start w:val="1"/>
    </w:lvl>
  </w:abstractNum>
  <w:abstractNum w:abstractNumId="85">
    <w:nsid w:val="545EE5D3"/>
    <w:multiLevelType w:val="hybridMultilevel"/>
    <w:lvl w:ilvl="0">
      <w:lvlJc w:val="left"/>
      <w:lvlText w:val="(%1)"/>
      <w:numFmt w:val="lowerRoman"/>
      <w:start w:val="1"/>
    </w:lvl>
  </w:abstractNum>
  <w:abstractNum w:abstractNumId="86">
    <w:nsid w:val="4A66051"/>
    <w:multiLevelType w:val="hybridMultilevel"/>
    <w:lvl w:ilvl="0">
      <w:lvlJc w:val="left"/>
      <w:lvlText w:val="(%1)"/>
      <w:numFmt w:val="lowerLetter"/>
      <w:start w:val="1"/>
    </w:lvl>
    <w:lvl w:ilvl="1">
      <w:lvlJc w:val="left"/>
      <w:lvlText w:val="(%2)"/>
      <w:numFmt w:val="lowerRoman"/>
      <w:start w:val="9"/>
    </w:lvl>
    <w:lvl w:ilvl="2">
      <w:lvlJc w:val="left"/>
      <w:lvlText w:val="(%3)"/>
      <w:numFmt w:val="lowerRoman"/>
      <w:start w:val="1"/>
    </w:lvl>
  </w:abstractNum>
  <w:abstractNum w:abstractNumId="87">
    <w:nsid w:val="20F4BDAD"/>
    <w:multiLevelType w:val="hybridMultilevel"/>
    <w:lvl w:ilvl="0">
      <w:lvlJc w:val="left"/>
      <w:lvlText w:val="%1"/>
      <w:numFmt w:val="lowerLetter"/>
      <w:start w:val="1"/>
    </w:lvl>
    <w:lvl w:ilvl="1">
      <w:lvlJc w:val="left"/>
      <w:lvlText w:val="(%2)"/>
      <w:numFmt w:val="lowerRoman"/>
      <w:start w:val="11"/>
    </w:lvl>
  </w:abstractNum>
  <w:abstractNum w:abstractNumId="88">
    <w:nsid w:val="639DEFAC"/>
    <w:multiLevelType w:val="hybridMultilevel"/>
    <w:lvl w:ilvl="0">
      <w:lvlJc w:val="left"/>
      <w:lvlText w:val="(%1)"/>
      <w:numFmt w:val="lowerLetter"/>
      <w:start w:val="2"/>
    </w:lvl>
    <w:lvl w:ilvl="1">
      <w:lvlJc w:val="left"/>
      <w:lvlText w:val="(%2)"/>
      <w:numFmt w:val="lowerRoman"/>
      <w:start w:val="1"/>
    </w:lvl>
  </w:abstractNum>
  <w:abstractNum w:abstractNumId="89">
    <w:nsid w:val="501F9786"/>
    <w:multiLevelType w:val="hybridMultilevel"/>
    <w:lvl w:ilvl="0">
      <w:lvlJc w:val="left"/>
      <w:lvlText w:val="(%1)"/>
      <w:numFmt w:val="lowerLetter"/>
      <w:start w:val="3"/>
    </w:lvl>
  </w:abstractNum>
  <w:abstractNum w:abstractNumId="90">
    <w:nsid w:val="6B057295"/>
    <w:multiLevelType w:val="hybridMultilevel"/>
    <w:lvl w:ilvl="0">
      <w:lvlJc w:val="left"/>
      <w:lvlText w:val="(%1)"/>
      <w:numFmt w:val="upperLetter"/>
      <w:start w:val="1"/>
    </w:lvl>
  </w:abstractNum>
  <w:abstractNum w:abstractNumId="91">
    <w:nsid w:val="2771AC80"/>
    <w:multiLevelType w:val="hybridMultilevel"/>
    <w:lvl w:ilvl="0">
      <w:lvlJc w:val="left"/>
      <w:lvlText w:val="(%1)"/>
      <w:numFmt w:val="lowerLetter"/>
      <w:start w:val="2"/>
    </w:lvl>
  </w:abstractNum>
  <w:abstractNum w:abstractNumId="92">
    <w:nsid w:val="1C4A08EC"/>
    <w:multiLevelType w:val="hybridMultilevel"/>
    <w:lvl w:ilvl="0">
      <w:lvlJc w:val="left"/>
      <w:lvlText w:val="(%1)"/>
      <w:numFmt w:val="lowerLetter"/>
      <w:start w:val="2"/>
    </w:lvl>
  </w:abstractNum>
  <w:abstractNum w:abstractNumId="93">
    <w:nsid w:val="1958BD17"/>
    <w:multiLevelType w:val="hybridMultilevel"/>
    <w:lvl w:ilvl="0">
      <w:lvlJc w:val="left"/>
      <w:lvlText w:val="(%1)"/>
      <w:numFmt w:val="lowerLetter"/>
      <w:start w:val="61"/>
    </w:lvl>
  </w:abstractNum>
  <w:abstractNum w:abstractNumId="94">
    <w:nsid w:val="4E647FE4"/>
    <w:multiLevelType w:val="hybridMultilevel"/>
    <w:lvl w:ilvl="0">
      <w:lvlJc w:val="left"/>
      <w:lvlText w:val="(%1)"/>
      <w:numFmt w:val="lowerLetter"/>
      <w:start w:val="24"/>
    </w:lvl>
  </w:abstractNum>
  <w:abstractNum w:abstractNumId="95">
    <w:nsid w:val="E0BB885"/>
    <w:multiLevelType w:val="hybridMultilevel"/>
    <w:lvl w:ilvl="0">
      <w:lvlJc w:val="left"/>
      <w:lvlText w:val="(%1)"/>
      <w:numFmt w:val="lowerRoman"/>
      <w:start w:val="5"/>
    </w:lvl>
  </w:abstractNum>
  <w:abstractNum w:abstractNumId="96">
    <w:nsid w:val="565976F1"/>
    <w:multiLevelType w:val="hybridMultilevel"/>
    <w:lvl w:ilvl="0">
      <w:lvlJc w:val="left"/>
      <w:lvlText w:val="(%1)"/>
      <w:numFmt w:val="lowerRoman"/>
      <w:start w:val="7"/>
    </w:lvl>
  </w:abstractNum>
  <w:abstractNum w:abstractNumId="97">
    <w:nsid w:val="64212B8C"/>
    <w:multiLevelType w:val="hybridMultilevel"/>
    <w:lvl w:ilvl="0">
      <w:lvlJc w:val="left"/>
      <w:lvlText w:val="(%1)"/>
      <w:numFmt w:val="decimal"/>
      <w:start w:val="1"/>
    </w:lvl>
  </w:abstractNum>
  <w:abstractNum w:abstractNumId="98">
    <w:nsid w:val="5C17530C"/>
    <w:multiLevelType w:val="hybridMultilevel"/>
    <w:lvl w:ilvl="0">
      <w:lvlJc w:val="left"/>
      <w:lvlText w:val="(%1)"/>
      <w:numFmt w:val="decimal"/>
      <w:start w:val="4"/>
    </w:lvl>
  </w:abstractNum>
  <w:abstractNum w:abstractNumId="99">
    <w:nsid w:val="19A52566"/>
    <w:multiLevelType w:val="hybridMultilevel"/>
    <w:lvl w:ilvl="0">
      <w:lvlJc w:val="left"/>
      <w:lvlText w:val="(%1)"/>
      <w:numFmt w:val="lowerLetter"/>
      <w:start w:val="3"/>
    </w:lvl>
  </w:abstractNum>
  <w:abstractNum w:abstractNumId="100">
    <w:nsid w:val="335A1DF1"/>
    <w:multiLevelType w:val="hybridMultilevel"/>
    <w:lvl w:ilvl="0">
      <w:lvlJc w:val="left"/>
      <w:lvlText w:val="(%1)"/>
      <w:numFmt w:val="lowerLetter"/>
      <w:start w:val="2"/>
    </w:lvl>
  </w:abstractNum>
  <w:abstractNum w:abstractNumId="101">
    <w:nsid w:val="28677B7C"/>
    <w:multiLevelType w:val="hybridMultilevel"/>
    <w:lvl w:ilvl="0">
      <w:lvlJc w:val="left"/>
      <w:lvlText w:val="(%1)"/>
      <w:numFmt w:val="decimal"/>
      <w:start w:val="5"/>
    </w:lvl>
    <w:lvl w:ilvl="1">
      <w:lvlJc w:val="left"/>
      <w:lvlText w:val="(%2)"/>
      <w:numFmt w:val="lowerLetter"/>
      <w:start w:val="1"/>
    </w:lvl>
  </w:abstractNum>
  <w:abstractNum w:abstractNumId="102">
    <w:nsid w:val="378D97C0"/>
    <w:multiLevelType w:val="hybridMultilevel"/>
    <w:lvl w:ilvl="0">
      <w:lvlJc w:val="left"/>
      <w:lvlText w:val="%1"/>
      <w:numFmt w:val="lowerRoman"/>
      <w:start w:val="1"/>
    </w:lvl>
    <w:lvl w:ilvl="1">
      <w:lvlJc w:val="left"/>
      <w:lvlText w:val="(%2)"/>
      <w:numFmt w:val="lowerRoman"/>
      <w:start w:val="1"/>
    </w:lvl>
  </w:abstractNum>
  <w:abstractNum w:abstractNumId="103">
    <w:nsid w:val="1D91467C"/>
    <w:multiLevelType w:val="hybridMultilevel"/>
    <w:lvl w:ilvl="0">
      <w:lvlJc w:val="left"/>
      <w:lvlText w:val="(%1)"/>
      <w:numFmt w:val="lowerRoman"/>
      <w:start w:val="3"/>
    </w:lvl>
    <w:lvl w:ilvl="1">
      <w:lvlJc w:val="left"/>
      <w:lvlText w:val="%2"/>
      <w:numFmt w:val="lowerRoman"/>
      <w:start w:val="1"/>
    </w:lvl>
  </w:abstractNum>
  <w:abstractNum w:abstractNumId="104">
    <w:nsid w:val="316032BB"/>
    <w:multiLevelType w:val="hybridMultilevel"/>
    <w:lvl w:ilvl="0">
      <w:lvlJc w:val="left"/>
      <w:lvlText w:val="(%1)"/>
      <w:numFmt w:val="lowerRoman"/>
      <w:start w:val="4"/>
    </w:lvl>
  </w:abstractNum>
  <w:abstractNum w:abstractNumId="105">
    <w:nsid w:val="44344C22"/>
    <w:multiLevelType w:val="hybridMultilevel"/>
    <w:lvl w:ilvl="0">
      <w:lvlJc w:val="left"/>
      <w:lvlText w:val="(%1)"/>
      <w:numFmt w:val="lowerLetter"/>
      <w:start w:val="1"/>
    </w:lvl>
  </w:abstractNum>
  <w:abstractNum w:abstractNumId="106">
    <w:nsid w:val="13CDFCFC"/>
    <w:multiLevelType w:val="hybridMultilevel"/>
    <w:lvl w:ilvl="0">
      <w:lvlJc w:val="left"/>
      <w:lvlText w:val="(%1)"/>
      <w:numFmt w:val="lowerLetter"/>
      <w:start w:val="7"/>
    </w:lvl>
  </w:abstractNum>
  <w:abstractNum w:abstractNumId="107">
    <w:nsid w:val="471745E4"/>
    <w:multiLevelType w:val="hybridMultilevel"/>
    <w:lvl w:ilvl="0">
      <w:lvlJc w:val="left"/>
      <w:lvlText w:val="(%1)"/>
      <w:numFmt w:val="lowerLetter"/>
      <w:start w:val="1"/>
    </w:lvl>
  </w:abstractNum>
  <w:abstractNum w:abstractNumId="108">
    <w:nsid w:val="1DDBC66"/>
    <w:multiLevelType w:val="hybridMultilevel"/>
    <w:lvl w:ilvl="0">
      <w:lvlJc w:val="left"/>
      <w:lvlText w:val="(%1)"/>
      <w:numFmt w:val="lowerLetter"/>
      <w:start w:val="4"/>
    </w:lvl>
  </w:abstractNum>
  <w:abstractNum w:abstractNumId="109">
    <w:nsid w:val="30AADFDA"/>
    <w:multiLevelType w:val="hybridMultilevel"/>
    <w:lvl w:ilvl="0">
      <w:lvlJc w:val="left"/>
      <w:lvlText w:val="(%1)"/>
      <w:numFmt w:val="lowerRoman"/>
      <w:start w:val="1"/>
    </w:lvl>
  </w:abstractNum>
  <w:abstractNum w:abstractNumId="110">
    <w:nsid w:val="30EADA61"/>
    <w:multiLevelType w:val="hybridMultilevel"/>
    <w:lvl w:ilvl="0">
      <w:lvlJc w:val="left"/>
      <w:lvlText w:val="(%1)"/>
      <w:numFmt w:val="lowerLetter"/>
      <w:start w:val="5"/>
    </w:lvl>
  </w:abstractNum>
  <w:abstractNum w:abstractNumId="111">
    <w:nsid w:val="27179C0B"/>
    <w:multiLevelType w:val="hybridMultilevel"/>
    <w:lvl w:ilvl="0">
      <w:lvlJc w:val="left"/>
      <w:lvlText w:val="(%1)"/>
      <w:numFmt w:val="lowerLetter"/>
      <w:start w:val="1"/>
    </w:lvl>
    <w:lvl w:ilvl="1">
      <w:lvlJc w:val="left"/>
      <w:lvlText w:val="(%2)"/>
      <w:numFmt w:val="lowerLetter"/>
      <w:start w:val="3"/>
    </w:lvl>
  </w:abstractNum>
  <w:abstractNum w:abstractNumId="112">
    <w:nsid w:val="5E636063"/>
    <w:multiLevelType w:val="hybridMultilevel"/>
    <w:lvl w:ilvl="0">
      <w:lvlJc w:val="left"/>
      <w:lvlText w:val="(%1)"/>
      <w:numFmt w:val="lowerLetter"/>
      <w:start w:val="4"/>
    </w:lvl>
    <w:lvl w:ilvl="1">
      <w:lvlJc w:val="left"/>
      <w:lvlText w:val="(%2)"/>
      <w:numFmt w:val="lowerLetter"/>
      <w:start w:val="5"/>
    </w:lvl>
  </w:abstractNum>
  <w:abstractNum w:abstractNumId="113">
    <w:nsid w:val="215641AF"/>
    <w:multiLevelType w:val="hybridMultilevel"/>
    <w:lvl w:ilvl="0">
      <w:lvlJc w:val="left"/>
      <w:lvlText w:val="(%1)"/>
      <w:numFmt w:val="upperLetter"/>
      <w:start w:val="1"/>
    </w:lvl>
  </w:abstractNum>
  <w:abstractNum w:abstractNumId="114">
    <w:nsid w:val="53280662"/>
    <w:multiLevelType w:val="hybridMultilevel"/>
    <w:lvl w:ilvl="0">
      <w:lvlJc w:val="left"/>
      <w:lvlText w:val="%1."/>
      <w:numFmt w:val="decimal"/>
      <w:start w:val="1"/>
    </w:lvl>
    <w:lvl w:ilvl="1">
      <w:lvlJc w:val="left"/>
      <w:lvlText w:val="%2."/>
      <w:numFmt w:val="lowerLetter"/>
      <w:start w:val="1"/>
    </w:lvl>
  </w:abstractNum>
  <w:abstractNum w:abstractNumId="115">
    <w:nsid w:val="46B24DBC"/>
    <w:multiLevelType w:val="hybridMultilevel"/>
    <w:lvl w:ilvl="0">
      <w:lvlJc w:val="left"/>
      <w:lvlText w:val="%1."/>
      <w:numFmt w:val="decimal"/>
      <w:start w:val="1"/>
    </w:lvl>
    <w:lvl w:ilvl="1">
      <w:lvlJc w:val="left"/>
      <w:lvlText w:val="(%2)"/>
      <w:numFmt w:val="lowerLetter"/>
      <w:start w:val="1"/>
    </w:lvl>
  </w:abstractNum>
  <w:abstractNum w:abstractNumId="116">
    <w:nsid w:val="75B52783"/>
    <w:multiLevelType w:val="hybridMultilevel"/>
    <w:lvl w:ilvl="0">
      <w:lvlJc w:val="left"/>
      <w:lvlText w:val="%1."/>
      <w:numFmt w:val="decimal"/>
      <w:start w:val="1"/>
    </w:lvl>
  </w:abstractNum>
  <w:abstractNum w:abstractNumId="117">
    <w:nsid w:val="57CE66B4"/>
    <w:multiLevelType w:val="hybridMultilevel"/>
    <w:lvl w:ilvl="0">
      <w:lvlJc w:val="left"/>
      <w:lvlText w:val="(%1)"/>
      <w:numFmt w:val="upperLetter"/>
      <w:start w:val="1"/>
    </w:lvl>
  </w:abstractNum>
  <w:abstractNum w:abstractNumId="118">
    <w:nsid w:val="67A70B69"/>
    <w:multiLevelType w:val="hybridMultilevel"/>
    <w:lvl w:ilvl="0">
      <w:lvlJc w:val="left"/>
      <w:lvlText w:val="(%1)"/>
      <w:numFmt w:val="upperLetter"/>
      <w:start w:val="6"/>
    </w:lvl>
  </w:abstractNum>
  <w:abstractNum w:abstractNumId="119">
    <w:nsid w:val="5953172F"/>
    <w:multiLevelType w:val="hybridMultilevel"/>
    <w:lvl w:ilvl="0">
      <w:lvlJc w:val="left"/>
      <w:lvlText w:val="(%1)"/>
      <w:numFmt w:val="lowerLetter"/>
      <w:start w:val="1"/>
    </w:lvl>
  </w:abstractNum>
  <w:abstractNum w:abstractNumId="120">
    <w:nsid w:val="27EDFE3A"/>
    <w:multiLevelType w:val="hybridMultilevel"/>
    <w:lvl w:ilvl="0">
      <w:lvlJc w:val="left"/>
      <w:lvlText w:val="(%1)"/>
      <w:numFmt w:val="lowerLetter"/>
      <w:start w:val="1"/>
    </w:lvl>
  </w:abstractNum>
  <w:abstractNum w:abstractNumId="121">
    <w:nsid w:val="52AC7DF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122">
    <w:nsid w:val="C4C3AF"/>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4"/>
    </w:lvl>
  </w:abstractNum>
  <w:abstractNum w:abstractNumId="123">
    <w:nsid w:val="44380727"/>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abstractNum>
  <w:abstractNum w:abstractNumId="124">
    <w:nsid w:val="6C053B16"/>
    <w:multiLevelType w:val="hybridMultilevel"/>
    <w:lvl w:ilvl="0">
      <w:lvlJc w:val="left"/>
      <w:lvlText w:val="(%1)"/>
      <w:numFmt w:val="lowerLetter"/>
      <w:start w:val="5"/>
    </w:lvl>
    <w:lvl w:ilvl="1">
      <w:lvlJc w:val="left"/>
      <w:lvlText w:val="%2"/>
      <w:numFmt w:val="lowerLetter"/>
      <w:start w:val="1"/>
    </w:lvl>
  </w:abstractNum>
  <w:abstractNum w:abstractNumId="125">
    <w:nsid w:val="4F294393"/>
    <w:multiLevelType w:val="hybridMultilevel"/>
    <w:lvl w:ilvl="0">
      <w:lvlJc w:val="left"/>
      <w:lvlText w:val="(%1)"/>
      <w:numFmt w:val="lowerLetter"/>
      <w:start w:val="35"/>
    </w:lvl>
    <w:lvl w:ilvl="1">
      <w:lvlJc w:val="left"/>
      <w:lvlText w:val="(%2)"/>
      <w:numFmt w:val="lowerLetter"/>
      <w:start w:val="6"/>
    </w:lvl>
  </w:abstractNum>
  <w:abstractNum w:abstractNumId="126">
    <w:nsid w:val="5243BFAC"/>
    <w:multiLevelType w:val="hybridMultilevel"/>
    <w:lvl w:ilvl="0">
      <w:lvlJc w:val="left"/>
      <w:lvlText w:val="%1"/>
      <w:numFmt w:val="upperLetter"/>
      <w:start w:val="1"/>
    </w:lvl>
    <w:lvl w:ilvl="1">
      <w:lvlJc w:val="left"/>
      <w:lvlText w:val="(%2)"/>
      <w:numFmt w:val="lowerLetter"/>
      <w:start w:val="35"/>
    </w:lvl>
    <w:lvl w:ilvl="2">
      <w:lvlJc w:val="left"/>
      <w:lvlText w:val="%3"/>
      <w:numFmt w:val="lowerLetter"/>
      <w:start w:val="1"/>
    </w:lvl>
  </w:abstractNum>
  <w:abstractNum w:abstractNumId="127">
    <w:nsid w:val="425EB207"/>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7"/>
    </w:lvl>
  </w:abstractNum>
  <w:abstractNum w:abstractNumId="128">
    <w:nsid w:val="334A6F1F"/>
    <w:multiLevelType w:val="hybridMultilevel"/>
    <w:lvl w:ilvl="0">
      <w:lvlJc w:val="left"/>
      <w:lvlText w:val="%1"/>
      <w:numFmt w:val="lowerLetter"/>
      <w:start w:val="1"/>
    </w:lvl>
    <w:lvl w:ilvl="1">
      <w:lvlJc w:val="left"/>
      <w:lvlText w:val="(%2)"/>
      <w:numFmt w:val="lowerLetter"/>
      <w:start w:val="8"/>
    </w:lvl>
  </w:abstractNum>
  <w:abstractNum w:abstractNumId="129">
    <w:nsid w:val="2E5B12B8"/>
    <w:multiLevelType w:val="hybridMultilevel"/>
    <w:lvl w:ilvl="0">
      <w:lvlJc w:val="left"/>
      <w:lvlText w:val="(%1)"/>
      <w:numFmt w:val="lowerLetter"/>
      <w:start w:val="9"/>
    </w:lvl>
    <w:lvl w:ilvl="1">
      <w:lvlJc w:val="left"/>
      <w:lvlText w:val="%2"/>
      <w:numFmt w:val="lowerLetter"/>
      <w:start w:val="1"/>
    </w:lvl>
  </w:abstractNum>
  <w:abstractNum w:abstractNumId="130">
    <w:nsid w:val="5C03D76D"/>
    <w:multiLevelType w:val="hybridMultilevel"/>
    <w:lvl w:ilvl="0">
      <w:lvlJc w:val="left"/>
      <w:lvlText w:val="(%1)"/>
      <w:numFmt w:val="lowerLetter"/>
      <w:start w:val="10"/>
    </w:lvl>
  </w:abstractNum>
  <w:abstractNum w:abstractNumId="131">
    <w:nsid w:val="66A48D11"/>
    <w:multiLevelType w:val="hybridMultilevel"/>
    <w:lvl w:ilvl="0">
      <w:lvlJc w:val="left"/>
      <w:lvlText w:val="(%1)"/>
      <w:numFmt w:val="lowerLetter"/>
      <w:start w:val="15"/>
    </w:lvl>
    <w:lvl w:ilvl="1">
      <w:lvlJc w:val="left"/>
      <w:lvlText w:val="(%2)"/>
      <w:numFmt w:val="lowerRoman"/>
      <w:start w:val="1"/>
    </w:lvl>
  </w:abstractNum>
  <w:abstractNum w:abstractNumId="132">
    <w:nsid w:val="56C28E34"/>
    <w:multiLevelType w:val="hybridMultilevel"/>
    <w:lvl w:ilvl="0">
      <w:lvlJc w:val="left"/>
      <w:lvlText w:val="(%1)"/>
      <w:numFmt w:val="lowerRoman"/>
      <w:start w:val="3"/>
    </w:lvl>
  </w:abstractNum>
  <w:abstractNum w:abstractNumId="133">
    <w:nsid w:val="13916F2D"/>
    <w:multiLevelType w:val="hybridMultilevel"/>
    <w:lvl w:ilvl="0">
      <w:lvlJc w:val="left"/>
      <w:lvlText w:val="(%1)"/>
      <w:numFmt w:val="lowerLetter"/>
      <w:start w:val="17"/>
    </w:lvl>
  </w:abstractNum>
  <w:abstractNum w:abstractNumId="134">
    <w:nsid w:val="435D38D"/>
    <w:multiLevelType w:val="hybridMultilevel"/>
    <w:lvl w:ilvl="0">
      <w:lvlJc w:val="left"/>
      <w:lvlText w:val="(%1)"/>
      <w:numFmt w:val="lowerLetter"/>
      <w:start w:val="22"/>
    </w:lvl>
  </w:abstractNum>
  <w:abstractNum w:abstractNumId="135">
    <w:nsid w:val="822C0EF"/>
    <w:multiLevelType w:val="hybridMultilevel"/>
    <w:lvl w:ilvl="0">
      <w:lvlJc w:val="left"/>
      <w:lvlText w:val="(%1)"/>
      <w:numFmt w:val="lowerLetter"/>
      <w:start w:val="1"/>
    </w:lvl>
  </w:abstractNum>
  <w:abstractNum w:abstractNumId="136">
    <w:nsid w:val="57C5BB4F"/>
    <w:multiLevelType w:val="hybridMultilevel"/>
    <w:lvl w:ilvl="0">
      <w:lvlJc w:val="left"/>
      <w:lvlText w:val="(%1)"/>
      <w:numFmt w:val="lowerRoman"/>
      <w:start w:val="1"/>
    </w:lvl>
  </w:abstractNum>
  <w:abstractNum w:abstractNumId="137">
    <w:nsid w:val="1803D089"/>
    <w:multiLevelType w:val="hybridMultilevel"/>
    <w:lvl w:ilvl="0">
      <w:lvlJc w:val="left"/>
      <w:lvlText w:val="(%1)"/>
      <w:numFmt w:val="lowerRoman"/>
      <w:start w:val="4"/>
    </w:lvl>
  </w:abstractNum>
  <w:abstractNum w:abstractNumId="138">
    <w:nsid w:val="4F3A06D4"/>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1"/>
    </w:lvl>
  </w:abstractNum>
  <w:abstractNum w:abstractNumId="139">
    <w:nsid w:val="59A377B6"/>
    <w:multiLevelType w:val="hybridMultilevel"/>
    <w:lvl w:ilvl="0">
      <w:lvlJc w:val="left"/>
      <w:lvlText w:val="%1"/>
      <w:numFmt w:val="upperLetter"/>
      <w:start w:val="1"/>
    </w:lvl>
    <w:lvl w:ilvl="1">
      <w:lvlJc w:val="left"/>
      <w:lvlText w:val="(%2)"/>
      <w:numFmt w:val="lowerLetter"/>
      <w:start w:val="3"/>
    </w:lvl>
  </w:abstractNum>
  <w:abstractNum w:abstractNumId="140">
    <w:nsid w:val="48AEB063"/>
    <w:multiLevelType w:val="hybridMultilevel"/>
    <w:lvl w:ilvl="0">
      <w:lvlJc w:val="left"/>
      <w:lvlText w:val="(%1)"/>
      <w:numFmt w:val="upperLetter"/>
      <w:start w:val="2"/>
    </w:lvl>
    <w:lvl w:ilvl="1">
      <w:lvlJc w:val="left"/>
      <w:lvlText w:val="(%2)"/>
      <w:numFmt w:val="lowerLetter"/>
      <w:start w:val="4"/>
    </w:lvl>
  </w:abstractNum>
  <w:abstractNum w:abstractNumId="141">
    <w:nsid w:val="24E135"/>
    <w:multiLevelType w:val="hybridMultilevel"/>
    <w:lvl w:ilvl="0">
      <w:lvlJc w:val="left"/>
      <w:lvlText w:val="(%1)"/>
      <w:numFmt w:val="lowerLetter"/>
      <w:start w:val="6"/>
    </w:lvl>
  </w:abstractNum>
  <w:abstractNum w:abstractNumId="142">
    <w:nsid w:val="BB13C1"/>
    <w:multiLevelType w:val="hybridMultilevel"/>
    <w:lvl w:ilvl="0">
      <w:lvlJc w:val="left"/>
      <w:lvlText w:val="(%1)"/>
      <w:numFmt w:val="lowerLetter"/>
      <w:start w:val="1"/>
    </w:lvl>
    <w:lvl w:ilvl="1">
      <w:lvlJc w:val="left"/>
      <w:lvlText w:val="(%2)"/>
      <w:numFmt w:val="lowerLetter"/>
      <w:start w:val="9"/>
    </w:lvl>
  </w:abstractNum>
  <w:abstractNum w:abstractNumId="143">
    <w:nsid w:val="271210C7"/>
    <w:multiLevelType w:val="hybridMultilevel"/>
    <w:lvl w:ilvl="0">
      <w:lvlJc w:val="left"/>
      <w:lvlText w:val="(%1)"/>
      <w:numFmt w:val="lowerLetter"/>
      <w:start w:val="1"/>
    </w:lvl>
    <w:lvl w:ilvl="1">
      <w:lvlJc w:val="left"/>
      <w:lvlText w:val="(%2)"/>
      <w:numFmt w:val="lowerRoman"/>
      <w:start w:val="1"/>
    </w:lvl>
  </w:abstractNum>
  <w:abstractNum w:abstractNumId="144">
    <w:nsid w:val="217B22E4"/>
    <w:multiLevelType w:val="hybridMultilevel"/>
    <w:lvl w:ilvl="0">
      <w:lvlJc w:val="left"/>
      <w:lvlText w:val="(%1)"/>
      <w:numFmt w:val="lowerRoman"/>
      <w:start w:val="5"/>
    </w:lvl>
  </w:abstractNum>
  <w:abstractNum w:abstractNumId="145">
    <w:nsid w:val="53E31A24"/>
    <w:multiLevelType w:val="hybridMultilevel"/>
    <w:lvl w:ilvl="0">
      <w:lvlJc w:val="left"/>
      <w:lvlText w:val="(%1)"/>
      <w:numFmt w:val="lowerRoman"/>
      <w:start w:val="13"/>
    </w:lvl>
  </w:abstractNum>
  <w:abstractNum w:abstractNumId="146">
    <w:nsid w:val="6DC45E83"/>
    <w:multiLevelType w:val="hybridMultilevel"/>
    <w:lvl w:ilvl="0">
      <w:lvlJc w:val="left"/>
      <w:lvlText w:val="(%1)"/>
      <w:numFmt w:val="lowerRoman"/>
      <w:start w:val="15"/>
    </w:lvl>
  </w:abstractNum>
  <w:abstractNum w:abstractNumId="147">
    <w:nsid w:val="17304A67"/>
    <w:multiLevelType w:val="hybridMultilevel"/>
    <w:lvl w:ilvl="0">
      <w:lvlJc w:val="left"/>
      <w:lvlText w:val="(%1)"/>
      <w:numFmt w:val="lowerRoman"/>
      <w:start w:val="18"/>
    </w:lvl>
  </w:abstractNum>
  <w:abstractNum w:abstractNumId="148">
    <w:nsid w:val="2BB180D8"/>
    <w:multiLevelType w:val="hybridMultilevel"/>
    <w:lvl w:ilvl="0">
      <w:lvlJc w:val="left"/>
      <w:lvlText w:val="%1"/>
      <w:numFmt w:val="lowerRoman"/>
      <w:start w:val="1"/>
    </w:lvl>
    <w:lvl w:ilvl="1">
      <w:lvlJc w:val="left"/>
      <w:lvlText w:val="(%2)"/>
      <w:numFmt w:val="lowerRoman"/>
      <w:start w:val="21"/>
    </w:lvl>
  </w:abstractNum>
  <w:abstractNum w:abstractNumId="149">
    <w:nsid w:val="556B69ED"/>
    <w:multiLevelType w:val="hybridMultilevel"/>
    <w:lvl w:ilvl="0">
      <w:lvlJc w:val="left"/>
      <w:lvlText w:val="(%1)"/>
      <w:numFmt w:val="lowerRoman"/>
      <w:start w:val="21"/>
    </w:lvl>
    <w:lvl w:ilvl="1">
      <w:lvlJc w:val="left"/>
      <w:lvlText w:val="(%2)"/>
      <w:numFmt w:val="lowerRoman"/>
      <w:start w:val="22"/>
    </w:lvl>
  </w:abstractNum>
  <w:abstractNum w:abstractNumId="150">
    <w:nsid w:val="70836196"/>
    <w:multiLevelType w:val="hybridMultilevel"/>
    <w:lvl w:ilvl="0">
      <w:lvlJc w:val="left"/>
      <w:lvlText w:val="(%1)"/>
      <w:numFmt w:val="lowerLetter"/>
      <w:start w:val="2"/>
    </w:lvl>
    <w:lvl w:ilvl="1">
      <w:lvlJc w:val="left"/>
      <w:lvlText w:val="(%2)"/>
      <w:numFmt w:val="lowerRoman"/>
      <w:start w:val="1"/>
    </w:lvl>
  </w:abstractNum>
  <w:abstractNum w:abstractNumId="151">
    <w:nsid w:val="539F7F12"/>
    <w:multiLevelType w:val="hybridMultilevel"/>
    <w:lvl w:ilvl="0">
      <w:lvlJc w:val="left"/>
      <w:lvlText w:val="(%1)"/>
      <w:numFmt w:val="lowerRoman"/>
      <w:start w:val="4"/>
    </w:lvl>
  </w:abstractNum>
  <w:abstractNum w:abstractNumId="152">
    <w:nsid w:val="2817E7EC"/>
    <w:multiLevelType w:val="hybridMultilevel"/>
    <w:lvl w:ilvl="0">
      <w:lvlJc w:val="left"/>
      <w:lvlText w:val="(%1)"/>
      <w:numFmt w:val="decimal"/>
      <w:start w:val="3"/>
    </w:lvl>
    <w:lvl w:ilvl="1">
      <w:lvlJc w:val="left"/>
      <w:lvlText w:val="(%2)"/>
      <w:numFmt w:val="lowerRoman"/>
      <w:start w:val="5"/>
    </w:lvl>
  </w:abstractNum>
  <w:abstractNum w:abstractNumId="153">
    <w:nsid w:val="71482545"/>
    <w:multiLevelType w:val="hybridMultilevel"/>
    <w:lvl w:ilvl="0">
      <w:lvlJc w:val="left"/>
      <w:lvlText w:val="%1"/>
      <w:numFmt w:val="upperLetter"/>
      <w:start w:val="1"/>
    </w:lvl>
    <w:lvl w:ilvl="1">
      <w:lvlJc w:val="left"/>
      <w:lvlText w:val="(%2)"/>
      <w:numFmt w:val="lowerRoman"/>
      <w:start w:val="7"/>
    </w:lvl>
  </w:abstractNum>
  <w:abstractNum w:abstractNumId="154">
    <w:nsid w:val="17D78639"/>
    <w:multiLevelType w:val="hybridMultilevel"/>
    <w:lvl w:ilvl="0">
      <w:lvlJc w:val="left"/>
      <w:lvlText w:val="(%1)"/>
      <w:numFmt w:val="upperLetter"/>
      <w:start w:val="2"/>
    </w:lvl>
    <w:lvl w:ilvl="1">
      <w:lvlJc w:val="left"/>
      <w:lvlText w:val="(%2)"/>
      <w:numFmt w:val="lowerRoman"/>
      <w:start w:val="14"/>
    </w:lvl>
  </w:abstractNum>
  <w:abstractNum w:abstractNumId="155">
    <w:nsid w:val="141D2302"/>
    <w:multiLevelType w:val="hybridMultilevel"/>
    <w:lvl w:ilvl="0">
      <w:lvlJc w:val="left"/>
      <w:lvlText w:val="(%1)"/>
      <w:numFmt w:val="lowerRoman"/>
      <w:start w:val="17"/>
    </w:lvl>
  </w:abstractNum>
  <w:abstractNum w:abstractNumId="156">
    <w:nsid w:val="407168D8"/>
    <w:multiLevelType w:val="hybridMultilevel"/>
    <w:lvl w:ilvl="0">
      <w:lvlJc w:val="left"/>
      <w:lvlText w:val="(%1)"/>
      <w:numFmt w:val="lowerRoman"/>
      <w:start w:val="20"/>
    </w:lvl>
  </w:abstractNum>
  <w:abstractNum w:abstractNumId="157">
    <w:nsid w:val="6A1B45E5"/>
    <w:multiLevelType w:val="hybridMultilevel"/>
    <w:lvl w:ilvl="0">
      <w:lvlJc w:val="left"/>
      <w:lvlText w:val="(%1)"/>
      <w:numFmt w:val="lowerRoman"/>
      <w:start w:val="24"/>
    </w:lvl>
  </w:abstractNum>
  <w:abstractNum w:abstractNumId="158">
    <w:nsid w:val="567BD50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4"/>
    </w:lvl>
    <w:lvl w:ilvl="3">
      <w:lvlJc w:val="left"/>
      <w:lvlText w:val="%4"/>
      <w:numFmt w:val="upperLetter"/>
      <w:start w:val="1"/>
    </w:lvl>
  </w:abstractNum>
  <w:abstractNum w:abstractNumId="159">
    <w:nsid w:val="73BBD7F8"/>
    <w:multiLevelType w:val="hybridMultilevel"/>
    <w:lvl w:ilvl="0">
      <w:lvlJc w:val="left"/>
      <w:lvlText w:val="(%1)"/>
      <w:numFmt w:val="lowerLetter"/>
      <w:start w:val="3"/>
    </w:lvl>
    <w:lvl w:ilvl="1">
      <w:lvlJc w:val="left"/>
      <w:lvlText w:val="(%2)"/>
      <w:numFmt w:val="decimal"/>
    </w:lvl>
    <w:lvl w:ilvl="2">
      <w:lvlJc w:val="left"/>
      <w:lvlText w:val="%3"/>
      <w:numFmt w:val="lowerLetter"/>
      <w:start w:val="1"/>
    </w:lvl>
    <w:lvl w:ilvl="3">
      <w:lvlJc w:val="left"/>
      <w:lvlText w:val="(%4)"/>
      <w:numFmt w:val="upperLetter"/>
      <w:start w:val="1"/>
    </w:lvl>
  </w:abstractNum>
  <w:abstractNum w:abstractNumId="160">
    <w:nsid w:val="1876589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upperLetter"/>
      <w:start w:val="3"/>
    </w:lvl>
  </w:abstractNum>
  <w:abstractNum w:abstractNumId="161">
    <w:nsid w:val="327FAC77"/>
    <w:multiLevelType w:val="hybridMultilevel"/>
    <w:lvl w:ilvl="0">
      <w:lvlJc w:val="left"/>
      <w:lvlText w:val="(%1)"/>
      <w:numFmt w:val="upperLetter"/>
      <w:start w:val="4"/>
    </w:lvl>
  </w:abstractNum>
  <w:abstractNum w:abstractNumId="162">
    <w:nsid w:val="5A606509"/>
    <w:multiLevelType w:val="hybridMultilevel"/>
    <w:lvl w:ilvl="0">
      <w:lvlJc w:val="left"/>
      <w:lvlText w:val="%1"/>
      <w:numFmt w:val="lowerLetter"/>
      <w:start w:val="1"/>
    </w:lvl>
    <w:lvl w:ilvl="1">
      <w:lvlJc w:val="left"/>
      <w:lvlText w:val="(%2)"/>
      <w:numFmt w:val="lowerLetter"/>
      <w:start w:val="35"/>
    </w:lvl>
  </w:abstractNum>
  <w:abstractNum w:abstractNumId="163">
    <w:nsid w:val="6F38E6D1"/>
    <w:multiLevelType w:val="hybridMultilevel"/>
    <w:lvl w:ilvl="0">
      <w:lvlJc w:val="left"/>
      <w:lvlText w:val="(%1)"/>
      <w:numFmt w:val="lowerLetter"/>
      <w:start w:val="4"/>
    </w:lvl>
    <w:lvl w:ilvl="1">
      <w:lvlJc w:val="left"/>
      <w:lvlText w:val="%2"/>
      <w:numFmt w:val="lowerLetter"/>
      <w:start w:val="1"/>
    </w:lvl>
  </w:abstractNum>
  <w:abstractNum w:abstractNumId="164">
    <w:nsid w:val="46111BA5"/>
    <w:multiLevelType w:val="hybridMultilevel"/>
    <w:lvl w:ilvl="0">
      <w:lvlJc w:val="left"/>
      <w:lvlText w:val="(%1)"/>
      <w:numFmt w:val="upperLetter"/>
      <w:start w:val="1"/>
    </w:lvl>
    <w:lvl w:ilvl="1">
      <w:lvlJc w:val="left"/>
      <w:lvlText w:val="(%2)"/>
      <w:numFmt w:val="lowerLetter"/>
      <w:start w:val="5"/>
    </w:lvl>
  </w:abstractNum>
  <w:abstractNum w:abstractNumId="165">
    <w:nsid w:val="5E963896"/>
    <w:multiLevelType w:val="hybridMultilevel"/>
    <w:lvl w:ilvl="0">
      <w:lvlJc w:val="left"/>
      <w:lvlText w:val="(%1)"/>
      <w:numFmt w:val="lowerLetter"/>
      <w:start w:val="6"/>
    </w:lvl>
  </w:abstractNum>
  <w:abstractNum w:abstractNumId="166">
    <w:nsid w:val="775BA7C1"/>
    <w:multiLevelType w:val="hybridMultilevel"/>
    <w:lvl w:ilvl="0">
      <w:lvlJc w:val="left"/>
      <w:lvlText w:val="%1"/>
      <w:numFmt w:val="decimal"/>
      <w:start w:val="1"/>
    </w:lvl>
    <w:lvl w:ilvl="1">
      <w:lvlJc w:val="left"/>
      <w:lvlText w:val="(%2)"/>
      <w:numFmt w:val="lowerLetter"/>
      <w:start w:val="7"/>
    </w:lvl>
  </w:abstractNum>
  <w:abstractNum w:abstractNumId="167">
    <w:nsid w:val="1DD6D6F4"/>
    <w:multiLevelType w:val="hybridMultilevel"/>
    <w:lvl w:ilvl="0">
      <w:lvlJc w:val="left"/>
      <w:lvlText w:val="(%1)"/>
      <w:numFmt w:val="decimal"/>
      <w:start w:val="4"/>
    </w:lvl>
    <w:lvl w:ilvl="1">
      <w:lvlJc w:val="left"/>
      <w:lvlText w:val="%2"/>
      <w:numFmt w:val="lowerLetter"/>
      <w:start w:val="1"/>
    </w:lvl>
  </w:abstractNum>
  <w:abstractNum w:abstractNumId="168">
    <w:nsid w:val="769A091F"/>
    <w:multiLevelType w:val="hybridMultilevel"/>
    <w:lvl w:ilvl="0">
      <w:lvlJc w:val="left"/>
      <w:lvlText w:val="(%1)"/>
      <w:numFmt w:val="lowerRoman"/>
      <w:start w:val="1"/>
    </w:lvl>
  </w:abstractNum>
  <w:abstractNum w:abstractNumId="169">
    <w:nsid w:val="4695AE95"/>
    <w:multiLevelType w:val="hybridMultilevel"/>
    <w:lvl w:ilvl="0">
      <w:lvlJc w:val="left"/>
      <w:lvlText w:val="%1"/>
      <w:numFmt w:val="lowerLetter"/>
      <w:start w:val="1"/>
    </w:lvl>
    <w:lvl w:ilvl="1">
      <w:lvlJc w:val="left"/>
      <w:lvlText w:val="(%2)"/>
      <w:numFmt w:val="lowerLetter"/>
      <w:start w:val="1"/>
    </w:lvl>
  </w:abstractNum>
  <w:abstractNum w:abstractNumId="170">
    <w:nsid w:val="777A4EAA"/>
    <w:multiLevelType w:val="hybridMultilevel"/>
    <w:lvl w:ilvl="0">
      <w:lvlJc w:val="left"/>
      <w:lvlText w:val="(%1)"/>
      <w:numFmt w:val="lowerLetter"/>
      <w:start w:val="35"/>
    </w:lvl>
    <w:lvl w:ilvl="1">
      <w:lvlJc w:val="left"/>
      <w:lvlText w:val="(%2)"/>
      <w:numFmt w:val="lowerLetter"/>
      <w:start w:val="5"/>
    </w:lvl>
  </w:abstractNum>
  <w:abstractNum w:abstractNumId="171">
    <w:nsid w:val="3F48B982"/>
    <w:multiLevelType w:val="hybridMultilevel"/>
    <w:lvl w:ilvl="0">
      <w:lvlJc w:val="left"/>
      <w:lvlText w:val="(%1)"/>
      <w:numFmt w:val="lowerLetter"/>
      <w:start w:val="1"/>
    </w:lvl>
  </w:abstractNum>
  <w:abstractNum w:abstractNumId="172">
    <w:nsid w:val="46BA8FCA"/>
    <w:multiLevelType w:val="hybridMultilevel"/>
    <w:lvl w:ilvl="0">
      <w:lvlJc w:val="left"/>
      <w:lvlText w:val="(%1)"/>
      <w:numFmt w:val="lowerLetter"/>
      <w:start w:val="2"/>
    </w:lvl>
  </w:abstractNum>
  <w:abstractNum w:abstractNumId="173">
    <w:nsid w:val="7835626C"/>
    <w:multiLevelType w:val="hybridMultilevel"/>
    <w:lvl w:ilvl="0">
      <w:lvlJc w:val="left"/>
      <w:lvlText w:val="(%1)"/>
      <w:numFmt w:val="lowerRoman"/>
      <w:start w:val="1"/>
    </w:lvl>
  </w:abstractNum>
  <w:abstractNum w:abstractNumId="174">
    <w:nsid w:val="665ACA49"/>
    <w:multiLevelType w:val="hybridMultilevel"/>
    <w:lvl w:ilvl="0">
      <w:lvlJc w:val="left"/>
      <w:lvlText w:val="(%1)"/>
      <w:numFmt w:val="lowerRoman"/>
      <w:start w:val="1"/>
    </w:lvl>
    <w:lvl w:ilvl="1">
      <w:lvlJc w:val="left"/>
      <w:lvlText w:val="o"/>
      <w:numFmt w:val="bullet"/>
      <w:start w:val="1"/>
    </w:lvl>
  </w:abstractNum>
  <w:abstractNum w:abstractNumId="175">
    <w:nsid w:val="6835B2AE"/>
    <w:multiLevelType w:val="hybridMultilevel"/>
    <w:lvl w:ilvl="0">
      <w:lvlJc w:val="left"/>
      <w:lvlText w:val="(%1)"/>
      <w:numFmt w:val="lowerRoman"/>
      <w:start w:val="5"/>
    </w:lvl>
  </w:abstractNum>
  <w:abstractNum w:abstractNumId="176">
    <w:nsid w:val="4C187C90"/>
    <w:multiLevelType w:val="hybridMultilevel"/>
    <w:lvl w:ilvl="0">
      <w:lvlJc w:val="left"/>
      <w:lvlText w:val="%1"/>
      <w:numFmt w:val="lowerLetter"/>
      <w:start w:val="1"/>
    </w:lvl>
    <w:lvl w:ilvl="1">
      <w:lvlJc w:val="left"/>
      <w:lvlText w:val="(%2)"/>
      <w:numFmt w:val="lowerRoman"/>
      <w:start w:val="6"/>
    </w:lvl>
  </w:abstractNum>
  <w:abstractNum w:abstractNumId="177">
    <w:nsid w:val="541F28CD"/>
    <w:multiLevelType w:val="hybridMultilevel"/>
    <w:lvl w:ilvl="0">
      <w:lvlJc w:val="left"/>
      <w:lvlText w:val="(%1)"/>
      <w:numFmt w:val="lowerLetter"/>
      <w:start w:val="3"/>
    </w:lvl>
    <w:lvl w:ilvl="1">
      <w:lvlJc w:val="left"/>
      <w:lvlText w:val="%2"/>
      <w:numFmt w:val="lowerRoman"/>
      <w:start w:val="1"/>
    </w:lvl>
  </w:abstractNum>
  <w:abstractNum w:abstractNumId="178">
    <w:nsid w:val="7F65FD16"/>
    <w:multiLevelType w:val="hybridMultilevel"/>
    <w:lvl w:ilvl="0">
      <w:lvlJc w:val="left"/>
      <w:lvlText w:val="(%1)"/>
      <w:numFmt w:val="lowerLetter"/>
      <w:start w:val="1"/>
    </w:lvl>
  </w:abstractNum>
  <w:abstractNum w:abstractNumId="179">
    <w:nsid w:val="77C9FD68"/>
    <w:multiLevelType w:val="hybridMultilevel"/>
    <w:lvl w:ilvl="0">
      <w:lvlJc w:val="left"/>
      <w:lvlText w:val="(%1)"/>
      <w:numFmt w:val="lowerLetter"/>
      <w:start w:val="2"/>
    </w:lvl>
  </w:abstractNum>
  <w:abstractNum w:abstractNumId="180">
    <w:nsid w:val="298A92BA"/>
    <w:multiLevelType w:val="hybridMultilevel"/>
    <w:lvl w:ilvl="0">
      <w:lvlJc w:val="left"/>
      <w:lvlText w:val="%1."/>
      <w:numFmt w:val="decimal"/>
      <w:start w:val="1"/>
    </w:lvl>
  </w:abstractNum>
  <w:abstractNum w:abstractNumId="181">
    <w:nsid w:val="6FE95EAC"/>
    <w:multiLevelType w:val="hybridMultilevel"/>
    <w:lvl w:ilvl="0">
      <w:lvlJc w:val="left"/>
      <w:lvlText w:val="%1."/>
      <w:numFmt w:val="decimal"/>
      <w:start w:val="4"/>
    </w:lvl>
  </w:abstractNum>
  <w:abstractNum w:abstractNumId="182">
    <w:nsid w:val="4B697C7A"/>
    <w:multiLevelType w:val="hybridMultilevel"/>
    <w:lvl w:ilvl="0">
      <w:lvlJc w:val="left"/>
      <w:lvlText w:val="%1."/>
      <w:numFmt w:val="decimal"/>
      <w:start w:val="5"/>
    </w:lvl>
  </w:abstractNum>
  <w:abstractNum w:abstractNumId="183">
    <w:nsid w:val="51A27AA6"/>
    <w:multiLevelType w:val="hybridMultilevel"/>
    <w:lvl w:ilvl="0">
      <w:lvlJc w:val="left"/>
      <w:lvlText w:val="%1."/>
      <w:numFmt w:val="decimal"/>
      <w:start w:val="1"/>
    </w:lvl>
  </w:abstractNum>
  <w:abstractNum w:abstractNumId="184">
    <w:nsid w:val="613183F2"/>
    <w:multiLevelType w:val="hybridMultilevel"/>
    <w:lvl w:ilvl="0">
      <w:lvlJc w:val="left"/>
      <w:lvlText w:val="%1."/>
      <w:numFmt w:val="decimal"/>
      <w:start w:val="2"/>
    </w:lvl>
  </w:abstractNum>
  <w:abstractNum w:abstractNumId="185">
    <w:nsid w:val="634102B4"/>
    <w:multiLevelType w:val="hybridMultilevel"/>
    <w:lvl w:ilvl="0">
      <w:lvlJc w:val="left"/>
      <w:lvlText w:val="%1."/>
      <w:numFmt w:val="decimal"/>
      <w:start w:val="1"/>
    </w:lvl>
  </w:abstractNum>
  <w:abstractNum w:abstractNumId="186">
    <w:nsid w:val="65BF9DA8"/>
    <w:multiLevelType w:val="hybridMultilevel"/>
    <w:lvl w:ilvl="0">
      <w:lvlJc w:val="left"/>
      <w:lvlText w:val="["/>
      <w:numFmt w:val="bullet"/>
      <w:start w:val="1"/>
    </w:lvl>
    <w:lvl w:ilvl="1">
      <w:lvlJc w:val="left"/>
      <w:lvlText w:val="%2."/>
      <w:numFmt w:val="decimal"/>
      <w:start w:val="2"/>
    </w:lvl>
  </w:abstractNum>
  <w:abstractNum w:abstractNumId="187">
    <w:nsid w:val="21A2ECCA"/>
    <w:multiLevelType w:val="hybridMultilevel"/>
    <w:lvl w:ilvl="0">
      <w:lvlJc w:val="left"/>
      <w:lvlText w:val="%1."/>
      <w:numFmt w:val="decimal"/>
      <w:start w:val="3"/>
    </w:lvl>
  </w:abstractNum>
  <w:abstractNum w:abstractNumId="188">
    <w:nsid w:val="4D5C4899"/>
    <w:multiLevelType w:val="hybridMultilevel"/>
    <w:lvl w:ilvl="0">
      <w:lvlJc w:val="left"/>
      <w:lvlText w:val="%1."/>
      <w:numFmt w:val="decimal"/>
      <w:start w:val="4"/>
    </w:lvl>
  </w:abstractNum>
  <w:abstractNum w:abstractNumId="189">
    <w:nsid w:val="3C3B72B2"/>
    <w:multiLevelType w:val="hybridMultilevel"/>
    <w:lvl w:ilvl="0">
      <w:lvlJc w:val="left"/>
      <w:lvlText w:val="%1."/>
      <w:numFmt w:val="decimal"/>
      <w:start w:val="6"/>
    </w:lvl>
  </w:abstractNum>
  <w:abstractNum w:abstractNumId="190">
    <w:nsid w:val="155EC4C2"/>
    <w:multiLevelType w:val="hybridMultilevel"/>
    <w:lvl w:ilvl="0">
      <w:lvlJc w:val="left"/>
      <w:lvlText w:val="%1."/>
      <w:numFmt w:val="upperLetter"/>
      <w:start w:val="1"/>
    </w:lvl>
  </w:abstractNum>
  <w:abstractNum w:abstractNumId="191">
    <w:nsid w:val="65D2A137"/>
    <w:multiLevelType w:val="hybridMultilevel"/>
    <w:lvl w:ilvl="0">
      <w:lvlJc w:val="left"/>
      <w:lvlText w:val="%1."/>
      <w:numFmt w:val="upperLetter"/>
      <w:start w:val="2"/>
    </w:lvl>
  </w:abstractNum>
  <w:abstractNum w:abstractNumId="192">
    <w:nsid w:val="6EBB1F2A"/>
    <w:multiLevelType w:val="hybridMultilevel"/>
    <w:lvl w:ilvl="0">
      <w:lvlJc w:val="left"/>
      <w:lvlText w:val="(%1)"/>
      <w:numFmt w:val="lowerLetter"/>
      <w:start w:val="2"/>
    </w:lvl>
  </w:abstractNum>
  <w:abstractNum w:abstractNumId="193">
    <w:nsid w:val="6FBF29CB"/>
    <w:multiLevelType w:val="hybridMultilevel"/>
    <w:lvl w:ilvl="0">
      <w:lvlJc w:val="left"/>
      <w:lvlText w:val="(%1)"/>
      <w:numFmt w:val="lowerLetter"/>
      <w:start w:val="2"/>
    </w:lvl>
  </w:abstractNum>
  <w:abstractNum w:abstractNumId="194">
    <w:nsid w:val="550B8808"/>
    <w:multiLevelType w:val="hybridMultilevel"/>
    <w:lvl w:ilvl="0">
      <w:lvlJc w:val="left"/>
      <w:lvlText w:val="(%1)"/>
      <w:numFmt w:val="lowerLetter"/>
      <w:start w:val="3"/>
    </w:lvl>
  </w:abstractNum>
  <w:abstractNum w:abstractNumId="195">
    <w:nsid w:val="34CC3ACF"/>
    <w:multiLevelType w:val="hybridMultilevel"/>
    <w:lvl w:ilvl="0">
      <w:lvlJc w:val="left"/>
      <w:lvlText w:val="(%1)"/>
      <w:numFmt w:val="lowerRoman"/>
      <w:start w:val="1"/>
    </w:lvl>
  </w:abstractNum>
  <w:abstractNum w:abstractNumId="196">
    <w:nsid w:val="4E556261"/>
    <w:multiLevelType w:val="hybridMultilevel"/>
    <w:lvl w:ilvl="0">
      <w:lvlJc w:val="left"/>
      <w:lvlText w:val="(%1)"/>
      <w:numFmt w:val="lowerLetter"/>
      <w:start w:val="2"/>
    </w:lvl>
  </w:abstractNum>
  <w:abstractNum w:abstractNumId="197">
    <w:nsid w:val="4C672FC9"/>
    <w:multiLevelType w:val="hybridMultilevel"/>
    <w:lvl w:ilvl="0">
      <w:lvlJc w:val="left"/>
      <w:lvlText w:val="(%1)"/>
      <w:numFmt w:val="lowerRoman"/>
      <w:start w:val="13"/>
    </w:lvl>
  </w:abstractNum>
  <w:abstractNum w:abstractNumId="198">
    <w:nsid w:val="52A311C3"/>
    <w:multiLevelType w:val="hybridMultilevel"/>
    <w:lvl w:ilvl="0">
      <w:lvlJc w:val="left"/>
      <w:lvlText w:val="(%1)"/>
      <w:numFmt w:val="decimal"/>
      <w:start w:val="15"/>
    </w:lvl>
  </w:abstractNum>
  <w:abstractNum w:abstractNumId="199">
    <w:nsid w:val="44EF6B80"/>
    <w:multiLevelType w:val="hybridMultilevel"/>
    <w:lvl w:ilvl="0">
      <w:lvlJc w:val="left"/>
      <w:lvlText w:val="(%1)"/>
      <w:numFmt w:val="lowerLetter"/>
      <w:start w:val="1"/>
    </w:lvl>
  </w:abstractNum>
  <w:abstractNum w:abstractNumId="200">
    <w:nsid w:val="12FCDE5E"/>
    <w:multiLevelType w:val="hybridMultilevel"/>
    <w:lvl w:ilvl="0">
      <w:lvlJc w:val="left"/>
      <w:lvlText w:val="(%1)"/>
      <w:numFmt w:val="lowerRoman"/>
      <w:start w:val="1"/>
    </w:lvl>
  </w:abstractNum>
  <w:abstractNum w:abstractNumId="201">
    <w:nsid w:val="4A1D606E"/>
    <w:multiLevelType w:val="hybridMultilevel"/>
    <w:lvl w:ilvl="0">
      <w:lvlJc w:val="left"/>
      <w:lvlText w:val="(%1)"/>
      <w:numFmt w:val="lowerLetter"/>
      <w:start w:val="2"/>
    </w:lvl>
    <w:lvl w:ilvl="1">
      <w:lvlJc w:val="left"/>
      <w:lvlText w:val="(%2)"/>
      <w:numFmt w:val="lowerLetter"/>
      <w:start w:val="9"/>
    </w:lvl>
  </w:abstractNum>
  <w:abstractNum w:abstractNumId="202">
    <w:nsid w:val="4382503"/>
    <w:multiLevelType w:val="hybridMultilevel"/>
    <w:lvl w:ilvl="0">
      <w:lvlJc w:val="left"/>
      <w:lvlText w:val="%1"/>
      <w:numFmt w:val="lowerRoman"/>
      <w:start w:val="1"/>
    </w:lvl>
    <w:lvl w:ilvl="1">
      <w:lvlJc w:val="left"/>
      <w:lvlText w:val="(%2)"/>
      <w:numFmt w:val="lowerRoman"/>
      <w:start w:val="2"/>
    </w:lvl>
  </w:abstractNum>
  <w:abstractNum w:abstractNumId="203">
    <w:nsid w:val="59B76E28"/>
    <w:multiLevelType w:val="hybridMultilevel"/>
    <w:lvl w:ilvl="0">
      <w:lvlJc w:val="left"/>
      <w:lvlText w:val="(%1)"/>
      <w:numFmt w:val="lowerRoman"/>
      <w:start w:val="4"/>
    </w:lvl>
    <w:lvl w:ilvl="1">
      <w:lvlJc w:val="left"/>
      <w:lvlText w:val="%2"/>
      <w:numFmt w:val="lowerRoman"/>
      <w:start w:val="1"/>
    </w:lvl>
  </w:abstractNum>
  <w:abstractNum w:abstractNumId="204">
    <w:nsid w:val="4252C2DA"/>
    <w:multiLevelType w:val="hybridMultilevel"/>
    <w:lvl w:ilvl="0">
      <w:lvlJc w:val="left"/>
      <w:lvlText w:val="(%1)"/>
      <w:numFmt w:val="lowerRoman"/>
      <w:start w:val="5"/>
    </w:lvl>
  </w:abstractNum>
  <w:abstractNum w:abstractNumId="205">
    <w:nsid w:val="6A92EF4C"/>
    <w:multiLevelType w:val="hybridMultilevel"/>
    <w:lvl w:ilvl="0">
      <w:lvlJc w:val="left"/>
      <w:lvlText w:val="(%1)"/>
      <w:numFmt w:val="lowerRoman"/>
      <w:start w:val="6"/>
    </w:lvl>
  </w:abstractNum>
  <w:abstractNum w:abstractNumId="206">
    <w:nsid w:val="41ED20D7"/>
    <w:multiLevelType w:val="hybridMultilevel"/>
    <w:lvl w:ilvl="0">
      <w:lvlJc w:val="left"/>
      <w:lvlText w:val="(%1)"/>
      <w:numFmt w:val="lowerRoman"/>
      <w:start w:val="1"/>
    </w:lvl>
  </w:abstractNum>
  <w:abstractNum w:abstractNumId="207">
    <w:nsid w:val="E6B3F6A"/>
    <w:multiLevelType w:val="hybridMultilevel"/>
    <w:lvl w:ilvl="0">
      <w:lvlJc w:val="left"/>
      <w:lvlText w:val="(%1)"/>
      <w:numFmt w:val="lowerLetter"/>
      <w:start w:val="2"/>
    </w:lvl>
  </w:abstractNum>
  <w:abstractNum w:abstractNumId="208">
    <w:nsid w:val="3EB21819"/>
    <w:multiLevelType w:val="hybridMultilevel"/>
    <w:lvl w:ilvl="0">
      <w:lvlJc w:val="left"/>
      <w:lvlText w:val="(%1)"/>
      <w:numFmt w:val="lowerLetter"/>
      <w:start w:val="4"/>
    </w:lvl>
  </w:abstractNum>
  <w:abstractNum w:abstractNumId="209">
    <w:nsid w:val="41531DED"/>
    <w:multiLevelType w:val="hybridMultilevel"/>
    <w:lvl w:ilvl="0">
      <w:lvlJc w:val="left"/>
      <w:lvlText w:val="(%1)"/>
      <w:numFmt w:val="lowerLetter"/>
      <w:start w:val="2"/>
    </w:lvl>
  </w:abstractNum>
  <w:abstractNum w:abstractNumId="210">
    <w:nsid w:val="6353CD2"/>
    <w:multiLevelType w:val="hybridMultilevel"/>
    <w:lvl w:ilvl="0">
      <w:lvlJc w:val="left"/>
      <w:lvlText w:val="(%1)"/>
      <w:numFmt w:val="lowerLetter"/>
      <w:start w:val="3"/>
    </w:lvl>
  </w:abstractNum>
  <w:abstractNum w:abstractNumId="211">
    <w:nsid w:val="683CAAD3"/>
    <w:multiLevelType w:val="hybridMultilevel"/>
    <w:lvl w:ilvl="0">
      <w:lvlJc w:val="left"/>
      <w:lvlText w:val="(%1)"/>
      <w:numFmt w:val="lowerLetter"/>
      <w:start w:val="2"/>
    </w:lvl>
  </w:abstractNum>
  <w:abstractNum w:abstractNumId="212">
    <w:nsid w:val="313C7C99"/>
    <w:multiLevelType w:val="hybridMultilevel"/>
    <w:lvl w:ilvl="0">
      <w:lvlJc w:val="left"/>
      <w:lvlText w:val="(%1)"/>
      <w:numFmt w:val="lowerLetter"/>
      <w:start w:val="1"/>
    </w:lvl>
  </w:abstractNum>
  <w:abstractNum w:abstractNumId="213">
    <w:nsid w:val="519EB94C"/>
    <w:multiLevelType w:val="hybridMultilevel"/>
    <w:lvl w:ilvl="0">
      <w:lvlJc w:val="left"/>
      <w:lvlText w:val="(%1)"/>
      <w:numFmt w:val="lowerLetter"/>
      <w:start w:val="1"/>
    </w:lvl>
  </w:abstractNum>
  <w:abstractNum w:abstractNumId="214">
    <w:nsid w:val="39DF2579"/>
    <w:multiLevelType w:val="hybridMultilevel"/>
    <w:lvl w:ilvl="0">
      <w:lvlJc w:val="left"/>
      <w:lvlText w:val="(%1)"/>
      <w:numFmt w:val="lowerLetter"/>
      <w:start w:val="2"/>
    </w:lvl>
  </w:abstractNum>
  <w:abstractNum w:abstractNumId="215">
    <w:nsid w:val="126E008B"/>
    <w:multiLevelType w:val="hybridMultilevel"/>
    <w:lvl w:ilvl="0">
      <w:lvlJc w:val="left"/>
      <w:lvlText w:val="(%1)"/>
      <w:numFmt w:val="lowerLetter"/>
      <w:start w:val="3"/>
    </w:lvl>
  </w:abstractNum>
  <w:abstractNum w:abstractNumId="216">
    <w:nsid w:val="34DFBC00"/>
    <w:multiLevelType w:val="hybridMultilevel"/>
    <w:lvl w:ilvl="0">
      <w:lvlJc w:val="left"/>
      <w:lvlText w:val="%1"/>
      <w:numFmt w:val="decimal"/>
      <w:start w:val="1"/>
    </w:lvl>
    <w:lvl w:ilvl="1">
      <w:lvlJc w:val="left"/>
      <w:lvlText w:val="(%2)"/>
      <w:numFmt w:val="lowerLetter"/>
      <w:start w:val="2"/>
    </w:lvl>
  </w:abstractNum>
  <w:abstractNum w:abstractNumId="217">
    <w:nsid w:val="1F9EC322"/>
    <w:multiLevelType w:val="hybridMultilevel"/>
    <w:lvl w:ilvl="0">
      <w:lvlJc w:val="left"/>
      <w:lvlText w:val="(%1)"/>
      <w:numFmt w:val="decimal"/>
      <w:start w:val="3"/>
    </w:lvl>
    <w:lvl w:ilvl="1">
      <w:lvlJc w:val="left"/>
      <w:lvlText w:val="%2"/>
      <w:numFmt w:val="lowerLetter"/>
      <w:start w:val="1"/>
    </w:lvl>
  </w:abstractNum>
  <w:abstractNum w:abstractNumId="218">
    <w:nsid w:val="3410ED56"/>
    <w:multiLevelType w:val="hybridMultilevel"/>
    <w:lvl w:ilvl="0">
      <w:lvlJc w:val="left"/>
      <w:lvlText w:val="(%1)"/>
      <w:numFmt w:val="lowerLetter"/>
      <w:start w:val="3"/>
    </w:lvl>
  </w:abstractNum>
  <w:abstractNum w:abstractNumId="219">
    <w:nsid w:val="23C049A"/>
    <w:multiLevelType w:val="hybridMultilevel"/>
    <w:lvl w:ilvl="0">
      <w:lvlJc w:val="left"/>
      <w:lvlText w:val="(%1)"/>
      <w:numFmt w:val="decimal"/>
      <w:start w:val="60"/>
    </w:lvl>
    <w:lvl w:ilvl="1">
      <w:lvlJc w:val="left"/>
      <w:lvlText w:val="(%2)"/>
      <w:numFmt w:val="lowerLetter"/>
      <w:start w:val="2"/>
    </w:lvl>
  </w:abstractNum>
  <w:abstractNum w:abstractNumId="220">
    <w:nsid w:val="5BDA35D4"/>
    <w:multiLevelType w:val="hybridMultilevel"/>
    <w:lvl w:ilvl="0">
      <w:lvlJc w:val="left"/>
      <w:lvlText w:val="(%1)"/>
      <w:numFmt w:val="lowerRoman"/>
      <w:start w:val="1"/>
    </w:lvl>
  </w:abstractNum>
  <w:abstractNum w:abstractNumId="221">
    <w:nsid w:val="496FB21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22">
    <w:nsid w:val="680EA5D1"/>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23">
    <w:nsid w:val="4A9554FE"/>
    <w:multiLevelType w:val="hybridMultilevel"/>
    <w:lvl w:ilvl="0">
      <w:lvlJc w:val="left"/>
      <w:lvlText w:val="(%1)"/>
      <w:numFmt w:val="lowerLetter"/>
      <w:start w:val="9"/>
    </w:lvl>
    <w:lvl w:ilvl="1">
      <w:lvlJc w:val="left"/>
      <w:lvlText w:val="(%2)"/>
      <w:numFmt w:val="lowerLetter"/>
      <w:start w:val="4"/>
    </w:lvl>
    <w:lvl w:ilvl="2">
      <w:lvlJc w:val="left"/>
      <w:lvlText w:val="%3"/>
      <w:numFmt w:val="lowerLetter"/>
      <w:start w:val="1"/>
    </w:lvl>
  </w:abstractNum>
  <w:abstractNum w:abstractNumId="224">
    <w:nsid w:val="392EDBE4"/>
    <w:multiLevelType w:val="hybridMultilevel"/>
    <w:lvl w:ilvl="0">
      <w:lvlJc w:val="left"/>
      <w:lvlText w:val="(%1)"/>
      <w:numFmt w:val="decimal"/>
      <w:start w:val="30"/>
    </w:lvl>
    <w:lvl w:ilvl="1">
      <w:lvlJc w:val="left"/>
      <w:lvlText w:val="(%2)"/>
      <w:numFmt w:val="lowerLetter"/>
      <w:start w:val="6"/>
    </w:lvl>
    <w:lvl w:ilvl="2">
      <w:lvlJc w:val="left"/>
      <w:lvlText w:val="(%3)"/>
      <w:numFmt w:val="lowerLetter"/>
      <w:start w:val="6"/>
    </w:lvl>
  </w:abstractNum>
  <w:abstractNum w:abstractNumId="225">
    <w:nsid w:val="3D1A2DD9"/>
    <w:multiLevelType w:val="hybridMultilevel"/>
    <w:lvl w:ilvl="0">
      <w:lvlJc w:val="left"/>
      <w:lvlText w:val="(%1)"/>
      <w:numFmt w:val="lowerLetter"/>
      <w:start w:val="8"/>
    </w:lvl>
  </w:abstractNum>
  <w:abstractNum w:abstractNumId="226">
    <w:nsid w:val="7F618FCD"/>
    <w:multiLevelType w:val="hybridMultilevel"/>
    <w:lvl w:ilvl="0">
      <w:lvlJc w:val="left"/>
      <w:lvlText w:val="(%1)"/>
      <w:numFmt w:val="lowerLetter"/>
      <w:start w:val="9"/>
    </w:lvl>
  </w:abstractNum>
  <w:abstractNum w:abstractNumId="227">
    <w:nsid w:val="7843E45"/>
    <w:multiLevelType w:val="hybridMultilevel"/>
    <w:lvl w:ilvl="0">
      <w:lvlJc w:val="left"/>
      <w:lvlText w:val="(%1)"/>
      <w:numFmt w:val="lowerLetter"/>
      <w:start w:val="15"/>
    </w:lvl>
  </w:abstractNum>
  <w:abstractNum w:abstractNumId="228">
    <w:nsid w:val="9815DA3"/>
    <w:multiLevelType w:val="hybridMultilevel"/>
    <w:lvl w:ilvl="0">
      <w:lvlJc w:val="left"/>
      <w:lvlText w:val="(%1)"/>
      <w:numFmt w:val="lowerLetter"/>
      <w:start w:val="1"/>
    </w:lvl>
  </w:abstractNum>
  <w:abstractNum w:abstractNumId="229">
    <w:nsid w:val="5204A191"/>
    <w:multiLevelType w:val="hybridMultilevel"/>
    <w:lvl w:ilvl="0">
      <w:lvlJc w:val="left"/>
      <w:lvlText w:val="(%1)"/>
      <w:numFmt w:val="lowerLetter"/>
      <w:start w:val="3"/>
    </w:lvl>
  </w:abstractNum>
  <w:abstractNum w:abstractNumId="230">
    <w:nsid w:val="4C73A9C6"/>
    <w:multiLevelType w:val="hybridMultilevel"/>
    <w:lvl w:ilvl="0">
      <w:lvlJc w:val="left"/>
      <w:lvlText w:val="(%1)"/>
      <w:numFmt w:val="lowerLetter"/>
      <w:start w:val="5"/>
    </w:lvl>
  </w:abstractNum>
  <w:abstractNum w:abstractNumId="231">
    <w:nsid w:val="1C7E3C01"/>
    <w:multiLevelType w:val="hybridMultilevel"/>
    <w:lvl w:ilvl="0">
      <w:lvlJc w:val="left"/>
      <w:lvlText w:val="(%1)"/>
      <w:numFmt w:val="lowerLetter"/>
      <w:start w:val="1"/>
    </w:lvl>
  </w:abstractNum>
  <w:abstractNum w:abstractNumId="232">
    <w:nsid w:val="1C2201FF"/>
    <w:multiLevelType w:val="hybridMultilevel"/>
    <w:lvl w:ilvl="0">
      <w:lvlJc w:val="left"/>
      <w:lvlText w:val="(%1)"/>
      <w:numFmt w:val="lowerLetter"/>
      <w:start w:val="3"/>
    </w:lvl>
  </w:abstractNum>
  <w:abstractNum w:abstractNumId="233">
    <w:nsid w:val="50ABCEC9"/>
    <w:multiLevelType w:val="hybridMultilevel"/>
    <w:lvl w:ilvl="0">
      <w:lvlJc w:val="left"/>
      <w:lvlText w:val="(%1)"/>
      <w:numFmt w:val="lowerRoman"/>
      <w:start w:val="1"/>
    </w:lvl>
  </w:abstractNum>
  <w:abstractNum w:abstractNumId="234">
    <w:nsid w:val="7635AA2A"/>
    <w:multiLevelType w:val="hybridMultilevel"/>
    <w:lvl w:ilvl="0">
      <w:lvlJc w:val="left"/>
      <w:lvlText w:val="(%1)"/>
      <w:numFmt w:val="lowerRoman"/>
      <w:start w:val="2"/>
    </w:lvl>
  </w:abstractNum>
  <w:abstractNum w:abstractNumId="235">
    <w:nsid w:val="5E74C4D9"/>
    <w:multiLevelType w:val="hybridMultilevel"/>
    <w:lvl w:ilvl="0">
      <w:lvlJc w:val="left"/>
      <w:lvlText w:val="(%1)"/>
      <w:numFmt w:val="lowerLetter"/>
      <w:start w:val="1"/>
    </w:lvl>
  </w:abstractNum>
  <w:abstractNum w:abstractNumId="236">
    <w:nsid w:val="3B3EBE15"/>
    <w:multiLevelType w:val="hybridMultilevel"/>
    <w:lvl w:ilvl="0">
      <w:lvlJc w:val="left"/>
      <w:lvlText w:val="(%1)"/>
      <w:numFmt w:val="lowerLetter"/>
      <w:start w:val="3"/>
    </w:lvl>
    <w:lvl w:ilvl="1">
      <w:lvlJc w:val="left"/>
      <w:lvlText w:val="(%2)"/>
      <w:numFmt w:val="lowerLetter"/>
      <w:start w:val="7"/>
    </w:lvl>
  </w:abstractNum>
  <w:abstractNum w:abstractNumId="237">
    <w:nsid w:val="3822CB01"/>
    <w:multiLevelType w:val="hybridMultilevel"/>
    <w:lvl w:ilvl="0">
      <w:lvlJc w:val="left"/>
      <w:lvlText w:val="(%1)"/>
      <w:numFmt w:val="decimal"/>
      <w:start w:val="5"/>
    </w:lvl>
  </w:abstractNum>
  <w:abstractNum w:abstractNumId="238">
    <w:nsid w:val="6CE00443"/>
    <w:multiLevelType w:val="hybridMultilevel"/>
    <w:lvl w:ilvl="0">
      <w:lvlJc w:val="left"/>
      <w:lvlText w:val="(%1)"/>
      <w:numFmt w:val="lowerLetter"/>
      <w:start w:val="8"/>
    </w:lvl>
  </w:abstractNum>
  <w:abstractNum w:abstractNumId="239">
    <w:nsid w:val="79F0D62F"/>
    <w:multiLevelType w:val="hybridMultilevel"/>
    <w:lvl w:ilvl="0">
      <w:lvlJc w:val="left"/>
      <w:lvlText w:val="(%1)"/>
      <w:numFmt w:val="lowerLetter"/>
      <w:start w:val="12"/>
    </w:lvl>
  </w:abstractNum>
  <w:abstractNum w:abstractNumId="240">
    <w:nsid w:val="7975E8EE"/>
    <w:multiLevelType w:val="hybridMultilevel"/>
    <w:lvl w:ilvl="0">
      <w:lvlJc w:val="left"/>
      <w:lvlText w:val="(%1)"/>
      <w:numFmt w:val="lowerRoman"/>
      <w:start w:val="1"/>
    </w:lvl>
  </w:abstractNum>
  <w:abstractNum w:abstractNumId="241">
    <w:nsid w:val="73154115"/>
    <w:multiLevelType w:val="hybridMultilevel"/>
    <w:lvl w:ilvl="0">
      <w:lvlJc w:val="left"/>
      <w:lvlText w:val="(%1)"/>
      <w:numFmt w:val="lowerRoman"/>
      <w:start w:val="2"/>
    </w:lvl>
  </w:abstractNum>
  <w:abstractNum w:abstractNumId="242">
    <w:nsid w:val="622D8102"/>
    <w:multiLevelType w:val="hybridMultilevel"/>
    <w:lvl w:ilvl="0">
      <w:lvlJc w:val="left"/>
      <w:lvlText w:val="(%1)"/>
      <w:numFmt w:val="lowerRoman"/>
      <w:start w:val="5"/>
    </w:lvl>
  </w:abstractNum>
  <w:abstractNum w:abstractNumId="243">
    <w:nsid w:val="2AB26587"/>
    <w:multiLevelType w:val="hybridMultilevel"/>
    <w:lvl w:ilvl="0">
      <w:lvlJc w:val="left"/>
      <w:lvlText w:val="(%1)"/>
      <w:numFmt w:val="lowerLetter"/>
      <w:start w:val="1"/>
    </w:lvl>
    <w:lvl w:ilvl="1">
      <w:lvlJc w:val="left"/>
      <w:lvlText w:val="(%2)"/>
      <w:numFmt w:val="lowerLetter"/>
      <w:start w:val="9"/>
    </w:lvl>
  </w:abstractNum>
  <w:abstractNum w:abstractNumId="244">
    <w:nsid w:val="44B3FA61"/>
    <w:multiLevelType w:val="hybridMultilevel"/>
    <w:lvl w:ilvl="0">
      <w:lvlJc w:val="left"/>
      <w:lvlText w:val="(%1)"/>
      <w:numFmt w:val="lowerRoman"/>
      <w:start w:val="2"/>
    </w:lvl>
  </w:abstractNum>
  <w:abstractNum w:abstractNumId="245">
    <w:nsid w:val="1C0CA67C"/>
    <w:multiLevelType w:val="hybridMultilevel"/>
    <w:lvl w:ilvl="0">
      <w:lvlJc w:val="left"/>
      <w:lvlText w:val="(%1)"/>
      <w:numFmt w:val="lowerLetter"/>
      <w:start w:val="2"/>
    </w:lvl>
  </w:abstractNum>
  <w:abstractNum w:abstractNumId="246">
    <w:nsid w:val="3D206613"/>
    <w:multiLevelType w:val="hybridMultilevel"/>
    <w:lvl w:ilvl="0">
      <w:lvlJc w:val="left"/>
      <w:lvlText w:val="(%1)"/>
      <w:numFmt w:val="lowerLetter"/>
      <w:start w:val="2"/>
    </w:lvl>
  </w:abstractNum>
  <w:abstractNum w:abstractNumId="247">
    <w:nsid w:val="7993B662"/>
    <w:multiLevelType w:val="hybridMultilevel"/>
    <w:lvl w:ilvl="0">
      <w:lvlJc w:val="left"/>
      <w:lvlText w:val="(%1)"/>
      <w:numFmt w:val="lowerLetter"/>
      <w:start w:val="3"/>
    </w:lvl>
  </w:abstractNum>
  <w:abstractNum w:abstractNumId="248">
    <w:nsid w:val="3BAB699E"/>
    <w:multiLevelType w:val="hybridMultilevel"/>
    <w:lvl w:ilvl="0">
      <w:lvlJc w:val="left"/>
      <w:lvlText w:val="(%1)"/>
      <w:numFmt w:val="lowerLetter"/>
      <w:start w:val="1"/>
    </w:lvl>
  </w:abstractNum>
  <w:abstractNum w:abstractNumId="249">
    <w:nsid w:val="71315369"/>
    <w:multiLevelType w:val="hybridMultilevel"/>
    <w:lvl w:ilvl="0">
      <w:lvlJc w:val="left"/>
      <w:lvlText w:val="(%1)"/>
      <w:numFmt w:val="lowerLetter"/>
      <w:start w:val="2"/>
    </w:lvl>
    <w:lvl w:ilvl="1">
      <w:lvlJc w:val="left"/>
      <w:lvlText w:val="(%2)"/>
      <w:numFmt w:val="lowerRoman"/>
      <w:start w:val="1"/>
    </w:lvl>
  </w:abstractNum>
  <w:abstractNum w:abstractNumId="250">
    <w:nsid w:val="7BCFBAFC"/>
    <w:multiLevelType w:val="hybridMultilevel"/>
    <w:lvl w:ilvl="0">
      <w:lvlJc w:val="left"/>
      <w:lvlText w:val="(%1)"/>
      <w:numFmt w:val="lowerRoman"/>
      <w:start w:val="7"/>
    </w:lvl>
  </w:abstractNum>
  <w:abstractNum w:abstractNumId="251">
    <w:nsid w:val="17859F72"/>
    <w:multiLevelType w:val="hybridMultilevel"/>
    <w:lvl w:ilvl="0">
      <w:lvlJc w:val="left"/>
      <w:lvlText w:val="(%1)"/>
      <w:numFmt w:val="lowerLetter"/>
      <w:start w:val="5"/>
    </w:lvl>
  </w:abstractNum>
  <w:abstractNum w:abstractNumId="252">
    <w:nsid w:val="3AA10581"/>
    <w:multiLevelType w:val="hybridMultilevel"/>
    <w:lvl w:ilvl="0">
      <w:lvlJc w:val="left"/>
      <w:lvlText w:val="(%1)"/>
      <w:numFmt w:val="lowerLetter"/>
      <w:start w:val="2"/>
    </w:lvl>
  </w:abstractNum>
  <w:abstractNum w:abstractNumId="253">
    <w:nsid w:val="63DE60CD"/>
    <w:multiLevelType w:val="hybridMultilevel"/>
    <w:lvl w:ilvl="0">
      <w:lvlJc w:val="left"/>
      <w:lvlText w:val="%1."/>
      <w:numFmt w:val="decimal"/>
      <w:start w:val="1"/>
    </w:lvl>
  </w:abstractNum>
  <w:abstractNum w:abstractNumId="254">
    <w:nsid w:val="621AF471"/>
    <w:multiLevelType w:val="hybridMultilevel"/>
    <w:lvl w:ilvl="0">
      <w:lvlJc w:val="left"/>
      <w:lvlText w:val="%1."/>
      <w:numFmt w:val="decimal"/>
      <w:start w:val="9"/>
    </w:lvl>
  </w:abstractNum>
  <w:abstractNum w:abstractNumId="255">
    <w:nsid w:val="73CFE165"/>
    <w:multiLevelType w:val="hybridMultilevel"/>
    <w:lvl w:ilvl="0">
      <w:lvlJc w:val="left"/>
      <w:lvlText w:val="%1."/>
      <w:numFmt w:val="decimal"/>
      <w:start w:val="40"/>
    </w:lvl>
  </w:abstractNum>
  <w:abstractNum w:abstractNumId="256">
    <w:nsid w:val="20F88EA6"/>
    <w:multiLevelType w:val="hybridMultilevel"/>
    <w:lvl w:ilvl="0">
      <w:lvlJc w:val="left"/>
      <w:lvlText w:val="%1."/>
      <w:numFmt w:val="decimal"/>
      <w:start w:val="1"/>
    </w:lvl>
  </w:abstractNum>
  <w:abstractNum w:abstractNumId="257">
    <w:nsid w:val="617C843E"/>
    <w:multiLevelType w:val="hybridMultilevel"/>
    <w:lvl w:ilvl="0">
      <w:lvlJc w:val="left"/>
      <w:lvlText w:val="%1."/>
      <w:numFmt w:val="decimal"/>
      <w:start w:val="22"/>
    </w:lvl>
  </w:abstractNum>
  <w:abstractNum w:abstractNumId="258">
    <w:nsid w:val="7B541FAB"/>
    <w:multiLevelType w:val="hybridMultilevel"/>
    <w:lvl w:ilvl="0">
      <w:lvlJc w:val="left"/>
      <w:lvlText w:val="%1."/>
      <w:numFmt w:val="decimal"/>
      <w:start w:val="55"/>
    </w:lvl>
  </w:abstractNum>
  <w:abstractNum w:abstractNumId="259">
    <w:nsid w:val="2A79EC49"/>
    <w:multiLevelType w:val="hybridMultilevel"/>
    <w:lvl w:ilvl="0">
      <w:lvlJc w:val="left"/>
      <w:lvlText w:val="%1."/>
      <w:numFmt w:val="upperLetter"/>
      <w:start w:val="1"/>
    </w:lvl>
  </w:abstractNum>
  <w:abstractNum w:abstractNumId="260">
    <w:nsid w:val="338125CF"/>
    <w:multiLevelType w:val="hybridMultilevel"/>
    <w:lvl w:ilvl="0">
      <w:lvlJc w:val="left"/>
      <w:lvlText w:val="(%1)"/>
      <w:numFmt w:val="lowerLetter"/>
      <w:start w:val="1"/>
    </w:lvl>
  </w:abstractNum>
  <w:abstractNum w:abstractNumId="261">
    <w:nsid w:val="47C7C971"/>
    <w:multiLevelType w:val="hybridMultilevel"/>
    <w:lvl w:ilvl="0">
      <w:lvlJc w:val="left"/>
      <w:lvlText w:val="(%1)"/>
      <w:numFmt w:val="lowerLetter"/>
      <w:start w:val="2"/>
    </w:lvl>
  </w:abstractNum>
  <w:abstractNum w:abstractNumId="262">
    <w:nsid w:val="46F8284B"/>
    <w:multiLevelType w:val="hybridMultilevel"/>
    <w:lvl w:ilvl="0">
      <w:lvlJc w:val="left"/>
      <w:lvlText w:val="%1."/>
      <w:numFmt w:val="decimal"/>
      <w:start w:val="1"/>
    </w:lvl>
  </w:abstractNum>
  <w:abstractNum w:abstractNumId="263">
    <w:nsid w:val="4FA327CE"/>
    <w:multiLevelType w:val="hybridMultilevel"/>
    <w:lvl w:ilvl="0">
      <w:lvlJc w:val="left"/>
      <w:lvlText w:val="%1."/>
      <w:numFmt w:val="decimal"/>
      <w:start w:val="3"/>
    </w:lvl>
  </w:abstractNum>
  <w:abstractNum w:abstractNumId="264">
    <w:nsid w:val="1873983A"/>
    <w:multiLevelType w:val="hybridMultilevel"/>
    <w:lvl w:ilvl="0">
      <w:lvlJc w:val="left"/>
      <w:lvlText w:val="%1."/>
      <w:numFmt w:val="decimal"/>
      <w:start w:val="9"/>
    </w:lvl>
  </w:abstractNum>
  <w:abstractNum w:abstractNumId="265">
    <w:nsid w:val="3D2DD275"/>
    <w:multiLevelType w:val="hybridMultilevel"/>
    <w:lvl w:ilvl="0">
      <w:lvlJc w:val="left"/>
      <w:lvlText w:val="%1."/>
      <w:numFmt w:val="decimal"/>
      <w:start w:val="25"/>
    </w:lvl>
  </w:abstractNum>
  <w:abstractNum w:abstractNumId="266">
    <w:nsid w:val="2E17ECA7"/>
    <w:multiLevelType w:val="hybridMultilevel"/>
    <w:lvl w:ilvl="0">
      <w:lvlJc w:val="left"/>
      <w:lvlText w:val="%1."/>
      <w:numFmt w:val="decimal"/>
      <w:start w:val="29"/>
    </w:lvl>
  </w:abstractNum>
  <w:abstractNum w:abstractNumId="267">
    <w:nsid w:val="53B2564F"/>
    <w:multiLevelType w:val="hybridMultilevel"/>
    <w:lvl w:ilvl="0">
      <w:lvlJc w:val="left"/>
      <w:lvlText w:val="%1."/>
      <w:numFmt w:val="decimal"/>
      <w:start w:val="1"/>
    </w:lvl>
  </w:abstractNum>
  <w:abstractNum w:abstractNumId="268">
    <w:nsid w:val="75509D76"/>
    <w:multiLevelType w:val="hybridMultilevel"/>
    <w:lvl w:ilvl="0">
      <w:lvlJc w:val="left"/>
      <w:lvlText w:val="%1."/>
      <w:numFmt w:val="decimal"/>
      <w:start w:val="11"/>
    </w:lvl>
  </w:abstractNum>
  <w:abstractNum w:abstractNumId="269">
    <w:nsid w:val="1AF7F0EA"/>
    <w:multiLevelType w:val="hybridMultilevel"/>
    <w:lvl w:ilvl="0">
      <w:lvlJc w:val="left"/>
      <w:lvlText w:val="%1."/>
      <w:numFmt w:val="decimal"/>
      <w:start w:val="32"/>
    </w:lvl>
  </w:abstractNum>
  <w:abstractNum w:abstractNumId="270">
    <w:nsid w:val="4DA32C7E"/>
    <w:multiLevelType w:val="hybridMultilevel"/>
    <w:lvl w:ilvl="0">
      <w:lvlJc w:val="left"/>
      <w:lvlText w:val="%1."/>
      <w:numFmt w:val="decimal"/>
      <w:start w:val="46"/>
    </w:lvl>
  </w:abstractNum>
  <w:abstractNum w:abstractNumId="271">
    <w:nsid w:val="6EC68664"/>
    <w:multiLevelType w:val="hybridMultilevel"/>
    <w:lvl w:ilvl="0">
      <w:lvlJc w:val="left"/>
      <w:lvlText w:val="%1."/>
      <w:numFmt w:val="decimal"/>
      <w:start w:val="52"/>
    </w:lvl>
  </w:abstractNum>
  <w:abstractNum w:abstractNumId="272">
    <w:nsid w:val="E0D31FF"/>
    <w:multiLevelType w:val="hybridMultilevel"/>
    <w:lvl w:ilvl="0">
      <w:lvlJc w:val="left"/>
      <w:lvlText w:val="%1."/>
      <w:numFmt w:val="decimal"/>
      <w:start w:val="68"/>
    </w:lvl>
  </w:abstractNum>
  <w:abstractNum w:abstractNumId="273">
    <w:nsid w:val="2FD0AD81"/>
    <w:multiLevelType w:val="hybridMultilevel"/>
    <w:lvl w:ilvl="0">
      <w:lvlJc w:val="left"/>
      <w:lvlText w:val="(%1)"/>
      <w:numFmt w:val="lowerRoman"/>
      <w:start w:val="1"/>
    </w:lvl>
  </w:abstractNum>
  <w:abstractNum w:abstractNumId="274">
    <w:nsid w:val="1978EBEB"/>
    <w:multiLevelType w:val="hybridMultilevel"/>
    <w:lvl w:ilvl="0">
      <w:lvlJc w:val="left"/>
      <w:lvlText w:val="%1."/>
      <w:numFmt w:val="decimal"/>
      <w:start w:val="1"/>
    </w:lvl>
  </w:abstractNum>
  <w:abstractNum w:abstractNumId="275">
    <w:nsid w:val="52C12C61"/>
    <w:multiLevelType w:val="hybridMultilevel"/>
    <w:lvl w:ilvl="0">
      <w:lvlJc w:val="left"/>
      <w:lvlText w:val="%1."/>
      <w:numFmt w:val="decimal"/>
      <w:start w:val="10"/>
    </w:lvl>
  </w:abstractNum>
  <w:abstractNum w:abstractNumId="276">
    <w:nsid w:val="4BDD53FD"/>
    <w:multiLevelType w:val="hybridMultilevel"/>
    <w:lvl w:ilvl="0">
      <w:lvlJc w:val="left"/>
      <w:lvlText w:val="%1."/>
      <w:numFmt w:val="decimal"/>
      <w:start w:val="22"/>
    </w:lvl>
  </w:abstractNum>
  <w:abstractNum w:abstractNumId="277">
    <w:nsid w:val="569951FE"/>
    <w:multiLevelType w:val="hybridMultilevel"/>
    <w:lvl w:ilvl="0">
      <w:lvlJc w:val="left"/>
      <w:lvlText w:val="%1."/>
      <w:numFmt w:val="decimal"/>
      <w:start w:val="26"/>
    </w:lvl>
  </w:abstractNum>
  <w:abstractNum w:abstractNumId="278">
    <w:nsid w:val="4C54E2C3"/>
    <w:multiLevelType w:val="hybridMultilevel"/>
    <w:lvl w:ilvl="0">
      <w:lvlJc w:val="left"/>
      <w:lvlText w:val="%1."/>
      <w:numFmt w:val="decimal"/>
      <w:start w:val="2"/>
    </w:lvl>
  </w:abstractNum>
  <w:abstractNum w:abstractNumId="279">
    <w:nsid w:val="788BD9B"/>
    <w:multiLevelType w:val="hybridMultilevel"/>
    <w:lvl w:ilvl="0">
      <w:lvlJc w:val="left"/>
      <w:lvlText w:val="%1."/>
      <w:numFmt w:val="decimal"/>
      <w:start w:val="36"/>
    </w:lvl>
  </w:abstractNum>
  <w:abstractNum w:abstractNumId="280">
    <w:nsid w:val="47CAA567"/>
    <w:multiLevelType w:val="hybridMultilevel"/>
    <w:lvl w:ilvl="0">
      <w:lvlJc w:val="left"/>
      <w:lvlText w:val="%1."/>
      <w:numFmt w:val="decimal"/>
      <w:start w:val="68"/>
    </w:lvl>
  </w:abstractNum>
  <w:abstractNum w:abstractNumId="281">
    <w:nsid w:val="48249DBF"/>
    <w:multiLevelType w:val="hybridMultilevel"/>
    <w:lvl w:ilvl="0">
      <w:lvlJc w:val="left"/>
      <w:lvlText w:val="%1."/>
      <w:numFmt w:val="upperLetter"/>
      <w:start w:val="35"/>
    </w:lvl>
  </w:abstractNum>
  <w:abstractNum w:abstractNumId="282">
    <w:nsid w:val="1F0E5D0D"/>
    <w:multiLevelType w:val="hybridMultilevel"/>
    <w:lvl w:ilvl="0">
      <w:lvlJc w:val="left"/>
      <w:lvlText w:val="·"/>
      <w:numFmt w:val="bullet"/>
      <w:start w:val="1"/>
    </w:lvl>
  </w:abstractNum>
  <w:abstractNum w:abstractNumId="283">
    <w:nsid w:val="26BAAE9"/>
    <w:multiLevelType w:val="hybridMultilevel"/>
    <w:lvl w:ilvl="0">
      <w:lvlJc w:val="left"/>
      <w:lvlText w:val="***"/>
      <w:numFmt w:val="bullet"/>
      <w:start w:val="1"/>
    </w:lvl>
    <w:lvl w:ilvl="1">
      <w:lvlJc w:val="left"/>
      <w:lvlText w:val="·"/>
      <w:numFmt w:val="bullet"/>
      <w:start w:val="1"/>
    </w:lvl>
  </w:abstractNum>
  <w:abstractNum w:abstractNumId="284">
    <w:nsid w:val="2C02FE8C"/>
    <w:multiLevelType w:val="hybridMultilevel"/>
    <w:lvl w:ilvl="0">
      <w:lvlJc w:val="left"/>
      <w:lvlText w:val="(%1)"/>
      <w:numFmt w:val="upperLetter"/>
      <w:start w:val="1"/>
    </w:lvl>
  </w:abstractNum>
  <w:abstractNum w:abstractNumId="285">
    <w:nsid w:val="129517E"/>
    <w:multiLevelType w:val="hybridMultilevel"/>
    <w:lvl w:ilvl="0">
      <w:lvlJc w:val="left"/>
      <w:lvlText w:val="(%1)"/>
      <w:numFmt w:val="upperLetter"/>
      <w:start w:val="6"/>
    </w:lvl>
  </w:abstractNum>
  <w:abstractNum w:abstractNumId="286">
    <w:nsid w:val="763B8C4E"/>
    <w:multiLevelType w:val="hybridMultilevel"/>
    <w:lvl w:ilvl="0">
      <w:lvlJc w:val="left"/>
      <w:lvlText w:val="(%1)"/>
      <w:numFmt w:val="upperLetter"/>
      <w:start w:val="1"/>
    </w:lvl>
  </w:abstractNum>
  <w:abstractNum w:abstractNumId="287">
    <w:nsid w:val="4CFB8D3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88">
    <w:nsid w:val="62A5D5BD"/>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2"/>
    </w:lvl>
  </w:abstractNum>
  <w:abstractNum w:abstractNumId="289">
    <w:nsid w:val="718FABF9"/>
    <w:multiLevelType w:val="hybridMultilevel"/>
    <w:lvl w:ilvl="0">
      <w:lvlJc w:val="left"/>
      <w:lvlText w:val="%1"/>
      <w:numFmt w:val="lowerLetter"/>
      <w:start w:val="1"/>
    </w:lvl>
    <w:lvl w:ilvl="1">
      <w:lvlJc w:val="left"/>
      <w:lvlText w:val="(%2)"/>
      <w:numFmt w:val="lowerLetter"/>
      <w:start w:val="3"/>
    </w:lvl>
  </w:abstractNum>
  <w:abstractNum w:abstractNumId="290">
    <w:nsid w:val="7775797C"/>
    <w:multiLevelType w:val="hybridMultilevel"/>
    <w:lvl w:ilvl="0">
      <w:lvlJc w:val="left"/>
      <w:lvlText w:val="(%1)"/>
      <w:numFmt w:val="lowerLetter"/>
      <w:start w:val="35"/>
    </w:lvl>
    <w:lvl w:ilvl="1">
      <w:lvlJc w:val="left"/>
      <w:lvlText w:val="(%2)"/>
      <w:numFmt w:val="lowerLetter"/>
      <w:start w:val="5"/>
    </w:lvl>
  </w:abstractNum>
  <w:abstractNum w:abstractNumId="291">
    <w:nsid w:val="1626FB8C"/>
    <w:multiLevelType w:val="hybridMultilevel"/>
    <w:lvl w:ilvl="0">
      <w:lvlJc w:val="left"/>
      <w:lvlText w:val="(%1)"/>
      <w:numFmt w:val="lowerRoman"/>
      <w:start w:val="2"/>
    </w:lvl>
  </w:abstractNum>
  <w:abstractNum w:abstractNumId="292">
    <w:nsid w:val="3957756A"/>
    <w:multiLevelType w:val="hybridMultilevel"/>
    <w:lvl w:ilvl="0">
      <w:lvlJc w:val="left"/>
      <w:lvlText w:val="(%1)"/>
      <w:numFmt w:val="lowerLetter"/>
      <w:start w:val="6"/>
    </w:lvl>
  </w:abstractNum>
  <w:abstractNum w:abstractNumId="293">
    <w:nsid w:val="3E6DA1C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294">
    <w:nsid w:val="65CA235B"/>
    <w:multiLevelType w:val="hybridMultilevel"/>
    <w:lvl w:ilvl="0">
      <w:lvlJc w:val="left"/>
      <w:lvlText w:val="(%1)"/>
      <w:numFmt w:val="upperLetter"/>
      <w:start w:val="3"/>
    </w:lvl>
    <w:lvl w:ilvl="1">
      <w:lvlJc w:val="left"/>
      <w:lvlText w:val="(%2)"/>
      <w:numFmt w:val="lowerLetter"/>
      <w:start w:val="8"/>
    </w:lvl>
    <w:lvl w:ilvl="2">
      <w:lvlJc w:val="left"/>
      <w:lvlText w:val="(%3)"/>
      <w:numFmt w:val="lowerLetter"/>
      <w:start w:val="7"/>
    </w:lvl>
  </w:abstractNum>
  <w:abstractNum w:abstractNumId="295">
    <w:nsid w:val="51CB0DA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0"/>
    </w:lvl>
  </w:abstractNum>
  <w:abstractNum w:abstractNumId="296">
    <w:nsid w:val="7B9B743C"/>
    <w:multiLevelType w:val="hybridMultilevel"/>
    <w:lvl w:ilvl="0">
      <w:lvlJc w:val="left"/>
      <w:lvlText w:val="(%1)"/>
      <w:numFmt w:val="lowerLetter"/>
      <w:start w:val="11"/>
    </w:lvl>
    <w:lvl w:ilvl="1">
      <w:lvlJc w:val="left"/>
      <w:lvlText w:val="(%2)"/>
      <w:numFmt w:val="lowerLetter"/>
      <w:start w:val="15"/>
    </w:lvl>
  </w:abstractNum>
  <w:abstractNum w:abstractNumId="297">
    <w:nsid w:val="13E21002"/>
    <w:multiLevelType w:val="hybridMultilevel"/>
    <w:lvl w:ilvl="0">
      <w:lvlJc w:val="left"/>
      <w:lvlText w:val="%1"/>
      <w:numFmt w:val="lowerLetter"/>
      <w:start w:val="1"/>
    </w:lvl>
    <w:lvl w:ilvl="1">
      <w:lvlJc w:val="left"/>
      <w:lvlText w:val="(%2)"/>
      <w:numFmt w:val="lowerLetter"/>
      <w:start w:val="16"/>
    </w:lvl>
    <w:lvl w:ilvl="2">
      <w:lvlJc w:val="left"/>
      <w:lvlText w:val="(%3)"/>
      <w:numFmt w:val="lowerRoman"/>
      <w:start w:val="1"/>
    </w:lvl>
  </w:abstractNum>
  <w:abstractNum w:abstractNumId="298">
    <w:nsid w:val="257D63F4"/>
    <w:multiLevelType w:val="hybridMultilevel"/>
    <w:lvl w:ilvl="0">
      <w:lvlJc w:val="left"/>
      <w:lvlText w:val="(%1)"/>
      <w:numFmt w:val="lowerLetter"/>
      <w:start w:val="17"/>
    </w:lvl>
    <w:lvl w:ilvl="1">
      <w:lvlJc w:val="left"/>
      <w:lvlText w:val="%2"/>
      <w:numFmt w:val="lowerLetter"/>
      <w:start w:val="1"/>
    </w:lvl>
    <w:lvl w:ilvl="2">
      <w:lvlJc w:val="left"/>
      <w:lvlText w:val="%3"/>
      <w:numFmt w:val="lowerRoman"/>
      <w:start w:val="1"/>
    </w:lvl>
  </w:abstractNum>
  <w:abstractNum w:abstractNumId="299">
    <w:nsid w:val="70EC11B2"/>
    <w:multiLevelType w:val="hybridMultilevel"/>
    <w:lvl w:ilvl="0">
      <w:lvlJc w:val="left"/>
      <w:lvlText w:val="(%1)"/>
      <w:numFmt w:val="lowerLetter"/>
      <w:start w:val="18"/>
    </w:lvl>
    <w:lvl w:ilvl="1">
      <w:lvlJc w:val="left"/>
      <w:lvlText w:val="(%2)"/>
      <w:numFmt w:val="lowerLetter"/>
      <w:start w:val="19"/>
    </w:lvl>
  </w:abstractNum>
  <w:abstractNum w:abstractNumId="300">
    <w:nsid w:val="2EDA00ED"/>
    <w:multiLevelType w:val="hybridMultilevel"/>
    <w:lvl w:ilvl="0">
      <w:lvlJc w:val="left"/>
      <w:lvlText w:val="(%1)"/>
      <w:numFmt w:val="lowerLetter"/>
      <w:start w:val="23"/>
    </w:lvl>
  </w:abstractNum>
  <w:abstractNum w:abstractNumId="301">
    <w:nsid w:val="73209072"/>
    <w:multiLevelType w:val="hybridMultilevel"/>
    <w:lvl w:ilvl="0">
      <w:lvlJc w:val="left"/>
      <w:lvlText w:val="(%1)"/>
      <w:numFmt w:val="lowerLetter"/>
      <w:start w:val="1"/>
    </w:lvl>
  </w:abstractNum>
  <w:abstractNum w:abstractNumId="302">
    <w:nsid w:val="5FB29816"/>
    <w:multiLevelType w:val="hybridMultilevel"/>
    <w:lvl w:ilvl="0">
      <w:lvlJc w:val="left"/>
      <w:lvlText w:val="(%1)"/>
      <w:numFmt w:val="lowerRoman"/>
      <w:start w:val="1"/>
    </w:lvl>
  </w:abstractNum>
  <w:abstractNum w:abstractNumId="303">
    <w:nsid w:val="3CE732EC"/>
    <w:multiLevelType w:val="hybridMultilevel"/>
    <w:lvl w:ilvl="0">
      <w:lvlJc w:val="left"/>
      <w:lvlText w:val="(%1)"/>
      <w:numFmt w:val="lowerRoman"/>
      <w:start w:val="2"/>
    </w:lvl>
  </w:abstractNum>
  <w:abstractNum w:abstractNumId="304">
    <w:nsid w:val="22F13DF3"/>
    <w:multiLevelType w:val="hybridMultilevel"/>
    <w:lvl w:ilvl="0">
      <w:lvlJc w:val="left"/>
      <w:lvlText w:val="(%1)"/>
      <w:numFmt w:val="upperLetter"/>
      <w:start w:val="2"/>
    </w:lvl>
  </w:abstractNum>
  <w:abstractNum w:abstractNumId="305">
    <w:nsid w:val="792B8401"/>
    <w:multiLevelType w:val="hybridMultilevel"/>
    <w:lvl w:ilvl="0">
      <w:lvlJc w:val="left"/>
      <w:lvlText w:val="(%1)"/>
      <w:numFmt w:val="lowerLetter"/>
      <w:start w:val="2"/>
    </w:lvl>
    <w:lvl w:ilvl="1">
      <w:lvlJc w:val="left"/>
      <w:lvlText w:val="(%2)"/>
      <w:numFmt w:val="lowerRoman"/>
      <w:start w:val="1"/>
    </w:lvl>
  </w:abstractNum>
  <w:abstractNum w:abstractNumId="306">
    <w:nsid w:val="FA85F4D"/>
    <w:multiLevelType w:val="hybridMultilevel"/>
    <w:lvl w:ilvl="0">
      <w:lvlJc w:val="left"/>
      <w:lvlText w:val="(%1)"/>
      <w:numFmt w:val="lowerLetter"/>
      <w:start w:val="3"/>
    </w:lvl>
  </w:abstractNum>
  <w:abstractNum w:abstractNumId="307">
    <w:nsid w:val="6ECE91F0"/>
    <w:multiLevelType w:val="hybridMultilevel"/>
    <w:lvl w:ilvl="0">
      <w:lvlJc w:val="left"/>
      <w:lvlText w:val="%1"/>
      <w:numFmt w:val="lowerLetter"/>
      <w:start w:val="1"/>
    </w:lvl>
    <w:lvl w:ilvl="1">
      <w:lvlJc w:val="left"/>
      <w:lvlText w:val="(%2)"/>
      <w:numFmt w:val="lowerLetter"/>
      <w:start w:val="4"/>
    </w:lvl>
  </w:abstractNum>
  <w:abstractNum w:abstractNumId="308">
    <w:nsid w:val="4FC4D600"/>
    <w:multiLevelType w:val="hybridMultilevel"/>
    <w:lvl w:ilvl="0">
      <w:lvlJc w:val="left"/>
      <w:lvlText w:val="(%1)"/>
      <w:numFmt w:val="lowerLetter"/>
      <w:start w:val="9"/>
    </w:lvl>
    <w:lvl w:ilvl="1">
      <w:lvlJc w:val="left"/>
      <w:lvlText w:val="(%2)"/>
      <w:numFmt w:val="lowerLetter"/>
      <w:start w:val="6"/>
    </w:lvl>
  </w:abstractNum>
  <w:abstractNum w:abstractNumId="309">
    <w:nsid w:val="5BFD4210"/>
    <w:multiLevelType w:val="hybridMultilevel"/>
    <w:lvl w:ilvl="0">
      <w:lvlJc w:val="left"/>
      <w:lvlText w:val="(%1)"/>
      <w:numFmt w:val="lowerLetter"/>
      <w:start w:val="7"/>
    </w:lvl>
  </w:abstractNum>
  <w:abstractNum w:abstractNumId="310">
    <w:nsid w:val="76574F8B"/>
    <w:multiLevelType w:val="hybridMultilevel"/>
    <w:lvl w:ilvl="0">
      <w:lvlJc w:val="left"/>
      <w:lvlText w:val="(%1)"/>
      <w:numFmt w:val="lowerLetter"/>
      <w:start w:val="8"/>
    </w:lvl>
  </w:abstractNum>
  <w:abstractNum w:abstractNumId="311">
    <w:nsid w:val="178F7B67"/>
    <w:multiLevelType w:val="hybridMultilevel"/>
    <w:lvl w:ilvl="0">
      <w:lvlJc w:val="left"/>
      <w:lvlText w:val="(%1)"/>
      <w:numFmt w:val="lowerLetter"/>
      <w:start w:val="1"/>
    </w:lvl>
    <w:lvl w:ilvl="1">
      <w:lvlJc w:val="left"/>
      <w:lvlText w:val="(%2)"/>
      <w:numFmt w:val="lowerRoman"/>
      <w:start w:val="1"/>
    </w:lvl>
  </w:abstractNum>
  <w:abstractNum w:abstractNumId="312">
    <w:nsid w:val="2421DFCF"/>
    <w:multiLevelType w:val="hybridMultilevel"/>
    <w:lvl w:ilvl="0">
      <w:lvlJc w:val="left"/>
      <w:lvlText w:val="(%1)"/>
      <w:numFmt w:val="lowerRoman"/>
      <w:start w:val="8"/>
    </w:lvl>
  </w:abstractNum>
  <w:abstractNum w:abstractNumId="313">
    <w:nsid w:val="1565AC99"/>
    <w:multiLevelType w:val="hybridMultilevel"/>
    <w:lvl w:ilvl="0">
      <w:lvlJc w:val="left"/>
      <w:lvlText w:val="(%1)"/>
      <w:numFmt w:val="lowerRoman"/>
      <w:start w:val="11"/>
    </w:lvl>
  </w:abstractNum>
  <w:abstractNum w:abstractNumId="314">
    <w:nsid w:val="19FB2650"/>
    <w:multiLevelType w:val="hybridMultilevel"/>
    <w:lvl w:ilvl="0">
      <w:lvlJc w:val="left"/>
      <w:lvlText w:val="%1"/>
      <w:numFmt w:val="lowerRoman"/>
      <w:start w:val="1"/>
    </w:lvl>
    <w:lvl w:ilvl="1">
      <w:lvlJc w:val="left"/>
      <w:lvlText w:val="(%2)"/>
      <w:numFmt w:val="lowerRoman"/>
      <w:start w:val="18"/>
    </w:lvl>
  </w:abstractNum>
  <w:abstractNum w:abstractNumId="315">
    <w:nsid w:val="5024DE5B"/>
    <w:multiLevelType w:val="hybridMultilevel"/>
    <w:lvl w:ilvl="0">
      <w:lvlJc w:val="left"/>
      <w:lvlText w:val="(%1)"/>
      <w:numFmt w:val="lowerRoman"/>
      <w:start w:val="21"/>
    </w:lvl>
    <w:lvl w:ilvl="1">
      <w:lvlJc w:val="left"/>
      <w:lvlText w:val="(%2)"/>
      <w:numFmt w:val="lowerRoman"/>
      <w:start w:val="22"/>
    </w:lvl>
  </w:abstractNum>
  <w:abstractNum w:abstractNumId="316">
    <w:nsid w:val="168EFE17"/>
    <w:multiLevelType w:val="hybridMultilevel"/>
    <w:lvl w:ilvl="0">
      <w:lvlJc w:val="left"/>
      <w:lvlText w:val="%1"/>
      <w:numFmt w:val="lowerLetter"/>
      <w:start w:val="1"/>
    </w:lvl>
    <w:lvl w:ilvl="1">
      <w:lvlJc w:val="left"/>
      <w:lvlText w:val="(%2)"/>
      <w:numFmt w:val="lowerRoman"/>
      <w:start w:val="23"/>
    </w:lvl>
  </w:abstractNum>
  <w:abstractNum w:abstractNumId="317">
    <w:nsid w:val="1036B29F"/>
    <w:multiLevelType w:val="hybridMultilevel"/>
    <w:lvl w:ilvl="0">
      <w:lvlJc w:val="left"/>
      <w:lvlText w:val="(%1)"/>
      <w:numFmt w:val="lowerLetter"/>
      <w:start w:val="2"/>
    </w:lvl>
    <w:lvl w:ilvl="1">
      <w:lvlJc w:val="left"/>
      <w:lvlText w:val="(%2)"/>
      <w:numFmt w:val="lowerRoman"/>
      <w:start w:val="1"/>
    </w:lvl>
  </w:abstractNum>
  <w:abstractNum w:abstractNumId="318">
    <w:nsid w:val="1D206B8E"/>
    <w:multiLevelType w:val="hybridMultilevel"/>
    <w:lvl w:ilvl="0">
      <w:lvlJc w:val="left"/>
      <w:lvlText w:val="%1"/>
      <w:numFmt w:val="decimal"/>
      <w:start w:val="1"/>
    </w:lvl>
    <w:lvl w:ilvl="1">
      <w:lvlJc w:val="left"/>
      <w:lvlText w:val="(%2)"/>
      <w:numFmt w:val="lowerRoman"/>
      <w:start w:val="3"/>
    </w:lvl>
  </w:abstractNum>
  <w:abstractNum w:abstractNumId="319">
    <w:nsid w:val="7934D3D4"/>
    <w:multiLevelType w:val="hybridMultilevel"/>
    <w:lvl w:ilvl="0">
      <w:lvlJc w:val="left"/>
      <w:lvlText w:val="(%1)"/>
      <w:numFmt w:val="decimal"/>
      <w:start w:val="3"/>
    </w:lvl>
    <w:lvl w:ilvl="1">
      <w:lvlJc w:val="left"/>
      <w:lvlText w:val="%2"/>
      <w:numFmt w:val="lowerRoman"/>
      <w:start w:val="1"/>
    </w:lvl>
  </w:abstractNum>
  <w:abstractNum w:abstractNumId="320">
    <w:nsid w:val="1C65E98"/>
    <w:multiLevelType w:val="hybridMultilevel"/>
    <w:lvl w:ilvl="0">
      <w:lvlJc w:val="left"/>
      <w:lvlText w:val="(%1)"/>
      <w:numFmt w:val="lowerRoman"/>
      <w:start w:val="5"/>
    </w:lvl>
  </w:abstractNum>
  <w:abstractNum w:abstractNumId="321">
    <w:nsid w:val="1495E50A"/>
    <w:multiLevelType w:val="hybridMultilevel"/>
    <w:lvl w:ilvl="0">
      <w:lvlJc w:val="left"/>
      <w:lvlText w:val="%1"/>
      <w:numFmt w:val="upperLetter"/>
      <w:start w:val="1"/>
    </w:lvl>
    <w:lvl w:ilvl="1">
      <w:lvlJc w:val="left"/>
      <w:lvlText w:val="(%2)"/>
      <w:numFmt w:val="lowerRoman"/>
      <w:start w:val="13"/>
    </w:lvl>
  </w:abstractNum>
  <w:abstractNum w:abstractNumId="322">
    <w:nsid w:val="F5BCF61"/>
    <w:multiLevelType w:val="hybridMultilevel"/>
    <w:lvl w:ilvl="0">
      <w:lvlJc w:val="left"/>
      <w:lvlText w:val="(%1)"/>
      <w:numFmt w:val="upperLetter"/>
      <w:start w:val="2"/>
    </w:lvl>
    <w:lvl w:ilvl="1">
      <w:lvlJc w:val="left"/>
      <w:lvlText w:val="(%2)"/>
      <w:numFmt w:val="lowerRoman"/>
      <w:start w:val="14"/>
    </w:lvl>
  </w:abstractNum>
  <w:abstractNum w:abstractNumId="323">
    <w:nsid w:val="3B1DD403"/>
    <w:multiLevelType w:val="hybridMultilevel"/>
    <w:lvl w:ilvl="0">
      <w:lvlJc w:val="left"/>
      <w:lvlText w:val="(%1)"/>
      <w:numFmt w:val="lowerRoman"/>
      <w:start w:val="18"/>
    </w:lvl>
  </w:abstractNum>
  <w:abstractNum w:abstractNumId="324">
    <w:nsid w:val="530386D1"/>
    <w:multiLevelType w:val="hybridMultilevel"/>
    <w:lvl w:ilvl="0">
      <w:lvlJc w:val="left"/>
      <w:lvlText w:val="(%1)"/>
      <w:numFmt w:val="lowerRoman"/>
      <w:start w:val="20"/>
    </w:lvl>
  </w:abstractNum>
  <w:abstractNum w:abstractNumId="325">
    <w:nsid w:val="7525F2BC"/>
    <w:multiLevelType w:val="hybridMultilevel"/>
    <w:lvl w:ilvl="0">
      <w:lvlJc w:val="left"/>
      <w:lvlText w:val="%1"/>
      <w:numFmt w:val="lowerLetter"/>
      <w:start w:val="1"/>
    </w:lvl>
    <w:lvl w:ilvl="1">
      <w:lvlJc w:val="left"/>
      <w:lvlText w:val="(%2)"/>
      <w:numFmt w:val="lowerLetter"/>
      <w:start w:val="24"/>
    </w:lvl>
    <w:lvl w:ilvl="2">
      <w:lvlJc w:val="left"/>
      <w:lvlText w:val="%3"/>
      <w:numFmt w:val="upperLetter"/>
      <w:start w:val="1"/>
    </w:lvl>
  </w:abstractNum>
  <w:abstractNum w:abstractNumId="326">
    <w:nsid w:val="CE8E1A7"/>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327">
    <w:nsid w:val="4E9EFB0D"/>
    <w:multiLevelType w:val="hybridMultilevel"/>
    <w:lvl w:ilvl="0">
      <w:lvlJc w:val="left"/>
      <w:lvlText w:val="(%1)"/>
      <w:numFmt w:val="upperLetter"/>
      <w:start w:val="3"/>
    </w:lvl>
  </w:abstractNum>
  <w:abstractNum w:abstractNumId="328">
    <w:nsid w:val="90802BE"/>
    <w:multiLevelType w:val="hybridMultilevel"/>
    <w:lvl w:ilvl="0">
      <w:lvlJc w:val="left"/>
      <w:lvlText w:val="(%1)"/>
      <w:numFmt w:val="upperLetter"/>
      <w:start w:val="7"/>
    </w:lvl>
  </w:abstractNum>
  <w:abstractNum w:abstractNumId="329">
    <w:nsid w:val="3266459B"/>
    <w:multiLevelType w:val="hybridMultilevel"/>
    <w:lvl w:ilvl="0">
      <w:lvlJc w:val="left"/>
      <w:lvlText w:val="%1"/>
      <w:numFmt w:val="lowerLetter"/>
      <w:start w:val="1"/>
    </w:lvl>
    <w:lvl w:ilvl="1">
      <w:lvlJc w:val="left"/>
      <w:lvlText w:val="(%2)"/>
      <w:numFmt w:val="lowerLetter"/>
      <w:start w:val="35"/>
    </w:lvl>
  </w:abstractNum>
  <w:abstractNum w:abstractNumId="330">
    <w:nsid w:val="3F8B0CBF"/>
    <w:multiLevelType w:val="hybridMultilevel"/>
    <w:lvl w:ilvl="0">
      <w:lvlJc w:val="left"/>
      <w:lvlText w:val="(%1)"/>
      <w:numFmt w:val="lowerLetter"/>
      <w:start w:val="4"/>
    </w:lvl>
    <w:lvl w:ilvl="1">
      <w:lvlJc w:val="left"/>
      <w:lvlText w:val="%2"/>
      <w:numFmt w:val="lowerLetter"/>
      <w:start w:val="1"/>
    </w:lvl>
  </w:abstractNum>
  <w:abstractNum w:abstractNumId="331">
    <w:nsid w:val="37E203AB"/>
    <w:multiLevelType w:val="hybridMultilevel"/>
    <w:lvl w:ilvl="0">
      <w:lvlJc w:val="left"/>
      <w:lvlText w:val="%1"/>
      <w:numFmt w:val="lowerLetter"/>
      <w:start w:val="1"/>
    </w:lvl>
    <w:lvl w:ilvl="1">
      <w:lvlJc w:val="left"/>
      <w:lvlText w:val="(%2)"/>
      <w:numFmt w:val="lowerLetter"/>
      <w:start w:val="5"/>
    </w:lvl>
  </w:abstractNum>
  <w:abstractNum w:abstractNumId="332">
    <w:nsid w:val="2586D60E"/>
    <w:multiLevelType w:val="hybridMultilevel"/>
    <w:lvl w:ilvl="0">
      <w:lvlJc w:val="left"/>
      <w:lvlText w:val="(%1)"/>
      <w:numFmt w:val="lowerLetter"/>
      <w:start w:val="61"/>
    </w:lvl>
    <w:lvl w:ilvl="1">
      <w:lvlJc w:val="left"/>
      <w:lvlText w:val="%2"/>
      <w:numFmt w:val="lowerLetter"/>
      <w:start w:val="1"/>
    </w:lvl>
  </w:abstractNum>
  <w:abstractNum w:abstractNumId="333">
    <w:nsid w:val="1F3DA4D5"/>
    <w:multiLevelType w:val="hybridMultilevel"/>
    <w:lvl w:ilvl="0">
      <w:lvlJc w:val="left"/>
      <w:lvlText w:val="(%1)"/>
      <w:numFmt w:val="lowerLetter"/>
      <w:start w:val="6"/>
    </w:lvl>
  </w:abstractNum>
  <w:abstractNum w:abstractNumId="334">
    <w:nsid w:val="74C93698"/>
    <w:multiLevelType w:val="hybridMultilevel"/>
    <w:lvl w:ilvl="0">
      <w:lvlJc w:val="left"/>
      <w:lvlText w:val="%1"/>
      <w:numFmt w:val="decimal"/>
      <w:start w:val="1"/>
    </w:lvl>
    <w:lvl w:ilvl="1">
      <w:lvlJc w:val="left"/>
      <w:lvlText w:val="(%2)"/>
      <w:numFmt w:val="lowerLetter"/>
      <w:start w:val="7"/>
    </w:lvl>
  </w:abstractNum>
  <w:abstractNum w:abstractNumId="335">
    <w:nsid w:val="48781401"/>
    <w:multiLevelType w:val="hybridMultilevel"/>
    <w:lvl w:ilvl="0">
      <w:lvlJc w:val="left"/>
      <w:lvlText w:val="(%1)"/>
      <w:numFmt w:val="decimal"/>
      <w:start w:val="4"/>
    </w:lvl>
    <w:lvl w:ilvl="1">
      <w:lvlJc w:val="left"/>
      <w:lvlText w:val="%2"/>
      <w:numFmt w:val="lowerLetter"/>
      <w:start w:val="1"/>
    </w:lvl>
  </w:abstractNum>
  <w:abstractNum w:abstractNumId="336">
    <w:nsid w:val="186928D6"/>
    <w:multiLevelType w:val="hybridMultilevel"/>
    <w:lvl w:ilvl="0">
      <w:lvlJc w:val="left"/>
      <w:lvlText w:val="(%1)"/>
      <w:numFmt w:val="lowerRoman"/>
      <w:start w:val="1"/>
    </w:lvl>
  </w:abstractNum>
  <w:abstractNum w:abstractNumId="337">
    <w:nsid w:val="47195E5"/>
    <w:multiLevelType w:val="hybridMultilevel"/>
    <w:lvl w:ilvl="0">
      <w:lvlJc w:val="left"/>
      <w:lvlText w:val="%1"/>
      <w:numFmt w:val="lowerLetter"/>
      <w:start w:val="1"/>
    </w:lvl>
    <w:lvl w:ilvl="1">
      <w:lvlJc w:val="left"/>
      <w:lvlText w:val="(%2)"/>
      <w:numFmt w:val="lowerLetter"/>
      <w:start w:val="1"/>
    </w:lvl>
  </w:abstractNum>
  <w:abstractNum w:abstractNumId="338">
    <w:nsid w:val="3746A5F2"/>
    <w:multiLevelType w:val="hybridMultilevel"/>
    <w:lvl w:ilvl="0">
      <w:lvlJc w:val="left"/>
      <w:lvlText w:val="(%1)"/>
      <w:numFmt w:val="lowerLetter"/>
      <w:start w:val="35"/>
    </w:lvl>
    <w:lvl w:ilvl="1">
      <w:lvlJc w:val="left"/>
      <w:lvlText w:val="%2"/>
      <w:numFmt w:val="lowerLetter"/>
      <w:start w:val="1"/>
    </w:lvl>
  </w:abstractNum>
  <w:abstractNum w:abstractNumId="339">
    <w:nsid w:val="682DFED6"/>
    <w:multiLevelType w:val="hybridMultilevel"/>
    <w:lvl w:ilvl="0">
      <w:lvlJc w:val="left"/>
      <w:lvlText w:val="(%1)"/>
      <w:numFmt w:val="lowerLetter"/>
      <w:start w:val="5"/>
    </w:lvl>
  </w:abstractNum>
  <w:abstractNum w:abstractNumId="340">
    <w:nsid w:val="606ED7F6"/>
    <w:multiLevelType w:val="hybridMultilevel"/>
    <w:lvl w:ilvl="0">
      <w:lvlJc w:val="left"/>
      <w:lvlText w:val="(%1)"/>
      <w:numFmt w:val="lowerLetter"/>
      <w:start w:val="1"/>
    </w:lvl>
  </w:abstractNum>
  <w:abstractNum w:abstractNumId="341">
    <w:nsid w:val="2D9DF57D"/>
    <w:multiLevelType w:val="hybridMultilevel"/>
    <w:lvl w:ilvl="0">
      <w:lvlJc w:val="left"/>
      <w:lvlText w:val="(%1)"/>
      <w:numFmt w:val="lowerLetter"/>
      <w:start w:val="5"/>
    </w:lvl>
  </w:abstractNum>
  <w:abstractNum w:abstractNumId="342">
    <w:nsid w:val="7FBD7A3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2019-12-05T18:08:36Z</dcterms:created>
  <dcterms:modified xsi:type="dcterms:W3CDTF">2019-12-05T18:08:36Z</dcterms:modified>
</cp:coreProperties>
</file>