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20, 2011 (June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REGENERON PHARMACEUTICALS, INC.</w:t>
      </w:r>
    </w:p>
    <w:p>
      <w:pPr>
        <w:spacing w:after="0" w:line="2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5" w:lineRule="exact"/>
        <w:rPr>
          <w:sz w:val="20"/>
          <w:szCs w:val="20"/>
          <w:color w:val="auto"/>
        </w:rPr>
      </w:pPr>
    </w:p>
    <w:p>
      <w:pPr>
        <w:jc w:val="both"/>
        <w:ind w:firstLine="270"/>
        <w:spacing w:after="0" w:line="232" w:lineRule="auto"/>
        <w:rPr>
          <w:sz w:val="20"/>
          <w:szCs w:val="20"/>
          <w:color w:val="auto"/>
        </w:rPr>
      </w:pPr>
      <w:r>
        <w:rPr>
          <w:rFonts w:ascii="Arial" w:cs="Arial" w:eastAsia="Arial" w:hAnsi="Arial"/>
          <w:sz w:val="18"/>
          <w:szCs w:val="18"/>
          <w:color w:val="auto"/>
        </w:rPr>
        <w:t>On June 17, 2011, Regeneron Pharmaceuticals, Inc. issued a press release announcing that the Dermatologic and Ophthalmic Drugs Advisory Committee of the U.S. Food and Drug Administration (FDA) voted unanimously to recommend that the FDA approve EYLEA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(aflibercept ophthalmic solution), also known as VEGF Trap-Eye, for the treatment of the neovascular form of age-related macular degeneration (wet AMD) at a dose of 2 milligrams (mg) every eight weeks, following three initial doses given every four weeks.</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copy of the press release is attached as Exhibit 99.1 to this Current Report on Form 8-K and incorporated by reference into this Item.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9" w:lineRule="exact"/>
        <w:rPr>
          <w:sz w:val="20"/>
          <w:szCs w:val="20"/>
          <w:color w:val="auto"/>
        </w:rPr>
      </w:pPr>
    </w:p>
    <w:p>
      <w:pPr>
        <w:ind w:left="580" w:right="120" w:hanging="580"/>
        <w:spacing w:after="0" w:line="219" w:lineRule="auto"/>
        <w:tabs>
          <w:tab w:leader="none" w:pos="560" w:val="left"/>
        </w:tabs>
        <w:rPr>
          <w:sz w:val="20"/>
          <w:szCs w:val="20"/>
          <w:color w:val="auto"/>
        </w:rPr>
      </w:pPr>
      <w:r>
        <w:rPr>
          <w:rFonts w:ascii="Arial" w:cs="Arial" w:eastAsia="Arial" w:hAnsi="Arial"/>
          <w:sz w:val="18"/>
          <w:szCs w:val="18"/>
          <w:color w:val="auto"/>
        </w:rPr>
        <w:t>99.1</w:t>
        <w:tab/>
        <w:t>Press Release, dated June 17, 2011, Announcing that EYLEA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(aflibercept ophthalmic solution) Received Unanimous Recommendation for Approval for Treatment of Wet AMD from FDA Advisory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611"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20,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27940</wp:posOffset>
            </wp:positionV>
            <wp:extent cx="3370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tcPr>
          <w:p>
            <w:pPr>
              <w:ind w:left="438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19"/>
                <w:szCs w:val="19"/>
                <w:color w:val="auto"/>
              </w:rPr>
            </w:pPr>
          </w:p>
        </w:tc>
      </w:tr>
      <w:tr>
        <w:trPr>
          <w:trHeight w:val="480"/>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4"/>
                <w:szCs w:val="24"/>
                <w:color w:val="auto"/>
              </w:rPr>
            </w:pPr>
          </w:p>
        </w:tc>
      </w:tr>
      <w:tr>
        <w:trPr>
          <w:trHeight w:val="21"/>
        </w:trPr>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99.1</w:t>
            </w:r>
          </w:p>
        </w:tc>
        <w:tc>
          <w:tcPr>
            <w:tcW w:w="108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w w:val="94"/>
              </w:rPr>
              <w:t>Press Release, dated June 17, 2011, Announcing that EYLEA</w:t>
            </w:r>
            <w:r>
              <w:rPr>
                <w:rFonts w:ascii="Arial" w:cs="Arial" w:eastAsia="Arial" w:hAnsi="Arial"/>
                <w:sz w:val="12"/>
                <w:szCs w:val="12"/>
                <w:color w:val="auto"/>
                <w:w w:val="94"/>
              </w:rPr>
              <w:t>™</w:t>
            </w:r>
            <w:r>
              <w:rPr>
                <w:rFonts w:ascii="Arial" w:cs="Arial" w:eastAsia="Arial" w:hAnsi="Arial"/>
                <w:sz w:val="18"/>
                <w:szCs w:val="18"/>
                <w:color w:val="auto"/>
                <w:w w:val="94"/>
              </w:rPr>
              <w:t xml:space="preserve"> (aflibercept ophthalmic solution) Received Unanimous Recommendation for</w:t>
            </w:r>
          </w:p>
        </w:tc>
        <w:tc>
          <w:tcPr>
            <w:tcW w:w="20" w:type="dxa"/>
            <w:vAlign w:val="bottom"/>
          </w:tcPr>
          <w:p>
            <w:pPr>
              <w:spacing w:after="0"/>
              <w:rPr>
                <w:sz w:val="19"/>
                <w:szCs w:val="19"/>
                <w:color w:val="auto"/>
              </w:rPr>
            </w:pPr>
          </w:p>
        </w:tc>
      </w:tr>
      <w:tr>
        <w:trPr>
          <w:trHeight w:val="272"/>
        </w:trPr>
        <w:tc>
          <w:tcPr>
            <w:tcW w:w="580" w:type="dxa"/>
            <w:vAlign w:val="bottom"/>
            <w:shd w:val="clear" w:color="auto" w:fill="C0C0C0"/>
          </w:tcPr>
          <w:p>
            <w:pPr>
              <w:spacing w:after="0"/>
              <w:rPr>
                <w:sz w:val="23"/>
                <w:szCs w:val="23"/>
                <w:color w:val="auto"/>
              </w:rPr>
            </w:pPr>
          </w:p>
        </w:tc>
        <w:tc>
          <w:tcPr>
            <w:tcW w:w="108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Approval for Treatment of Wet AMD from FDA Advisory Committee.</w:t>
            </w:r>
          </w:p>
        </w:tc>
        <w:tc>
          <w:tcPr>
            <w:tcW w:w="20" w:type="dxa"/>
            <w:vAlign w:val="bottom"/>
          </w:tcPr>
          <w:p>
            <w:pPr>
              <w:spacing w:after="0"/>
              <w:rPr>
                <w:sz w:val="23"/>
                <w:szCs w:val="23"/>
                <w:color w:val="auto"/>
              </w:rPr>
            </w:pPr>
          </w:p>
        </w:tc>
      </w:tr>
      <w:tr>
        <w:trPr>
          <w:trHeight w:val="361"/>
        </w:trPr>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04089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408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20"/>
        <w:spacing w:after="0" w:line="281" w:lineRule="auto"/>
        <w:rPr>
          <w:sz w:val="20"/>
          <w:szCs w:val="20"/>
          <w:color w:val="auto"/>
        </w:rPr>
      </w:pPr>
      <w:r>
        <w:rPr>
          <w:rFonts w:ascii="Arial" w:cs="Arial" w:eastAsia="Arial" w:hAnsi="Arial"/>
          <w:sz w:val="24"/>
          <w:szCs w:val="24"/>
          <w:b w:val="1"/>
          <w:bCs w:val="1"/>
          <w:color w:val="auto"/>
        </w:rPr>
        <w:t xml:space="preserve">Regeneron Announces EYLEA™ </w:t>
      </w:r>
      <w:r>
        <w:rPr>
          <w:rFonts w:ascii="Arial" w:cs="Arial" w:eastAsia="Arial" w:hAnsi="Arial"/>
          <w:sz w:val="24"/>
          <w:szCs w:val="24"/>
          <w:color w:val="auto"/>
        </w:rPr>
        <w:t>(aflibercept ophthalmic solution)</w:t>
      </w:r>
      <w:r>
        <w:rPr>
          <w:rFonts w:ascii="Arial" w:cs="Arial" w:eastAsia="Arial" w:hAnsi="Arial"/>
          <w:sz w:val="24"/>
          <w:szCs w:val="24"/>
          <w:b w:val="1"/>
          <w:bCs w:val="1"/>
          <w:color w:val="auto"/>
        </w:rPr>
        <w:t xml:space="preserve"> Receives Unanimous Recommendation for Approval for Treatment of Wet AMD from FDA Advisory Committee</w:t>
      </w:r>
    </w:p>
    <w:p>
      <w:pPr>
        <w:spacing w:after="0" w:line="178"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b w:val="1"/>
          <w:bCs w:val="1"/>
          <w:color w:val="auto"/>
        </w:rPr>
        <w:t xml:space="preserve">Tarrytown, NY (June 17,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the Dermatologic and Ophthalmic Drugs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U.S. Food and Drug Administration (FDA) has voted unanimously to recommend that the FDA approve EYLEA</w:t>
      </w:r>
      <w:r>
        <w:rPr>
          <w:rFonts w:ascii="Arial" w:cs="Arial" w:eastAsia="Arial" w:hAnsi="Arial"/>
          <w:sz w:val="24"/>
          <w:szCs w:val="24"/>
          <w:color w:val="auto"/>
          <w:vertAlign w:val="superscript"/>
        </w:rPr>
        <w:t>™</w:t>
      </w:r>
      <w:r>
        <w:rPr>
          <w:rFonts w:ascii="Arial" w:cs="Arial" w:eastAsia="Arial" w:hAnsi="Arial"/>
          <w:sz w:val="18"/>
          <w:szCs w:val="18"/>
          <w:color w:val="auto"/>
        </w:rPr>
        <w:t>, also known as VEGF Trap-Eye, for the treatment of the neovascular form of age-related macular degeneration (wet AMD) at a dose of 2 milligrams (mg) every eight weeks, following three initial doses given every four weeks.</w:t>
      </w:r>
    </w:p>
    <w:p>
      <w:pPr>
        <w:spacing w:after="0" w:line="239"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The committee’s recommendation will be considered by the FDA in its review of the Biologics License Application (BLA) for EYLEA, but the committee’s recommendation is not binding on the FDA. Regeneron submitted a BLA for marketing approval in wet AMD in the U.S. in February 2011 and received a Priority Review designation. Under Priority Review, the target date for an FDA decision on the EYLEA BLA is August 20, 2011.</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positive recommendation by the advisory committee is an important step toward providing wet AMD patients with a new treatment option that could potentially reduce the burden that exists with current therapies,” said George D. Yancopoulos, M.D., Ph.D., President of Regeneron Research Laboratories. “We look forward to continuing to work with the FDA as it completes its evaluation of the EYLEA BLA.”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EYLEA</w:t>
      </w:r>
    </w:p>
    <w:p>
      <w:pPr>
        <w:spacing w:after="0" w:line="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age-related macular degeneration, it is also associated with the growth of abnormal new blood vessels in the eye, which exhibit vascular permeability and lead to edema.</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EYLEA (aflibercept ophthalmic solution), also known as VEGF Trap-Eye, is a fully human fusion protein, consisting of portions of VEGF receptors 1 and 2, that binds all forms of VEGF-A along with the related Placental Growth Factor (PlGF). EYLEA is a specific and highly potent blocker of these growth factors. EYLEA is specially purified and contains iso-osmotic buffer concentrations, allowing for injection into the eye.</w:t>
      </w:r>
    </w:p>
    <w:p>
      <w:pPr>
        <w:spacing w:after="0" w:line="22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Regeneron and Bayer HealthCare are collaborating on the global development of EYLEA for the treatment of the neovascular form of age-related macular degeneration (wet AMD), central retinal vein occlusion (CRVO), diabetic macular edema (DME), and other eye diseases and disorders. Bayer submitted an application for marketing authorization in Europe in wet AMD in June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jc w:val="both"/>
        <w:ind w:right="40"/>
        <w:spacing w:after="0" w:line="254" w:lineRule="auto"/>
        <w:rPr>
          <w:sz w:val="20"/>
          <w:szCs w:val="20"/>
          <w:color w:val="auto"/>
        </w:rPr>
      </w:pPr>
      <w:r>
        <w:rPr>
          <w:rFonts w:ascii="Arial" w:cs="Arial" w:eastAsia="Arial" w:hAnsi="Arial"/>
          <w:sz w:val="18"/>
          <w:szCs w:val="18"/>
          <w:color w:val="auto"/>
        </w:rPr>
        <w:t>The EYLEA wet AMD regulatory submissions are based on the positive results from two Phase 3 trials, the VIEW 1 study and the VIEW 2 study. In these trials, all regimens of EYLEA, including 2 milligrams (mg) of EYLEA dosed every two months (following three loading doses), successfully met the primary endpoint of non-inferiority compared to the current standard of care, ranibizumab 0.5 mg dosed every month. The primary endpoint analysis was statistical non-inferiority in the proportion of patients who maintained (or improved) vision over 52 weeks compared to ranibizumab. A generally favorable safety profile was observed for both EYLEA and ranibizumab. The most frequent ocular adverse events were conjunctival hemorrhage, macular degeneration, eye pain, retinal hemorrhage, and vitreous floaters.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Bayer HealthCare will market EYLEA™ outside the United States, where the companies will share equally the profits from any future sales of EYLEA.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Regeneron maintains exclusive rights to EYLEA in the United States.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(rilonacept) Injection for Subcutaneous Use, its first commercialized product, Regeneron has therapeutic candidates in Phase 3 clinical trials for the potential treatment of gout, diseases of the eye (wet age-related macular degeneration, central retinal vein occlusion, and diabetic macular edema),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 Looking Statement</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its product and drug candidates, competing drugs that may be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March 31, 2011. Regeneron does not undertake any obligation to update publicly any forward-looking statement, whether as a result of new information, future events, or otherwise, unless required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00" w:type="dxa"/>
            <w:vAlign w:val="bottom"/>
          </w:tcPr>
          <w:p>
            <w:pPr>
              <w:spacing w:after="0"/>
              <w:rPr>
                <w:sz w:val="19"/>
                <w:szCs w:val="19"/>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8"/>
                <w:szCs w:val="18"/>
                <w:color w:val="auto"/>
              </w:rPr>
              <w:t>Michael Aberman, M.D.</w:t>
            </w:r>
          </w:p>
        </w:tc>
        <w:tc>
          <w:tcPr>
            <w:tcW w:w="7400" w:type="dxa"/>
            <w:vAlign w:val="bottom"/>
          </w:tcPr>
          <w:p>
            <w:pPr>
              <w:ind w:left="1620"/>
              <w:spacing w:after="0"/>
              <w:rPr>
                <w:sz w:val="20"/>
                <w:szCs w:val="20"/>
                <w:color w:val="auto"/>
              </w:rPr>
            </w:pPr>
            <w:r>
              <w:rPr>
                <w:rFonts w:ascii="Arial" w:cs="Arial" w:eastAsia="Arial" w:hAnsi="Arial"/>
                <w:sz w:val="18"/>
                <w:szCs w:val="18"/>
                <w:color w:val="auto"/>
              </w:rPr>
              <w:t>Peter Dworkin</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Investor Relations</w:t>
            </w:r>
          </w:p>
        </w:tc>
        <w:tc>
          <w:tcPr>
            <w:tcW w:w="7400" w:type="dxa"/>
            <w:vAlign w:val="bottom"/>
          </w:tcPr>
          <w:p>
            <w:pPr>
              <w:ind w:left="1620"/>
              <w:spacing w:after="0"/>
              <w:rPr>
                <w:sz w:val="20"/>
                <w:szCs w:val="20"/>
                <w:color w:val="auto"/>
              </w:rPr>
            </w:pPr>
            <w:r>
              <w:rPr>
                <w:rFonts w:ascii="Arial" w:cs="Arial" w:eastAsia="Arial" w:hAnsi="Arial"/>
                <w:sz w:val="18"/>
                <w:szCs w:val="18"/>
                <w:color w:val="auto"/>
              </w:rPr>
              <w:t>Corporate Communications</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914.345.7799</w:t>
            </w:r>
          </w:p>
        </w:tc>
        <w:tc>
          <w:tcPr>
            <w:tcW w:w="7400" w:type="dxa"/>
            <w:vAlign w:val="bottom"/>
          </w:tcPr>
          <w:p>
            <w:pPr>
              <w:ind w:left="1620"/>
              <w:spacing w:after="0"/>
              <w:rPr>
                <w:sz w:val="20"/>
                <w:szCs w:val="20"/>
                <w:color w:val="auto"/>
              </w:rPr>
            </w:pPr>
            <w:r>
              <w:rPr>
                <w:rFonts w:ascii="Arial" w:cs="Arial" w:eastAsia="Arial" w:hAnsi="Arial"/>
                <w:sz w:val="18"/>
                <w:szCs w:val="18"/>
                <w:color w:val="auto"/>
              </w:rPr>
              <w:t>914.345.7640</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00" w:type="dxa"/>
            <w:vAlign w:val="bottom"/>
          </w:tcPr>
          <w:p>
            <w:pPr>
              <w:ind w:left="1620"/>
              <w:spacing w:after="0"/>
              <w:rPr>
                <w:sz w:val="20"/>
                <w:szCs w:val="20"/>
                <w:color w:val="auto"/>
              </w:rPr>
            </w:pPr>
            <w:r>
              <w:rPr>
                <w:rFonts w:ascii="Arial" w:cs="Arial" w:eastAsia="Arial" w:hAnsi="Arial"/>
                <w:sz w:val="18"/>
                <w:szCs w:val="18"/>
                <w:color w:val="auto"/>
              </w:rPr>
              <w:t>peter.dworkin@regeneron.com</w:t>
            </w:r>
          </w:p>
        </w:tc>
      </w:tr>
      <w:tr>
        <w:trPr>
          <w:trHeight w:val="377"/>
        </w:trPr>
        <w:tc>
          <w:tcPr>
            <w:tcW w:w="4040" w:type="dxa"/>
            <w:vAlign w:val="bottom"/>
            <w:tcBorders>
              <w:bottom w:val="single" w:sz="8" w:color="808080"/>
            </w:tcBorders>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2019-12-10T09:51:48Z</dcterms:created>
  <dcterms:modified xsi:type="dcterms:W3CDTF">2019-12-10T09:51:48Z</dcterms:modified>
</cp:coreProperties>
</file>