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0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-631825</wp:posOffset>
            </wp:positionV>
            <wp:extent cx="58420" cy="645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751840</wp:posOffset>
            </wp:positionV>
            <wp:extent cx="7045960" cy="5347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347970"/>
                    </a:xfrm>
                    <a:prstGeom prst="rect">
                      <a:avLst/>
                    </a:prstGeom>
                    <a:noFill/>
                  </pic:spPr>
                </pic:pic>
              </a:graphicData>
            </a:graphic>
          </wp:anchor>
        </w:drawing>
      </w:r>
    </w:p>
    <w:p>
      <w:pPr>
        <w:spacing w:after="0" w:line="119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8"/>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gridSpan w:val="3"/>
            <w:vMerge w:val="restart"/>
          </w:tcPr>
          <w:p>
            <w:pPr>
              <w:ind w:left="20"/>
              <w:spacing w:after="0"/>
              <w:rPr>
                <w:rFonts w:ascii="Times New Roman" w:cs="Times New Roman" w:eastAsia="Times New Roman" w:hAnsi="Times New Roman"/>
                <w:sz w:val="21"/>
                <w:szCs w:val="21"/>
                <w:color w:val="0000EE"/>
                <w:w w:val="97"/>
              </w:rPr>
            </w:pPr>
            <w:hyperlink r:id="rId13">
              <w:r>
                <w:rPr>
                  <w:rFonts w:ascii="Times New Roman" w:cs="Times New Roman" w:eastAsia="Times New Roman" w:hAnsi="Times New Roman"/>
                  <w:sz w:val="21"/>
                  <w:szCs w:val="21"/>
                  <w:color w:val="0000EE"/>
                  <w:w w:val="97"/>
                </w:rPr>
                <w:t>Bassler Bonnie L</w:t>
              </w:r>
            </w:hyperlink>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20" w:type="dxa"/>
            <w:vAlign w:val="bottom"/>
            <w:tcBorders>
              <w:bottom w:val="single" w:sz="8" w:color="0000EE"/>
            </w:tcBorders>
            <w:gridSpan w:val="8"/>
          </w:tcPr>
          <w:p>
            <w:pPr>
              <w:spacing w:after="0" w:line="183" w:lineRule="exact"/>
              <w:rPr>
                <w:rFonts w:ascii="Times New Roman" w:cs="Times New Roman" w:eastAsia="Times New Roman" w:hAnsi="Times New Roman"/>
                <w:sz w:val="21"/>
                <w:szCs w:val="21"/>
                <w:color w:val="0000EE"/>
                <w:w w:val="99"/>
              </w:rPr>
            </w:pPr>
            <w:hyperlink r:id="rId14">
              <w:r>
                <w:rPr>
                  <w:rFonts w:ascii="Times New Roman" w:cs="Times New Roman" w:eastAsia="Times New Roman" w:hAnsi="Times New Roman"/>
                  <w:sz w:val="21"/>
                  <w:szCs w:val="21"/>
                  <w:color w:val="0000EE"/>
                  <w:w w:val="99"/>
                </w:rPr>
                <w:t>REGENERON PHARMACEUTICALS,</w:t>
              </w:r>
            </w:hyperlink>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gridSpan w:val="4"/>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60" w:type="dxa"/>
            <w:vAlign w:val="bottom"/>
            <w:gridSpan w:val="3"/>
            <w:vMerge w:val="continue"/>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gridSpan w:val="4"/>
            <w:vMerge w:val="restart"/>
          </w:tcPr>
          <w:p>
            <w:pPr>
              <w:ind w:left="60"/>
              <w:spacing w:after="0" w:line="214"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REGN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20" w:type="dxa"/>
            <w:vAlign w:val="bottom"/>
            <w:gridSpan w:val="4"/>
            <w:vMerge w:val="continue"/>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gridSpan w:val="4"/>
            <w:vMerge w:val="continue"/>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9A9A9A"/>
            </w:tcBorders>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840" w:type="dxa"/>
            <w:vAlign w:val="bottom"/>
            <w:tcBorders>
              <w:bottom w:val="single" w:sz="8" w:color="9A9A9A"/>
            </w:tcBorders>
          </w:tcPr>
          <w:p>
            <w:pPr>
              <w:spacing w:after="0" w:line="20" w:lineRule="exact"/>
              <w:rPr>
                <w:sz w:val="1"/>
                <w:szCs w:val="1"/>
                <w:color w:val="auto"/>
              </w:rPr>
            </w:pPr>
          </w:p>
        </w:tc>
        <w:tc>
          <w:tcPr>
            <w:tcW w:w="980" w:type="dxa"/>
            <w:vAlign w:val="bottom"/>
            <w:tcBorders>
              <w:bottom w:val="single" w:sz="8" w:color="9A9A9A"/>
            </w:tcBorders>
          </w:tcPr>
          <w:p>
            <w:pPr>
              <w:spacing w:after="0" w:line="20" w:lineRule="exact"/>
              <w:rPr>
                <w:sz w:val="1"/>
                <w:szCs w:val="1"/>
                <w:color w:val="auto"/>
              </w:rPr>
            </w:pPr>
          </w:p>
        </w:tc>
        <w:tc>
          <w:tcPr>
            <w:tcW w:w="114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restart"/>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182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920" w:type="dxa"/>
            <w:vAlign w:val="bottom"/>
            <w:gridSpan w:val="8"/>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1820" w:type="dxa"/>
            <w:vAlign w:val="bottom"/>
            <w:gridSpan w:val="2"/>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20" w:type="dxa"/>
            <w:vAlign w:val="bottom"/>
            <w:gridSpan w:val="8"/>
            <w:vMerge w:val="continue"/>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920" w:type="dxa"/>
            <w:vAlign w:val="bottom"/>
            <w:gridSpan w:val="8"/>
            <w:vMerge w:val="continue"/>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58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777 OLD SAW MILL RIVER ROAD</w:t>
            </w:r>
          </w:p>
        </w:tc>
        <w:tc>
          <w:tcPr>
            <w:tcW w:w="1580" w:type="dxa"/>
            <w:vAlign w:val="bottom"/>
            <w:gridSpan w:val="6"/>
          </w:tcPr>
          <w:p>
            <w:pPr>
              <w:ind w:left="220"/>
              <w:spacing w:after="0"/>
              <w:rPr>
                <w:sz w:val="20"/>
                <w:szCs w:val="20"/>
                <w:color w:val="auto"/>
              </w:rPr>
            </w:pPr>
            <w:r>
              <w:rPr>
                <w:rFonts w:ascii="Times New Roman" w:cs="Times New Roman" w:eastAsia="Times New Roman" w:hAnsi="Times New Roman"/>
                <w:sz w:val="17"/>
                <w:szCs w:val="17"/>
                <w:color w:val="0000FF"/>
              </w:rPr>
              <w:t>08/15/2024</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500" w:type="dxa"/>
            <w:vAlign w:val="bottom"/>
            <w:tcBorders>
              <w:bottom w:val="single" w:sz="8" w:color="2C2C2C"/>
            </w:tcBorders>
            <w:gridSpan w:val="4"/>
          </w:tcPr>
          <w:p>
            <w:pPr>
              <w:spacing w:after="0"/>
              <w:rPr>
                <w:sz w:val="8"/>
                <w:szCs w:val="8"/>
                <w:color w:val="auto"/>
              </w:rPr>
            </w:pPr>
          </w:p>
        </w:tc>
        <w:tc>
          <w:tcPr>
            <w:tcW w:w="192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3020" w:type="dxa"/>
            <w:vAlign w:val="bottom"/>
            <w:tcBorders>
              <w:bottom w:val="single" w:sz="8" w:color="2C2C2C"/>
            </w:tcBorders>
            <w:gridSpan w:val="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3580" w:type="dxa"/>
            <w:vAlign w:val="bottom"/>
            <w:gridSpan w:val="10"/>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vMerge w:val="restart"/>
          </w:tcPr>
          <w:p>
            <w:pPr>
              <w:spacing w:after="0"/>
              <w:rPr>
                <w:sz w:val="7"/>
                <w:szCs w:val="7"/>
                <w:color w:val="auto"/>
              </w:rPr>
            </w:pPr>
          </w:p>
        </w:tc>
        <w:tc>
          <w:tcPr>
            <w:tcW w:w="340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3580" w:type="dxa"/>
            <w:vAlign w:val="bottom"/>
            <w:gridSpan w:val="10"/>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340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TARRYTOWN  NY</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10591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7"/>
          </w:tcPr>
          <w:p>
            <w:pPr>
              <w:ind w:left="140"/>
              <w:spacing w:after="0" w:line="126"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1920" w:type="dxa"/>
            <w:vAlign w:val="bottom"/>
            <w:tcBorders>
              <w:bottom w:val="single" w:sz="8" w:color="2C2C2C"/>
            </w:tcBorders>
            <w:gridSpan w:val="4"/>
          </w:tcPr>
          <w:p>
            <w:pPr>
              <w:spacing w:after="0"/>
              <w:rPr>
                <w:sz w:val="10"/>
                <w:szCs w:val="10"/>
                <w:color w:val="auto"/>
              </w:rPr>
            </w:pPr>
          </w:p>
        </w:tc>
        <w:tc>
          <w:tcPr>
            <w:tcW w:w="360" w:type="dxa"/>
            <w:vAlign w:val="bottom"/>
            <w:tcBorders>
              <w:bottom w:val="single" w:sz="8" w:color="2C2C2C"/>
            </w:tcBorders>
            <w:gridSpan w:val="2"/>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18"/>
          </w:tcPr>
          <w:p>
            <w:pPr>
              <w:ind w:left="7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4"/>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880" w:type="dxa"/>
            <w:vAlign w:val="bottom"/>
            <w:gridSpan w:val="6"/>
          </w:tcPr>
          <w:p>
            <w:pPr>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6"/>
          </w:tcPr>
          <w:p>
            <w:pPr>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80" w:type="dxa"/>
            <w:vAlign w:val="bottom"/>
            <w:gridSpan w:val="5"/>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0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3"/>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60" w:type="dxa"/>
            <w:vAlign w:val="bottom"/>
            <w:gridSpan w:val="2"/>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3"/>
            <w:vMerge w:val="continue"/>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4"/>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54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20"/>
              <w:spacing w:after="0"/>
              <w:rPr>
                <w:sz w:val="20"/>
                <w:szCs w:val="20"/>
                <w:color w:val="auto"/>
              </w:rPr>
            </w:pPr>
            <w:r>
              <w:rPr>
                <w:rFonts w:ascii="Times New Roman" w:cs="Times New Roman" w:eastAsia="Times New Roman" w:hAnsi="Times New Roman"/>
                <w:sz w:val="17"/>
                <w:szCs w:val="17"/>
                <w:color w:val="0000FF"/>
              </w:rPr>
              <w:t>08/15/2024</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3"/>
              <w:spacing w:after="0"/>
              <w:rPr>
                <w:sz w:val="20"/>
                <w:szCs w:val="20"/>
                <w:color w:val="auto"/>
              </w:rPr>
            </w:pPr>
            <w:r>
              <w:rPr>
                <w:rFonts w:ascii="Times New Roman" w:cs="Times New Roman" w:eastAsia="Times New Roman" w:hAnsi="Times New Roman"/>
                <w:sz w:val="26"/>
                <w:szCs w:val="26"/>
                <w:color w:val="0000FF"/>
                <w:w w:val="84"/>
                <w:vertAlign w:val="subscript"/>
              </w:rPr>
              <w:t>M</w:t>
            </w:r>
            <w:r>
              <w:rPr>
                <w:rFonts w:ascii="Times New Roman" w:cs="Times New Roman" w:eastAsia="Times New Roman" w:hAnsi="Times New Roman"/>
                <w:sz w:val="11"/>
                <w:szCs w:val="11"/>
                <w:color w:val="008000"/>
                <w:w w:val="84"/>
              </w:rPr>
              <w:t>(1)</w:t>
            </w: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756</w:t>
            </w:r>
          </w:p>
        </w:tc>
        <w:tc>
          <w:tcPr>
            <w:tcW w:w="66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70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371.4</w:t>
            </w:r>
          </w:p>
        </w:tc>
        <w:tc>
          <w:tcPr>
            <w:tcW w:w="118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2,138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20"/>
              <w:spacing w:after="0"/>
              <w:rPr>
                <w:sz w:val="20"/>
                <w:szCs w:val="20"/>
                <w:color w:val="auto"/>
              </w:rPr>
            </w:pPr>
            <w:r>
              <w:rPr>
                <w:rFonts w:ascii="Times New Roman" w:cs="Times New Roman" w:eastAsia="Times New Roman" w:hAnsi="Times New Roman"/>
                <w:sz w:val="17"/>
                <w:szCs w:val="17"/>
                <w:color w:val="0000FF"/>
              </w:rPr>
              <w:t>08/15/2024</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3"/>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756</w:t>
            </w:r>
          </w:p>
        </w:tc>
        <w:tc>
          <w:tcPr>
            <w:tcW w:w="66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1,170</w:t>
            </w:r>
          </w:p>
        </w:tc>
        <w:tc>
          <w:tcPr>
            <w:tcW w:w="118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1,382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7160" w:type="dxa"/>
            <w:vAlign w:val="bottom"/>
            <w:tcBorders>
              <w:top w:val="single" w:sz="8" w:color="2C2C2C"/>
            </w:tcBorders>
            <w:gridSpan w:val="18"/>
          </w:tcPr>
          <w:p>
            <w:pPr>
              <w:ind w:left="9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580" w:type="dxa"/>
            <w:vAlign w:val="bottom"/>
            <w:gridSpan w:val="16"/>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22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2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60" w:type="dxa"/>
            <w:vAlign w:val="bottom"/>
            <w:gridSpan w:val="5"/>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60" w:type="dxa"/>
            <w:vAlign w:val="bottom"/>
            <w:gridSpan w:val="5"/>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gridSpan w:val="4"/>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Times New Roman" w:cs="Times New Roman" w:eastAsia="Times New Roman" w:hAnsi="Times New Roman"/>
                <w:sz w:val="13"/>
                <w:szCs w:val="13"/>
                <w:color w:val="0000FF"/>
              </w:rPr>
              <w:t>Qualified</w:t>
            </w: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8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371.4</w:t>
            </w:r>
          </w:p>
        </w:tc>
        <w:tc>
          <w:tcPr>
            <w:tcW w:w="9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08/15/2024</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3"/>
            <w:vMerge w:val="restart"/>
          </w:tcPr>
          <w:p>
            <w:pPr>
              <w:ind w:left="20"/>
              <w:spacing w:after="0" w:line="273" w:lineRule="exact"/>
              <w:rPr>
                <w:sz w:val="20"/>
                <w:szCs w:val="20"/>
                <w:color w:val="auto"/>
              </w:rPr>
            </w:pPr>
            <w:r>
              <w:rPr>
                <w:rFonts w:ascii="Times New Roman" w:cs="Times New Roman" w:eastAsia="Times New Roman" w:hAnsi="Times New Roman"/>
                <w:sz w:val="26"/>
                <w:szCs w:val="26"/>
                <w:color w:val="0000FF"/>
                <w:vertAlign w:val="subscript"/>
              </w:rPr>
              <w:t>M</w:t>
            </w:r>
            <w:r>
              <w:rPr>
                <w:rFonts w:ascii="Times New Roman" w:cs="Times New Roman" w:eastAsia="Times New Roman" w:hAnsi="Times New Roman"/>
                <w:sz w:val="11"/>
                <w:szCs w:val="11"/>
                <w:color w:val="008000"/>
              </w:rPr>
              <w:t>(1)</w:t>
            </w:r>
          </w:p>
        </w:tc>
        <w:tc>
          <w:tcPr>
            <w:tcW w:w="180" w:type="dxa"/>
            <w:vAlign w:val="bottom"/>
          </w:tcPr>
          <w:p>
            <w:pPr>
              <w:spacing w:after="0"/>
              <w:rPr>
                <w:sz w:val="12"/>
                <w:szCs w:val="12"/>
                <w:color w:val="auto"/>
              </w:rPr>
            </w:pPr>
          </w:p>
        </w:tc>
        <w:tc>
          <w:tcPr>
            <w:tcW w:w="760" w:type="dxa"/>
            <w:vAlign w:val="bottom"/>
            <w:vMerge w:val="restart"/>
          </w:tcPr>
          <w:p>
            <w:pPr>
              <w:ind w:left="440"/>
              <w:spacing w:after="0"/>
              <w:rPr>
                <w:sz w:val="20"/>
                <w:szCs w:val="20"/>
                <w:color w:val="auto"/>
              </w:rPr>
            </w:pPr>
            <w:r>
              <w:rPr>
                <w:rFonts w:ascii="Times New Roman" w:cs="Times New Roman" w:eastAsia="Times New Roman" w:hAnsi="Times New Roman"/>
                <w:sz w:val="13"/>
                <w:szCs w:val="13"/>
                <w:color w:val="0000FF"/>
              </w:rPr>
              <w:t>756</w:t>
            </w:r>
          </w:p>
        </w:tc>
        <w:tc>
          <w:tcPr>
            <w:tcW w:w="760" w:type="dxa"/>
            <w:vAlign w:val="bottom"/>
            <w:gridSpan w:val="2"/>
            <w:vMerge w:val="restart"/>
          </w:tcPr>
          <w:p>
            <w:pPr>
              <w:jc w:val="center"/>
              <w:ind w:right="3"/>
              <w:spacing w:after="0"/>
              <w:rPr>
                <w:sz w:val="20"/>
                <w:szCs w:val="20"/>
                <w:color w:val="auto"/>
              </w:rPr>
            </w:pPr>
            <w:r>
              <w:rPr>
                <w:rFonts w:ascii="Times New Roman" w:cs="Times New Roman" w:eastAsia="Times New Roman" w:hAnsi="Times New Roman"/>
                <w:sz w:val="11"/>
                <w:szCs w:val="11"/>
                <w:color w:val="008000"/>
              </w:rPr>
              <w:t>(2)</w:t>
            </w: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01/02/2029</w:t>
            </w:r>
          </w:p>
        </w:tc>
        <w:tc>
          <w:tcPr>
            <w:tcW w:w="660" w:type="dxa"/>
            <w:vAlign w:val="bottom"/>
            <w:gridSpan w:val="2"/>
          </w:tcPr>
          <w:p>
            <w:pPr>
              <w:ind w:left="4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756</w:t>
            </w:r>
          </w:p>
        </w:tc>
        <w:tc>
          <w:tcPr>
            <w:tcW w:w="180" w:type="dxa"/>
            <w:vAlign w:val="bottom"/>
          </w:tcPr>
          <w:p>
            <w:pPr>
              <w:spacing w:after="0"/>
              <w:rPr>
                <w:sz w:val="12"/>
                <w:szCs w:val="12"/>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0.0</w:t>
            </w:r>
          </w:p>
        </w:tc>
        <w:tc>
          <w:tcPr>
            <w:tcW w:w="58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1,516</w:t>
            </w:r>
          </w:p>
        </w:tc>
        <w:tc>
          <w:tcPr>
            <w:tcW w:w="280" w:type="dxa"/>
            <w:vAlign w:val="bottom"/>
          </w:tcPr>
          <w:p>
            <w:pPr>
              <w:spacing w:after="0"/>
              <w:rPr>
                <w:sz w:val="12"/>
                <w:szCs w:val="12"/>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8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6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gridSpan w:val="3"/>
            <w:vMerge w:val="continue"/>
          </w:tcPr>
          <w:p>
            <w:pPr>
              <w:spacing w:after="0"/>
              <w:rPr>
                <w:sz w:val="2"/>
                <w:szCs w:val="2"/>
                <w:color w:val="auto"/>
              </w:rPr>
            </w:pPr>
          </w:p>
        </w:tc>
        <w:tc>
          <w:tcPr>
            <w:tcW w:w="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line="229" w:lineRule="auto"/>
        <w:rPr>
          <w:sz w:val="20"/>
          <w:szCs w:val="20"/>
          <w:color w:val="auto"/>
        </w:rPr>
      </w:pPr>
      <w:r>
        <w:rPr>
          <w:rFonts w:ascii="Times New Roman" w:cs="Times New Roman" w:eastAsia="Times New Roman" w:hAnsi="Times New Roman"/>
          <w:sz w:val="13"/>
          <w:szCs w:val="13"/>
          <w:color w:val="0000FF"/>
        </w:rPr>
        <w:t>(right to</w:t>
      </w:r>
    </w:p>
    <w:p>
      <w:pPr>
        <w:spacing w:after="0" w:line="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Disposition/acquisition made pursuant to a plan intended to comply with Rule 10b5-1(c) adopted on February 27, 2024.</w:t>
      </w:r>
    </w:p>
    <w:p>
      <w:pPr>
        <w:spacing w:after="0" w:line="45" w:lineRule="exact"/>
        <w:rPr>
          <w:rFonts w:ascii="Times New Roman" w:cs="Times New Roman" w:eastAsia="Times New Roman" w:hAnsi="Times New Roman"/>
          <w:sz w:val="13"/>
          <w:szCs w:val="13"/>
          <w:color w:val="008000"/>
        </w:rPr>
      </w:pPr>
    </w:p>
    <w:p>
      <w:pPr>
        <w:ind w:left="40" w:right="44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the date of the Issuer's first annual meeting of shareholders following the date of grant, a portion of these stock options equal to the portion of one year that had passed from the date of grant became exercisable, and the remainder became exercisable on the first anniversary of the date of grant.</w:t>
      </w:r>
    </w:p>
    <w:p>
      <w:pPr>
        <w:spacing w:after="0" w:line="2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9"/>
              </w:rPr>
              <w:t>/s/**Bonnie L. Bassler</w:t>
            </w:r>
          </w:p>
        </w:tc>
        <w:tc>
          <w:tcPr>
            <w:tcW w:w="640" w:type="dxa"/>
            <w:vAlign w:val="bottom"/>
          </w:tcPr>
          <w:p>
            <w:pPr>
              <w:spacing w:after="0"/>
              <w:rPr>
                <w:sz w:val="17"/>
                <w:szCs w:val="17"/>
                <w:color w:val="auto"/>
              </w:rPr>
            </w:pPr>
          </w:p>
        </w:tc>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8"/>
              </w:rPr>
              <w:t>08/16/2024</w:t>
            </w: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3" w:lineRule="auto"/>
        <w:tabs>
          <w:tab w:leader="none" w:pos="177"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83607" TargetMode="External"/><Relationship Id="rId14"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2024-08-19T15:08:43Z</dcterms:created>
  <dcterms:modified xsi:type="dcterms:W3CDTF">2024-08-19T15:08:43Z</dcterms:modified>
</cp:coreProperties>
</file>