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60" w:type="dxa"/>
            <w:vAlign w:val="bottom"/>
            <w:gridSpan w:val="11"/>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Sanofi</w:t>
              </w:r>
            </w:hyperlink>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10"/>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5"/>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5"/>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5"/>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5"/>
            <w:vMerge w:val="continue"/>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12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5"/>
            <w:vMerge w:val="continue"/>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460" w:type="dxa"/>
            <w:vAlign w:val="bottom"/>
            <w:vMerge w:val="continue"/>
          </w:tcPr>
          <w:p>
            <w:pPr>
              <w:spacing w:after="0"/>
              <w:rPr>
                <w:sz w:val="5"/>
                <w:szCs w:val="5"/>
                <w:color w:val="auto"/>
              </w:rPr>
            </w:pPr>
          </w:p>
        </w:tc>
        <w:tc>
          <w:tcPr>
            <w:tcW w:w="1280" w:type="dxa"/>
            <w:vAlign w:val="bottom"/>
            <w:gridSpan w:val="5"/>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8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0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460" w:type="dxa"/>
            <w:vAlign w:val="bottom"/>
          </w:tcPr>
          <w:p>
            <w:pPr>
              <w:ind w:left="2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54 RUE LA BOETIE</w:t>
            </w:r>
          </w:p>
        </w:tc>
        <w:tc>
          <w:tcPr>
            <w:tcW w:w="1340" w:type="dxa"/>
            <w:vAlign w:val="bottom"/>
          </w:tcPr>
          <w:p>
            <w:pPr>
              <w:spacing w:after="0"/>
              <w:rPr>
                <w:sz w:val="21"/>
                <w:szCs w:val="21"/>
                <w:color w:val="auto"/>
              </w:rPr>
            </w:pPr>
          </w:p>
        </w:tc>
        <w:tc>
          <w:tcPr>
            <w:tcW w:w="1480" w:type="dxa"/>
            <w:vAlign w:val="bottom"/>
            <w:gridSpan w:val="7"/>
          </w:tcPr>
          <w:p>
            <w:pPr>
              <w:ind w:left="160"/>
              <w:spacing w:after="0"/>
              <w:rPr>
                <w:sz w:val="20"/>
                <w:szCs w:val="20"/>
                <w:color w:val="auto"/>
              </w:rPr>
            </w:pPr>
            <w:r>
              <w:rPr>
                <w:rFonts w:ascii="Arial" w:cs="Arial" w:eastAsia="Arial" w:hAnsi="Arial"/>
                <w:sz w:val="17"/>
                <w:szCs w:val="17"/>
                <w:color w:val="0000FF"/>
              </w:rPr>
              <w:t>05/29/2020</w:t>
            </w: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gridSpan w:val="2"/>
          </w:tcPr>
          <w:p>
            <w:pPr>
              <w:spacing w:after="0"/>
              <w:rPr>
                <w:sz w:val="8"/>
                <w:szCs w:val="8"/>
                <w:color w:val="auto"/>
              </w:rPr>
            </w:pPr>
          </w:p>
        </w:tc>
        <w:tc>
          <w:tcPr>
            <w:tcW w:w="208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3360" w:type="dxa"/>
            <w:vAlign w:val="bottom"/>
            <w:gridSpan w:val="11"/>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ind w:left="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PARIS</w:t>
            </w:r>
          </w:p>
        </w:tc>
        <w:tc>
          <w:tcPr>
            <w:tcW w:w="800" w:type="dxa"/>
            <w:vAlign w:val="bottom"/>
          </w:tcPr>
          <w:p>
            <w:pPr>
              <w:ind w:left="600"/>
              <w:spacing w:after="0"/>
              <w:rPr>
                <w:sz w:val="20"/>
                <w:szCs w:val="20"/>
                <w:color w:val="auto"/>
              </w:rPr>
            </w:pPr>
            <w:r>
              <w:rPr>
                <w:rFonts w:ascii="Arial" w:cs="Arial" w:eastAsia="Arial" w:hAnsi="Arial"/>
                <w:sz w:val="17"/>
                <w:szCs w:val="17"/>
                <w:color w:val="0000FF"/>
              </w:rPr>
              <w:t>I0</w:t>
            </w:r>
          </w:p>
        </w:tc>
        <w:tc>
          <w:tcPr>
            <w:tcW w:w="8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75008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8"/>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gridSpan w:val="2"/>
          </w:tcPr>
          <w:p>
            <w:pPr>
              <w:spacing w:after="0"/>
              <w:rPr>
                <w:sz w:val="11"/>
                <w:szCs w:val="11"/>
                <w:color w:val="auto"/>
              </w:rPr>
            </w:pPr>
          </w:p>
        </w:tc>
        <w:tc>
          <w:tcPr>
            <w:tcW w:w="21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2"/>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40" w:type="dxa"/>
            <w:vAlign w:val="bottom"/>
            <w:gridSpan w:val="6"/>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9"/>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Arial" w:cs="Arial" w:eastAsia="Arial" w:hAnsi="Arial"/>
                <w:sz w:val="17"/>
                <w:szCs w:val="17"/>
                <w:color w:val="0000FF"/>
              </w:rPr>
              <w:t>05/29/2020</w:t>
            </w: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3"/>
              </w:rPr>
              <w:t>20,421,899</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5"/>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509.85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gridSpan w:val="2"/>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(4)</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74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05/29/2020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40" w:type="dxa"/>
            <w:vAlign w:val="bottom"/>
            <w:vMerge w:val="restart"/>
          </w:tcPr>
          <w:p>
            <w:pPr>
              <w:jc w:val="right"/>
              <w:ind w:right="12"/>
              <w:spacing w:after="0"/>
              <w:rPr>
                <w:sz w:val="20"/>
                <w:szCs w:val="20"/>
                <w:color w:val="auto"/>
              </w:rPr>
            </w:pPr>
            <w:r>
              <w:rPr>
                <w:rFonts w:ascii="Arial" w:cs="Arial" w:eastAsia="Arial" w:hAnsi="Arial"/>
                <w:sz w:val="17"/>
                <w:szCs w:val="17"/>
                <w:color w:val="0000FF"/>
                <w:w w:val="97"/>
              </w:rPr>
              <w:t>2,399,552</w:t>
            </w:r>
          </w:p>
        </w:tc>
        <w:tc>
          <w:tcPr>
            <w:tcW w:w="4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5"/>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509.85</w:t>
            </w:r>
          </w:p>
        </w:tc>
        <w:tc>
          <w:tcPr>
            <w:tcW w:w="1200" w:type="dxa"/>
            <w:vAlign w:val="bottom"/>
            <w:gridSpan w:val="2"/>
            <w:vMerge w:val="restart"/>
          </w:tcPr>
          <w:p>
            <w:pPr>
              <w:jc w:val="right"/>
              <w:ind w:right="277"/>
              <w:spacing w:after="0"/>
              <w:rPr>
                <w:sz w:val="20"/>
                <w:szCs w:val="20"/>
                <w:color w:val="auto"/>
              </w:rPr>
            </w:pPr>
            <w:r>
              <w:rPr>
                <w:rFonts w:ascii="Arial" w:cs="Arial" w:eastAsia="Arial" w:hAnsi="Arial"/>
                <w:sz w:val="17"/>
                <w:szCs w:val="17"/>
                <w:color w:val="0000FF"/>
              </w:rPr>
              <w:t>400,000</w:t>
            </w:r>
          </w:p>
        </w:tc>
        <w:tc>
          <w:tcPr>
            <w:tcW w:w="920" w:type="dxa"/>
            <w:vAlign w:val="bottom"/>
            <w:gridSpan w:val="2"/>
            <w:vMerge w:val="restart"/>
          </w:tcPr>
          <w:p>
            <w:pPr>
              <w:ind w:left="24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(3)(4)</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460" w:type="dxa"/>
            <w:vAlign w:val="bottom"/>
          </w:tcPr>
          <w:p>
            <w:pPr>
              <w:spacing w:after="0"/>
              <w:rPr>
                <w:sz w:val="14"/>
                <w:szCs w:val="14"/>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4"/>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2"/>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6"/>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sale in public offering to underwriters (10,615,094 shares) and a sale in private transaction to the Issuer (9,806,805 shares), in each case,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sale in public offering to underwriters by Aventisub LLC ("Aventisub").</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Directly owned by Aventisub, formerly known as Aventis Pharmaceuticals Inc., an indirect, wholly-owned subsidiary of the Reporting Person.</w:t>
      </w:r>
    </w:p>
    <w:p>
      <w:pPr>
        <w:spacing w:after="0" w:line="50" w:lineRule="exact"/>
        <w:rPr>
          <w:rFonts w:ascii="Arial" w:cs="Arial" w:eastAsia="Arial" w:hAnsi="Arial"/>
          <w:sz w:val="13"/>
          <w:szCs w:val="13"/>
          <w:color w:val="008000"/>
        </w:rPr>
      </w:pPr>
    </w:p>
    <w:p>
      <w:pPr>
        <w:ind w:left="40" w:right="5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Amended and Restated Investor Agreement, dated as of January 11, 2014, by and among the Reporting Person, sanofi-aventis US LLC, Aventis, sanofi-aventis Amerique du Nord (collectively, the "Sanofi Parties") and the Issuer, as amended, the Sanofi Parties have agreed to vote their respective shares of the Issuer, subject to specified exceptions, in accordance with the recommendation of the Issuer's Board of Directors.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 (incorporated herein by reference to Exhibit 24 to Form 4 filed by the Reporting Person with the SEC on February 3, 2016, with respect to Alnylam Pharmaceuticals, Inc.).</w:t>
      </w:r>
    </w:p>
    <w:p>
      <w:pPr>
        <w:spacing w:after="0" w:line="8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Alexandra Roger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6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Alexandra Roger Title:</w:t>
      </w:r>
      <w:r>
        <w:rPr>
          <w:sz w:val="20"/>
          <w:szCs w:val="20"/>
          <w:color w:val="auto"/>
        </w:rPr>
        <w:tab/>
      </w:r>
      <w:r>
        <w:rPr>
          <w:rFonts w:ascii="Arial" w:cs="Arial" w:eastAsia="Arial" w:hAnsi="Arial"/>
          <w:sz w:val="15"/>
          <w:szCs w:val="15"/>
          <w:color w:val="0000FF"/>
        </w:rPr>
        <w:t>05/29/2020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4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1404"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2020-05-29T15:19:10Z</dcterms:created>
  <dcterms:modified xsi:type="dcterms:W3CDTF">2020-05-29T15:19:10Z</dcterms:modified>
</cp:coreProperties>
</file>