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71"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0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54, RUE LA BOETIE</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07/11/2014</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11"/>
            <w:vMerge w:val="continue"/>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40" w:type="dxa"/>
            <w:vAlign w:val="bottom"/>
          </w:tcPr>
          <w:p>
            <w:pPr>
              <w:ind w:left="640"/>
              <w:spacing w:after="0"/>
              <w:rPr>
                <w:sz w:val="20"/>
                <w:szCs w:val="20"/>
                <w:color w:val="auto"/>
              </w:rPr>
            </w:pPr>
            <w:r>
              <w:rPr>
                <w:rFonts w:ascii="Arial" w:cs="Arial" w:eastAsia="Arial" w:hAnsi="Arial"/>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0"/>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jc w:val="center"/>
              <w:ind w:left="181"/>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4,157</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311.3923</w:t>
            </w:r>
            <w:r>
              <w:rPr>
                <w:rFonts w:ascii="Arial" w:cs="Arial" w:eastAsia="Arial" w:hAnsi="Arial"/>
                <w:sz w:val="22"/>
                <w:szCs w:val="22"/>
                <w:color w:val="008000"/>
                <w:w w:val="82"/>
                <w:vertAlign w:val="superscript"/>
              </w:rPr>
              <w:t>(1)(3)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21,779,898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7,343</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312.4319</w:t>
            </w:r>
            <w:r>
              <w:rPr>
                <w:rFonts w:ascii="Arial" w:cs="Arial" w:eastAsia="Arial" w:hAnsi="Arial"/>
                <w:sz w:val="22"/>
                <w:szCs w:val="22"/>
                <w:color w:val="008000"/>
                <w:w w:val="84"/>
                <w:vertAlign w:val="superscript"/>
              </w:rPr>
              <w:t>(1)(5)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21,787,241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42,201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313.5903</w:t>
            </w:r>
            <w:r>
              <w:rPr>
                <w:rFonts w:ascii="Arial" w:cs="Arial" w:eastAsia="Arial" w:hAnsi="Arial"/>
                <w:sz w:val="22"/>
                <w:szCs w:val="22"/>
                <w:color w:val="008000"/>
                <w:w w:val="84"/>
                <w:vertAlign w:val="superscript"/>
              </w:rPr>
              <w:t>(1)(6)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21,829,442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28,662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314.1881</w:t>
            </w:r>
            <w:r>
              <w:rPr>
                <w:rFonts w:ascii="Arial" w:cs="Arial" w:eastAsia="Arial" w:hAnsi="Arial"/>
                <w:sz w:val="22"/>
                <w:szCs w:val="22"/>
                <w:color w:val="008000"/>
                <w:w w:val="84"/>
                <w:vertAlign w:val="superscript"/>
              </w:rPr>
              <w:t>(1)(7)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21,858,104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2,245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314.9919</w:t>
            </w:r>
            <w:r>
              <w:rPr>
                <w:rFonts w:ascii="Arial" w:cs="Arial" w:eastAsia="Arial" w:hAnsi="Arial"/>
                <w:sz w:val="22"/>
                <w:szCs w:val="22"/>
                <w:color w:val="008000"/>
                <w:w w:val="84"/>
                <w:vertAlign w:val="superscript"/>
              </w:rPr>
              <w:t>(1)(8)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21,860,349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36,889</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317.3301</w:t>
            </w:r>
            <w:r>
              <w:rPr>
                <w:rFonts w:ascii="Arial" w:cs="Arial" w:eastAsia="Arial" w:hAnsi="Arial"/>
                <w:sz w:val="22"/>
                <w:szCs w:val="22"/>
                <w:color w:val="008000"/>
                <w:w w:val="84"/>
                <w:vertAlign w:val="superscript"/>
              </w:rPr>
              <w:t>(1)(9)</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21,897,238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23,378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318.1414</w:t>
            </w:r>
            <w:r>
              <w:rPr>
                <w:rFonts w:ascii="Arial" w:cs="Arial" w:eastAsia="Arial" w:hAnsi="Arial"/>
                <w:sz w:val="22"/>
                <w:szCs w:val="22"/>
                <w:color w:val="008000"/>
                <w:w w:val="83"/>
                <w:vertAlign w:val="superscript"/>
              </w:rPr>
              <w:t>(1)(10)</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21,920,616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07/11/2014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5,125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318.7221</w:t>
            </w:r>
            <w:r>
              <w:rPr>
                <w:rFonts w:ascii="Arial" w:cs="Arial" w:eastAsia="Arial" w:hAnsi="Arial"/>
                <w:sz w:val="22"/>
                <w:szCs w:val="22"/>
                <w:color w:val="008000"/>
                <w:w w:val="83"/>
                <w:vertAlign w:val="superscript"/>
              </w:rPr>
              <w:t>(1)(11)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21,925,741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07/14/2014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4,380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314.5152</w:t>
            </w:r>
            <w:r>
              <w:rPr>
                <w:rFonts w:ascii="Arial" w:cs="Arial" w:eastAsia="Arial" w:hAnsi="Arial"/>
                <w:sz w:val="22"/>
                <w:szCs w:val="22"/>
                <w:color w:val="008000"/>
                <w:w w:val="83"/>
                <w:vertAlign w:val="superscript"/>
              </w:rPr>
              <w:t>(1)(12)</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21,930,121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07/14/2014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11,115</w:t>
            </w:r>
            <w:r>
              <w:rPr>
                <w:rFonts w:ascii="Arial" w:cs="Arial" w:eastAsia="Arial" w:hAnsi="Arial"/>
                <w:sz w:val="11"/>
                <w:szCs w:val="11"/>
                <w:color w:val="008000"/>
                <w:w w:val="75"/>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315.6549</w:t>
            </w:r>
            <w:r>
              <w:rPr>
                <w:rFonts w:ascii="Arial" w:cs="Arial" w:eastAsia="Arial" w:hAnsi="Arial"/>
                <w:sz w:val="22"/>
                <w:szCs w:val="22"/>
                <w:color w:val="008000"/>
                <w:w w:val="83"/>
                <w:vertAlign w:val="superscript"/>
              </w:rPr>
              <w:t>(1)(13)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21,941,236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07/14/2014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9,715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316.3952</w:t>
            </w:r>
            <w:r>
              <w:rPr>
                <w:rFonts w:ascii="Arial" w:cs="Arial" w:eastAsia="Arial" w:hAnsi="Arial"/>
                <w:sz w:val="22"/>
                <w:szCs w:val="22"/>
                <w:color w:val="008000"/>
                <w:w w:val="83"/>
                <w:vertAlign w:val="superscript"/>
              </w:rPr>
              <w:t>(1)(14)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21,950,951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07/14/2014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26,668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317.7297</w:t>
            </w:r>
            <w:r>
              <w:rPr>
                <w:rFonts w:ascii="Arial" w:cs="Arial" w:eastAsia="Arial" w:hAnsi="Arial"/>
                <w:sz w:val="22"/>
                <w:szCs w:val="22"/>
                <w:color w:val="008000"/>
                <w:w w:val="83"/>
                <w:vertAlign w:val="superscript"/>
              </w:rPr>
              <w:t>(1)(15)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21,977,619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07/14/2014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59,810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318.6048</w:t>
            </w:r>
            <w:r>
              <w:rPr>
                <w:rFonts w:ascii="Arial" w:cs="Arial" w:eastAsia="Arial" w:hAnsi="Arial"/>
                <w:sz w:val="22"/>
                <w:szCs w:val="22"/>
                <w:color w:val="008000"/>
                <w:w w:val="83"/>
                <w:vertAlign w:val="superscript"/>
              </w:rPr>
              <w:t>(1)(16)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22,037,429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1"/>
              <w:spacing w:after="0"/>
              <w:rPr>
                <w:sz w:val="20"/>
                <w:szCs w:val="20"/>
                <w:color w:val="auto"/>
              </w:rPr>
            </w:pPr>
            <w:r>
              <w:rPr>
                <w:rFonts w:ascii="Arial" w:cs="Arial" w:eastAsia="Arial" w:hAnsi="Arial"/>
                <w:sz w:val="18"/>
                <w:szCs w:val="18"/>
                <w:color w:val="0000FF"/>
                <w:w w:val="88"/>
              </w:rPr>
              <w:t>07/14/2014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5"/>
                <w:vertAlign w:val="subscript"/>
              </w:rPr>
              <w:t>38,312</w:t>
            </w:r>
            <w:r>
              <w:rPr>
                <w:rFonts w:ascii="Arial" w:cs="Arial" w:eastAsia="Arial" w:hAnsi="Arial"/>
                <w:sz w:val="11"/>
                <w:szCs w:val="11"/>
                <w:color w:val="008000"/>
                <w:w w:val="75"/>
              </w:rPr>
              <w:t>(1)(2)</w:t>
            </w:r>
          </w:p>
        </w:tc>
        <w:tc>
          <w:tcPr>
            <w:tcW w:w="140" w:type="dxa"/>
            <w:vAlign w:val="bottom"/>
          </w:tcPr>
          <w:p>
            <w:pPr>
              <w:spacing w:after="0"/>
              <w:rPr>
                <w:sz w:val="22"/>
                <w:szCs w:val="22"/>
                <w:color w:val="auto"/>
              </w:rPr>
            </w:pPr>
          </w:p>
        </w:tc>
        <w:tc>
          <w:tcPr>
            <w:tcW w:w="300" w:type="dxa"/>
            <w:vAlign w:val="bottom"/>
            <w:vMerge w:val="restart"/>
          </w:tcPr>
          <w:p>
            <w:pPr>
              <w:jc w:val="center"/>
              <w:ind w:right="61"/>
              <w:spacing w:after="0"/>
              <w:rPr>
                <w:sz w:val="20"/>
                <w:szCs w:val="20"/>
                <w:color w:val="auto"/>
              </w:rPr>
            </w:pPr>
            <w:r>
              <w:rPr>
                <w:rFonts w:ascii="Arial" w:cs="Arial" w:eastAsia="Arial" w:hAnsi="Arial"/>
                <w:sz w:val="18"/>
                <w:szCs w:val="18"/>
                <w:color w:val="0000FF"/>
                <w:w w:val="99"/>
              </w:rPr>
              <w:t>A</w:t>
            </w:r>
          </w:p>
        </w:tc>
        <w:tc>
          <w:tcPr>
            <w:tcW w:w="1220" w:type="dxa"/>
            <w:vAlign w:val="bottom"/>
            <w:gridSpan w:val="4"/>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319.4291</w:t>
            </w:r>
            <w:r>
              <w:rPr>
                <w:rFonts w:ascii="Arial" w:cs="Arial" w:eastAsia="Arial" w:hAnsi="Arial"/>
                <w:sz w:val="22"/>
                <w:szCs w:val="22"/>
                <w:color w:val="008000"/>
                <w:w w:val="83"/>
                <w:vertAlign w:val="superscript"/>
              </w:rPr>
              <w:t>(1)(17)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22,075,741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9"/>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60" w:type="dxa"/>
            <w:vAlign w:val="bottom"/>
            <w:gridSpan w:val="17"/>
          </w:tcPr>
          <w:p>
            <w:pPr>
              <w:jc w:val="center"/>
              <w:ind w:left="18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7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246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246630"/>
                    </a:xfrm>
                    <a:prstGeom prst="rect">
                      <a:avLst/>
                    </a:prstGeom>
                    <a:noFill/>
                  </pic:spPr>
                </pic:pic>
              </a:graphicData>
            </a:graphic>
          </wp:anchor>
        </w:drawing>
        <w:t>Table II - Derivative Securities Acquired, Disposed of, or Beneficially</w:t>
      </w:r>
      <w:r>
        <w:rPr>
          <w:rFonts w:ascii="Arial" w:cs="Arial" w:eastAsia="Arial" w:hAnsi="Arial"/>
          <w:sz w:val="24"/>
          <w:szCs w:val="24"/>
          <w:b w:val="1"/>
          <w:bCs w:val="1"/>
          <w:color w:val="auto"/>
          <w:vertAlign w:val="superscript"/>
        </w:rPr>
        <w:t>Amount</w:t>
      </w:r>
      <w:r>
        <w:rPr>
          <w:rFonts w:ascii="Arial" w:cs="Arial" w:eastAsia="Arial" w:hAnsi="Arial"/>
          <w:sz w:val="18"/>
          <w:szCs w:val="18"/>
          <w:b w:val="1"/>
          <w:bCs w:val="1"/>
          <w:color w:val="auto"/>
        </w:rPr>
        <w:t xml:space="preserve"> Owned</w:t>
      </w:r>
    </w:p>
    <w:p>
      <w:pPr>
        <w:ind w:left="7580"/>
        <w:spacing w:after="0" w:line="189" w:lineRule="auto"/>
        <w:rPr>
          <w:sz w:val="20"/>
          <w:szCs w:val="20"/>
          <w:color w:val="auto"/>
        </w:rPr>
      </w:pPr>
      <w:r>
        <w:rPr>
          <w:rFonts w:ascii="Arial" w:cs="Arial" w:eastAsia="Arial" w:hAnsi="Arial"/>
          <w:sz w:val="8"/>
          <w:szCs w:val="8"/>
          <w:b w:val="1"/>
          <w:bCs w:val="1"/>
          <w:color w:val="auto"/>
        </w:rPr>
        <w:t>or</w:t>
      </w:r>
    </w:p>
    <w:p>
      <w:pPr>
        <w:jc w:val="center"/>
        <w:spacing w:after="0" w:line="229" w:lineRule="auto"/>
        <w:rPr>
          <w:sz w:val="20"/>
          <w:szCs w:val="20"/>
          <w:color w:val="auto"/>
        </w:rPr>
      </w:pPr>
      <w:r>
        <w:rPr>
          <w:rFonts w:ascii="Arial" w:cs="Arial" w:eastAsia="Arial" w:hAnsi="Arial"/>
          <w:sz w:val="18"/>
          <w:szCs w:val="18"/>
          <w:b w:val="1"/>
          <w:bCs w:val="1"/>
          <w:color w:val="auto"/>
        </w:rPr>
        <w:t>(e.g., puts, calls, warrants, options, convertible securities)</w:t>
      </w:r>
      <w:r>
        <w:rPr>
          <w:rFonts w:ascii="Arial" w:cs="Arial" w:eastAsia="Arial" w:hAnsi="Arial"/>
          <w:sz w:val="12"/>
          <w:szCs w:val="12"/>
          <w:b w:val="1"/>
          <w:bCs w:val="1"/>
          <w:color w:val="auto"/>
        </w:rPr>
        <w:t>Number</w:t>
      </w:r>
    </w:p>
    <w:p>
      <w:pPr>
        <w:ind w:left="5560"/>
        <w:spacing w:after="0" w:line="235" w:lineRule="auto"/>
        <w:tabs>
          <w:tab w:leader="none" w:pos="6360" w:val="left"/>
          <w:tab w:leader="none" w:pos="756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tbl>
      <w:tblPr>
        <w:tblLayout w:type="fixed"/>
        <w:tblInd w:w="0" w:type="dxa"/>
        <w:tblCellMar>
          <w:top w:w="0" w:type="dxa"/>
          <w:left w:w="0" w:type="dxa"/>
          <w:bottom w:w="0" w:type="dxa"/>
          <w:right w:w="0" w:type="dxa"/>
        </w:tblCellMar>
      </w:tblPr>
      <w:tr>
        <w:trPr>
          <w:trHeight w:val="121"/>
        </w:trPr>
        <w:tc>
          <w:tcPr>
            <w:tcW w:w="8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40"/>
              <w:spacing w:after="0" w:line="121" w:lineRule="exact"/>
              <w:rPr>
                <w:sz w:val="20"/>
                <w:szCs w:val="20"/>
                <w:color w:val="auto"/>
              </w:rPr>
            </w:pPr>
            <w:r>
              <w:rPr>
                <w:rFonts w:ascii="Arial" w:cs="Arial" w:eastAsia="Arial" w:hAnsi="Arial"/>
                <w:sz w:val="12"/>
                <w:szCs w:val="12"/>
                <w:b w:val="1"/>
                <w:bCs w:val="1"/>
                <w:color w:val="auto"/>
                <w:w w:val="89"/>
              </w:rPr>
              <w:t>Code.4</w:t>
            </w:r>
          </w:p>
        </w:tc>
        <w:tc>
          <w:tcPr>
            <w:tcW w:w="4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w w:val="76"/>
              </w:rPr>
              <w:t>(A)5.Number(D)</w:t>
            </w:r>
          </w:p>
        </w:tc>
        <w:tc>
          <w:tcPr>
            <w:tcW w:w="1540" w:type="dxa"/>
            <w:vAlign w:val="bottom"/>
          </w:tcPr>
          <w:p>
            <w:pPr>
              <w:ind w:left="80"/>
              <w:spacing w:after="0" w:line="121" w:lineRule="exact"/>
              <w:rPr>
                <w:sz w:val="20"/>
                <w:szCs w:val="20"/>
                <w:color w:val="auto"/>
              </w:rPr>
            </w:pPr>
            <w:r>
              <w:rPr>
                <w:rFonts w:ascii="Arial" w:cs="Arial" w:eastAsia="Arial" w:hAnsi="Arial"/>
                <w:sz w:val="11"/>
                <w:szCs w:val="11"/>
                <w:b w:val="1"/>
                <w:bCs w:val="1"/>
                <w:color w:val="auto"/>
                <w:w w:val="71"/>
              </w:rPr>
              <w:t>Exercisable.6DateExercisableDate and</w:t>
            </w:r>
          </w:p>
        </w:tc>
        <w:tc>
          <w:tcPr>
            <w:tcW w:w="11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80"/>
              </w:rPr>
              <w:t>Title.7Title andShares</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15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6"/>
        </w:trPr>
        <w:tc>
          <w:tcPr>
            <w:tcW w:w="820" w:type="dxa"/>
            <w:vAlign w:val="bottom"/>
          </w:tcPr>
          <w:p>
            <w:pPr>
              <w:ind w:left="40"/>
              <w:spacing w:after="0"/>
              <w:rPr>
                <w:sz w:val="20"/>
                <w:szCs w:val="20"/>
                <w:color w:val="auto"/>
              </w:rPr>
            </w:pPr>
            <w:r>
              <w:rPr>
                <w:rFonts w:ascii="Arial" w:cs="Arial" w:eastAsia="Arial" w:hAnsi="Arial"/>
                <w:sz w:val="11"/>
                <w:szCs w:val="11"/>
                <w:b w:val="1"/>
                <w:bCs w:val="1"/>
                <w:color w:val="auto"/>
                <w:w w:val="74"/>
              </w:rPr>
              <w:t>Explanation</w:t>
            </w:r>
            <w:r>
              <w:rPr>
                <w:rFonts w:ascii="Arial" w:cs="Arial" w:eastAsia="Arial" w:hAnsi="Arial"/>
                <w:sz w:val="10"/>
                <w:szCs w:val="10"/>
                <w:b w:val="1"/>
                <w:bCs w:val="1"/>
                <w:color w:val="auto"/>
                <w:w w:val="74"/>
              </w:rPr>
              <w:t>Security</w:t>
            </w:r>
          </w:p>
        </w:tc>
        <w:tc>
          <w:tcPr>
            <w:tcW w:w="190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w w:val="74"/>
              </w:rPr>
              <w:t>of</w:t>
            </w:r>
            <w:r>
              <w:rPr>
                <w:rFonts w:ascii="Arial" w:cs="Arial" w:eastAsia="Arial" w:hAnsi="Arial"/>
                <w:sz w:val="12"/>
                <w:szCs w:val="12"/>
                <w:b w:val="1"/>
                <w:bCs w:val="1"/>
                <w:color w:val="auto"/>
                <w:w w:val="74"/>
              </w:rPr>
              <w:t>r Exercise</w:t>
            </w:r>
            <w:r>
              <w:rPr>
                <w:rFonts w:ascii="Arial" w:cs="Arial" w:eastAsia="Arial" w:hAnsi="Arial"/>
                <w:sz w:val="14"/>
                <w:szCs w:val="14"/>
                <w:b w:val="1"/>
                <w:bCs w:val="1"/>
                <w:color w:val="auto"/>
                <w:w w:val="74"/>
              </w:rPr>
              <w:t>Responses:</w:t>
            </w:r>
            <w:r>
              <w:rPr>
                <w:rFonts w:ascii="Arial" w:cs="Arial" w:eastAsia="Arial" w:hAnsi="Arial"/>
                <w:sz w:val="12"/>
                <w:szCs w:val="12"/>
                <w:b w:val="1"/>
                <w:bCs w:val="1"/>
                <w:color w:val="auto"/>
                <w:w w:val="74"/>
              </w:rPr>
              <w:t>(Month/Day/Year)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tcPr>
          <w:p>
            <w:pPr>
              <w:ind w:left="80"/>
              <w:spacing w:after="0"/>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4"/>
        </w:trPr>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0"/>
                <w:szCs w:val="10"/>
                <w:color w:val="auto"/>
              </w:rPr>
            </w:pPr>
          </w:p>
        </w:tc>
        <w:tc>
          <w:tcPr>
            <w:tcW w:w="11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1540" w:type="dxa"/>
            <w:vAlign w:val="bottom"/>
          </w:tcPr>
          <w:p>
            <w:pPr>
              <w:spacing w:after="0"/>
              <w:rPr>
                <w:sz w:val="10"/>
                <w:szCs w:val="10"/>
                <w:color w:val="auto"/>
              </w:rPr>
            </w:pPr>
          </w:p>
        </w:tc>
        <w:tc>
          <w:tcPr>
            <w:tcW w:w="112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8"/>
        </w:trPr>
        <w:tc>
          <w:tcPr>
            <w:tcW w:w="11420" w:type="dxa"/>
            <w:vAlign w:val="bottom"/>
            <w:gridSpan w:val="13"/>
          </w:tcPr>
          <w:p>
            <w:pPr>
              <w:ind w:left="40"/>
              <w:spacing w:after="0" w:line="68" w:lineRule="exact"/>
              <w:rPr>
                <w:sz w:val="20"/>
                <w:szCs w:val="20"/>
                <w:color w:val="auto"/>
              </w:rPr>
            </w:pPr>
            <w:r>
              <w:rPr>
                <w:rFonts w:ascii="Arial" w:cs="Arial" w:eastAsia="Arial" w:hAnsi="Arial"/>
                <w:sz w:val="7"/>
                <w:szCs w:val="7"/>
                <w:color w:val="008000"/>
              </w:rPr>
              <w:t>1. The number of securities reported represents an aggregate number of shares purchased in multiple market transactions over a range of purchase prices. The price reported represents the weighted average</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760" w:type="dxa"/>
            <w:vAlign w:val="bottom"/>
          </w:tcPr>
          <w:p>
            <w:pPr>
              <w:ind w:left="20"/>
              <w:spacing w:after="0" w:line="68" w:lineRule="exact"/>
              <w:rPr>
                <w:sz w:val="20"/>
                <w:szCs w:val="20"/>
                <w:color w:val="auto"/>
              </w:rPr>
            </w:pPr>
            <w:r>
              <w:rPr>
                <w:rFonts w:ascii="Arial" w:cs="Arial" w:eastAsia="Arial" w:hAnsi="Arial"/>
                <w:sz w:val="7"/>
                <w:szCs w:val="7"/>
                <w:b w:val="1"/>
                <w:bCs w:val="1"/>
                <w:color w:val="auto"/>
              </w:rPr>
              <w:t>Derivative</w:t>
            </w: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Acquired</w:t>
            </w:r>
          </w:p>
        </w:tc>
        <w:tc>
          <w:tcPr>
            <w:tcW w:w="1540" w:type="dxa"/>
            <w:vAlign w:val="bottom"/>
          </w:tcPr>
          <w:p>
            <w:pPr>
              <w:spacing w:after="0"/>
              <w:rPr>
                <w:sz w:val="5"/>
                <w:szCs w:val="5"/>
                <w:color w:val="auto"/>
              </w:rPr>
            </w:pPr>
          </w:p>
        </w:tc>
        <w:tc>
          <w:tcPr>
            <w:tcW w:w="1120" w:type="dxa"/>
            <w:vAlign w:val="bottom"/>
          </w:tcPr>
          <w:p>
            <w:pPr>
              <w:ind w:left="100"/>
              <w:spacing w:after="0" w:line="68" w:lineRule="exact"/>
              <w:rPr>
                <w:sz w:val="20"/>
                <w:szCs w:val="20"/>
                <w:color w:val="auto"/>
              </w:rPr>
            </w:pPr>
            <w:r>
              <w:rPr>
                <w:rFonts w:ascii="Arial" w:cs="Arial" w:eastAsia="Arial" w:hAnsi="Arial"/>
                <w:sz w:val="7"/>
                <w:szCs w:val="7"/>
                <w:b w:val="1"/>
                <w:bCs w:val="1"/>
                <w:color w:val="auto"/>
              </w:rPr>
              <w:t>Derivative</w:t>
            </w:r>
          </w:p>
        </w:tc>
        <w:tc>
          <w:tcPr>
            <w:tcW w:w="740" w:type="dxa"/>
            <w:vAlign w:val="bottom"/>
          </w:tcPr>
          <w:p>
            <w:pPr>
              <w:spacing w:after="0"/>
              <w:rPr>
                <w:sz w:val="5"/>
                <w:szCs w:val="5"/>
                <w:color w:val="auto"/>
              </w:rPr>
            </w:pPr>
          </w:p>
        </w:tc>
        <w:tc>
          <w:tcPr>
            <w:tcW w:w="98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60"/>
              <w:spacing w:after="0" w:line="68" w:lineRule="exact"/>
              <w:rPr>
                <w:sz w:val="20"/>
                <w:szCs w:val="20"/>
                <w:color w:val="auto"/>
              </w:rPr>
            </w:pPr>
            <w:r>
              <w:rPr>
                <w:rFonts w:ascii="Arial" w:cs="Arial" w:eastAsia="Arial" w:hAnsi="Arial"/>
                <w:sz w:val="7"/>
                <w:szCs w:val="7"/>
                <w:b w:val="1"/>
                <w:bCs w:val="1"/>
                <w:color w:val="auto"/>
              </w:rPr>
              <w:t>or Indirect</w:t>
            </w:r>
          </w:p>
        </w:tc>
        <w:tc>
          <w:tcPr>
            <w:tcW w:w="80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1"/>
        </w:trPr>
        <w:tc>
          <w:tcPr>
            <w:tcW w:w="11420" w:type="dxa"/>
            <w:vAlign w:val="bottom"/>
            <w:gridSpan w:val="13"/>
          </w:tcPr>
          <w:p>
            <w:pPr>
              <w:ind w:left="40"/>
              <w:spacing w:after="0" w:line="81" w:lineRule="exact"/>
              <w:rPr>
                <w:sz w:val="20"/>
                <w:szCs w:val="20"/>
                <w:color w:val="auto"/>
              </w:rPr>
            </w:pPr>
            <w:r>
              <w:rPr>
                <w:rFonts w:ascii="Arial" w:cs="Arial" w:eastAsia="Arial" w:hAnsi="Arial"/>
                <w:sz w:val="9"/>
                <w:szCs w:val="9"/>
                <w:color w:val="008000"/>
              </w:rPr>
              <w:t>price per share. The Reporting Person undertakes to provide the staff of the SEC, the Issuer, or a stockholder of the Issuer, upon request, the number of shares purchased by the Reporting Person at each</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60" w:type="dxa"/>
            <w:vAlign w:val="bottom"/>
          </w:tcPr>
          <w:p>
            <w:pPr>
              <w:ind w:left="20"/>
              <w:spacing w:after="0" w:line="54" w:lineRule="exact"/>
              <w:rPr>
                <w:sz w:val="20"/>
                <w:szCs w:val="20"/>
                <w:color w:val="auto"/>
              </w:rPr>
            </w:pPr>
            <w:r>
              <w:rPr>
                <w:rFonts w:ascii="Arial" w:cs="Arial" w:eastAsia="Arial" w:hAnsi="Arial"/>
                <w:sz w:val="6"/>
                <w:szCs w:val="6"/>
                <w:b w:val="1"/>
                <w:bCs w:val="1"/>
                <w:color w:val="auto"/>
              </w:rPr>
              <w:t>Security</w:t>
            </w:r>
          </w:p>
        </w:tc>
        <w:tc>
          <w:tcPr>
            <w:tcW w:w="11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40" w:type="dxa"/>
            <w:vAlign w:val="bottom"/>
          </w:tcPr>
          <w:p>
            <w:pPr>
              <w:spacing w:after="0"/>
              <w:rPr>
                <w:sz w:val="4"/>
                <w:szCs w:val="4"/>
                <w:color w:val="auto"/>
              </w:rPr>
            </w:pPr>
          </w:p>
        </w:tc>
        <w:tc>
          <w:tcPr>
            <w:tcW w:w="11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 3</w:t>
            </w:r>
          </w:p>
        </w:tc>
        <w:tc>
          <w:tcPr>
            <w:tcW w:w="740" w:type="dxa"/>
            <w:vAlign w:val="bottom"/>
          </w:tcPr>
          <w:p>
            <w:pPr>
              <w:spacing w:after="0"/>
              <w:rPr>
                <w:sz w:val="4"/>
                <w:szCs w:val="4"/>
                <w:color w:val="auto"/>
              </w:rPr>
            </w:pPr>
          </w:p>
        </w:tc>
        <w:tc>
          <w:tcPr>
            <w:tcW w:w="98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(I) (Instr. 4)</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720" w:type="dxa"/>
            <w:vAlign w:val="bottom"/>
            <w:gridSpan w:val="3"/>
          </w:tcPr>
          <w:p>
            <w:pPr>
              <w:ind w:left="40"/>
              <w:spacing w:after="0" w:line="146" w:lineRule="exact"/>
              <w:rPr>
                <w:sz w:val="20"/>
                <w:szCs w:val="20"/>
                <w:color w:val="auto"/>
              </w:rPr>
            </w:pPr>
            <w:r>
              <w:rPr>
                <w:rFonts w:ascii="Arial" w:cs="Arial" w:eastAsia="Arial" w:hAnsi="Arial"/>
                <w:sz w:val="14"/>
                <w:szCs w:val="14"/>
                <w:color w:val="008000"/>
              </w:rPr>
              <w:t>separate price within the range.</w:t>
            </w: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40" w:type="dxa"/>
            <w:vAlign w:val="bottom"/>
          </w:tcPr>
          <w:p>
            <w:pPr>
              <w:spacing w:after="0"/>
              <w:rPr>
                <w:sz w:val="12"/>
                <w:szCs w:val="12"/>
                <w:color w:val="auto"/>
              </w:rPr>
            </w:pP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and 4)</w:t>
            </w:r>
          </w:p>
        </w:tc>
        <w:tc>
          <w:tcPr>
            <w:tcW w:w="74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(D)</w:t>
            </w:r>
          </w:p>
        </w:tc>
        <w:tc>
          <w:tcPr>
            <w:tcW w:w="1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 tion(s)</w:t>
            </w: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1420" w:type="dxa"/>
            <w:vAlign w:val="bottom"/>
            <w:gridSpan w:val="13"/>
          </w:tcPr>
          <w:p>
            <w:pPr>
              <w:ind w:left="40"/>
              <w:spacing w:after="0" w:line="27" w:lineRule="exact"/>
              <w:rPr>
                <w:sz w:val="20"/>
                <w:szCs w:val="20"/>
                <w:color w:val="auto"/>
              </w:rPr>
            </w:pPr>
            <w:r>
              <w:rPr>
                <w:rFonts w:ascii="Arial" w:cs="Arial" w:eastAsia="Arial" w:hAnsi="Arial"/>
                <w:sz w:val="3"/>
                <w:szCs w:val="3"/>
                <w:color w:val="008000"/>
              </w:rPr>
              <w:t>2. Represents shares acquired directly by sanofi-aventis Amerique du Nord ("SAAN"). The shares were purchased pursuant to a plan intended to comply with Rule 10b5-1(c)(1)(i) under the Exchange Act,</w:t>
            </w:r>
          </w:p>
        </w:tc>
        <w:tc>
          <w:tcPr>
            <w:tcW w:w="0" w:type="dxa"/>
            <w:vAlign w:val="bottom"/>
          </w:tcPr>
          <w:p>
            <w:pPr>
              <w:spacing w:after="0" w:line="20" w:lineRule="exact"/>
              <w:rPr>
                <w:sz w:val="1"/>
                <w:szCs w:val="1"/>
                <w:color w:val="auto"/>
              </w:rPr>
            </w:pPr>
          </w:p>
        </w:tc>
      </w:tr>
      <w:tr>
        <w:trPr>
          <w:trHeight w:val="149"/>
        </w:trPr>
        <w:tc>
          <w:tcPr>
            <w:tcW w:w="2720" w:type="dxa"/>
            <w:vAlign w:val="bottom"/>
            <w:gridSpan w:val="3"/>
          </w:tcPr>
          <w:p>
            <w:pPr>
              <w:ind w:left="40"/>
              <w:spacing w:after="0" w:line="149" w:lineRule="exact"/>
              <w:rPr>
                <w:sz w:val="20"/>
                <w:szCs w:val="20"/>
                <w:color w:val="auto"/>
              </w:rPr>
            </w:pPr>
            <w:r>
              <w:rPr>
                <w:rFonts w:ascii="Arial" w:cs="Arial" w:eastAsia="Arial" w:hAnsi="Arial"/>
                <w:sz w:val="14"/>
                <w:szCs w:val="14"/>
                <w:color w:val="008000"/>
                <w:w w:val="97"/>
              </w:rPr>
              <w:t>entered into with a broker on June 27, 2014.</w:t>
            </w: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80" w:type="dxa"/>
            <w:vAlign w:val="bottom"/>
            <w:gridSpan w:val="4"/>
            <w:vMerge w:val="restart"/>
          </w:tcPr>
          <w:p>
            <w:pPr>
              <w:ind w:left="40"/>
              <w:spacing w:after="0"/>
              <w:rPr>
                <w:sz w:val="20"/>
                <w:szCs w:val="20"/>
                <w:color w:val="auto"/>
              </w:rPr>
            </w:pPr>
            <w:r>
              <w:rPr>
                <w:rFonts w:ascii="Arial" w:cs="Arial" w:eastAsia="Arial" w:hAnsi="Arial"/>
                <w:sz w:val="14"/>
                <w:szCs w:val="14"/>
                <w:color w:val="008000"/>
                <w:w w:val="86"/>
              </w:rPr>
              <w:t>3. Purchase prices range from $310.81 to $311.77 per share, inclusive.</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88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40" w:right="140"/>
        <w:spacing w:after="0" w:line="256" w:lineRule="auto"/>
        <w:rPr>
          <w:sz w:val="20"/>
          <w:szCs w:val="20"/>
          <w:color w:val="auto"/>
        </w:rPr>
      </w:pPr>
      <w:r>
        <w:rPr>
          <w:rFonts w:ascii="Arial" w:cs="Arial" w:eastAsia="Arial" w:hAnsi="Arial"/>
          <w:sz w:val="12"/>
          <w:szCs w:val="12"/>
          <w:color w:val="008000"/>
        </w:rPr>
        <w:t>4. 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19,276,189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ectPr>
          <w:pgSz w:w="11900" w:h="16838" w:orient="portrait"/>
          <w:cols w:equalWidth="0" w:num="1">
            <w:col w:w="11420"/>
          </w:cols>
          <w:pgMar w:left="240" w:top="64" w:right="239" w:bottom="1440" w:gutter="0" w:footer="0" w:header="0"/>
        </w:sectPr>
      </w:pPr>
    </w:p>
    <w:p>
      <w:pPr>
        <w:spacing w:after="0" w:line="59"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$311.88 to $312.81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$312.90 to $313.89 per share, inclusive.</w:t>
      </w:r>
    </w:p>
    <w:p>
      <w:pPr>
        <w:spacing w:after="0" w:line="11" w:lineRule="exact"/>
        <w:rPr>
          <w:sz w:val="20"/>
          <w:szCs w:val="20"/>
          <w:color w:val="auto"/>
        </w:rPr>
      </w:pPr>
    </w:p>
    <w:p>
      <w:pPr>
        <w:ind w:left="40"/>
        <w:spacing w:after="0"/>
        <w:tabs>
          <w:tab w:leader="none" w:pos="4360" w:val="left"/>
        </w:tabs>
        <w:rPr>
          <w:sz w:val="20"/>
          <w:szCs w:val="20"/>
          <w:color w:val="auto"/>
        </w:rPr>
      </w:pPr>
      <w:r>
        <w:rPr>
          <w:rFonts w:ascii="Arial" w:cs="Arial" w:eastAsia="Arial" w:hAnsi="Arial"/>
          <w:sz w:val="12"/>
          <w:szCs w:val="12"/>
          <w:color w:val="008000"/>
        </w:rPr>
        <w:t xml:space="preserve">7. Purchase prices range from $313.90 to $314.88 per share, inclusive. </w:t>
      </w:r>
      <w:r>
        <w:rPr>
          <w:rFonts w:ascii="Arial" w:cs="Arial" w:eastAsia="Arial" w:hAnsi="Arial"/>
          <w:sz w:val="21"/>
          <w:szCs w:val="21"/>
          <w:b w:val="1"/>
          <w:bCs w:val="1"/>
          <w:color w:val="000000"/>
          <w:vertAlign w:val="subscript"/>
        </w:rPr>
        <w:t>Code</w:t>
      </w:r>
      <w:r>
        <w:rPr>
          <w:sz w:val="20"/>
          <w:szCs w:val="20"/>
          <w:color w:val="auto"/>
        </w:rPr>
        <w:tab/>
      </w:r>
      <w:r>
        <w:rPr>
          <w:rFonts w:ascii="Arial" w:cs="Arial" w:eastAsia="Arial" w:hAnsi="Arial"/>
          <w:sz w:val="17"/>
          <w:szCs w:val="17"/>
          <w:b w:val="1"/>
          <w:bCs w:val="1"/>
          <w:color w:val="auto"/>
          <w:vertAlign w:val="subscript"/>
        </w:rPr>
        <w:t>V</w:t>
      </w:r>
    </w:p>
    <w:p>
      <w:pPr>
        <w:spacing w:after="0" w:line="3"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$314.95 to $315.00 per share, inclusive.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$316.56 to $317.55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$317.56 to $318.54 per share, inclusive.</w:t>
      </w:r>
    </w:p>
    <w:p>
      <w:pPr>
        <w:spacing w:after="0" w:line="64" w:lineRule="exact"/>
        <w:rPr>
          <w:rFonts w:ascii="Arial" w:cs="Arial" w:eastAsia="Arial" w:hAnsi="Arial"/>
          <w:sz w:val="12"/>
          <w:szCs w:val="12"/>
          <w:color w:val="008000"/>
        </w:rPr>
      </w:pPr>
    </w:p>
    <w:p>
      <w:pPr>
        <w:ind w:left="240" w:hanging="191"/>
        <w:spacing w:after="0"/>
        <w:tabs>
          <w:tab w:leader="none" w:pos="2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$318.62 to $318.79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$314.07 to $315.04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$315.07 to $316.04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$316.07 to $317.06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$317.07 to $318.06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$318.07 to $319.06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$319.07 to $320.00 per share, inclusive.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20" w:lineRule="exact"/>
        <w:rPr>
          <w:sz w:val="20"/>
          <w:szCs w:val="20"/>
          <w:color w:val="auto"/>
        </w:rPr>
      </w:pPr>
      <w:r>
        <w:rPr>
          <w:sz w:val="20"/>
          <w:szCs w:val="20"/>
          <w:color w:val="auto"/>
        </w:rPr>
        <w:br w:type="column"/>
      </w:r>
    </w:p>
    <w:p>
      <w:pPr>
        <w:ind w:left="2800"/>
        <w:spacing w:after="0" w:line="236" w:lineRule="auto"/>
        <w:rPr>
          <w:sz w:val="20"/>
          <w:szCs w:val="20"/>
          <w:color w:val="auto"/>
        </w:rPr>
      </w:pPr>
      <w:r>
        <w:rPr>
          <w:rFonts w:ascii="Arial" w:cs="Arial" w:eastAsia="Arial" w:hAnsi="Arial"/>
          <w:sz w:val="12"/>
          <w:szCs w:val="12"/>
          <w:b w:val="1"/>
          <w:bCs w:val="1"/>
          <w:color w:val="auto"/>
        </w:rPr>
        <w:t>Amount</w:t>
      </w:r>
    </w:p>
    <w:p>
      <w:pPr>
        <w:ind w:left="2800"/>
        <w:spacing w:after="0" w:line="235" w:lineRule="auto"/>
        <w:rPr>
          <w:sz w:val="20"/>
          <w:szCs w:val="20"/>
          <w:color w:val="auto"/>
        </w:rPr>
      </w:pPr>
      <w:r>
        <w:rPr>
          <w:rFonts w:ascii="Arial" w:cs="Arial" w:eastAsia="Arial" w:hAnsi="Arial"/>
          <w:sz w:val="12"/>
          <w:szCs w:val="12"/>
          <w:b w:val="1"/>
          <w:bCs w:val="1"/>
          <w:color w:val="auto"/>
        </w:rPr>
        <w:t>or</w:t>
      </w:r>
    </w:p>
    <w:p>
      <w:pPr>
        <w:ind w:left="2800"/>
        <w:spacing w:after="0" w:line="235" w:lineRule="auto"/>
        <w:rPr>
          <w:sz w:val="20"/>
          <w:szCs w:val="20"/>
          <w:color w:val="auto"/>
        </w:rPr>
      </w:pPr>
      <w:r>
        <w:rPr>
          <w:rFonts w:ascii="Arial" w:cs="Arial" w:eastAsia="Arial" w:hAnsi="Arial"/>
          <w:sz w:val="12"/>
          <w:szCs w:val="12"/>
          <w:b w:val="1"/>
          <w:bCs w:val="1"/>
          <w:color w:val="auto"/>
        </w:rPr>
        <w:t>Number</w:t>
      </w:r>
    </w:p>
    <w:p>
      <w:pPr>
        <w:ind w:left="780"/>
        <w:spacing w:after="0" w:line="234" w:lineRule="auto"/>
        <w:tabs>
          <w:tab w:leader="none" w:pos="1580" w:val="left"/>
          <w:tab w:leader="none" w:pos="278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2"/>
          <w:szCs w:val="12"/>
          <w:b w:val="1"/>
          <w:bCs w:val="1"/>
          <w:color w:val="auto"/>
        </w:rPr>
        <w:t>of</w:t>
      </w:r>
    </w:p>
    <w:p>
      <w:pPr>
        <w:spacing w:after="0" w:line="1" w:lineRule="exact"/>
        <w:rPr>
          <w:sz w:val="20"/>
          <w:szCs w:val="20"/>
          <w:color w:val="auto"/>
        </w:rPr>
      </w:pPr>
    </w:p>
    <w:p>
      <w:pPr>
        <w:spacing w:after="0"/>
        <w:tabs>
          <w:tab w:leader="none" w:pos="360" w:val="left"/>
          <w:tab w:leader="none" w:pos="760" w:val="left"/>
          <w:tab w:leader="none" w:pos="1580" w:val="left"/>
          <w:tab w:leader="none" w:pos="2320" w:val="left"/>
          <w:tab w:leader="none" w:pos="2780" w:val="left"/>
        </w:tabs>
        <w:rPr>
          <w:sz w:val="20"/>
          <w:szCs w:val="20"/>
          <w:color w:val="auto"/>
        </w:rPr>
      </w:pPr>
      <w:r>
        <w:rPr>
          <w:rFonts w:ascii="Arial" w:cs="Arial" w:eastAsia="Arial" w:hAnsi="Arial"/>
          <w:sz w:val="12"/>
          <w:szCs w:val="12"/>
          <w:b w:val="1"/>
          <w:bCs w:val="1"/>
          <w:color w:val="auto"/>
        </w:rPr>
        <w:t>(A)</w:t>
        <w:tab/>
        <w:t>(D)</w:t>
      </w:r>
      <w:r>
        <w:rPr>
          <w:sz w:val="20"/>
          <w:szCs w:val="20"/>
          <w:color w:val="auto"/>
        </w:rPr>
        <w:tab/>
      </w:r>
      <w:r>
        <w:rPr>
          <w:rFonts w:ascii="Arial" w:cs="Arial" w:eastAsia="Arial" w:hAnsi="Arial"/>
          <w:sz w:val="12"/>
          <w:szCs w:val="12"/>
          <w:b w:val="1"/>
          <w:bCs w:val="1"/>
          <w:color w:val="auto"/>
        </w:rPr>
        <w:t>Exercisable</w:t>
        <w:tab/>
        <w:t>Date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Shares</w:t>
      </w:r>
    </w:p>
    <w:p>
      <w:pPr>
        <w:spacing w:after="0" w:line="2353" w:lineRule="exact"/>
        <w:rPr>
          <w:sz w:val="20"/>
          <w:szCs w:val="20"/>
          <w:color w:val="auto"/>
        </w:rPr>
      </w:pPr>
    </w:p>
    <w:p>
      <w:pPr>
        <w:sectPr>
          <w:pgSz w:w="11900" w:h="16838" w:orient="portrait"/>
          <w:cols w:equalWidth="0" w:num="2">
            <w:col w:w="4460" w:space="320"/>
            <w:col w:w="6640"/>
          </w:cols>
          <w:pgMar w:left="240" w:top="64" w:right="239" w:bottom="1440" w:gutter="0" w:footer="0" w:header="0"/>
          <w:type w:val="continuous"/>
        </w:sect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07/15/2014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2019-12-17T06:11:04Z</dcterms:created>
  <dcterms:modified xsi:type="dcterms:W3CDTF">2019-12-17T06:11:04Z</dcterms:modified>
</cp:coreProperties>
</file>