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20"/>
        <w:spacing w:after="0"/>
        <w:rPr>
          <w:sz w:val="20"/>
          <w:szCs w:val="20"/>
          <w:color w:val="auto"/>
        </w:rPr>
      </w:pPr>
      <w:r>
        <w:rPr>
          <w:rFonts w:ascii="Courier New" w:cs="Courier New" w:eastAsia="Courier New" w:hAnsi="Courier New"/>
          <w:sz w:val="17"/>
          <w:szCs w:val="17"/>
          <w:color w:val="auto"/>
        </w:rPr>
        <w:t>As filed with the Securities and Exchange Commission on June 15, 1999</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Registration No. 33-</w:t>
      </w:r>
    </w:p>
    <w:p>
      <w:pPr>
        <w:spacing w:after="0" w:line="200" w:lineRule="exact"/>
        <w:rPr>
          <w:sz w:val="24"/>
          <w:szCs w:val="24"/>
          <w:color w:val="auto"/>
        </w:rPr>
      </w:pPr>
    </w:p>
    <w:p>
      <w:pPr>
        <w:spacing w:after="0" w:line="20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FORM S-8</w:t>
      </w:r>
    </w:p>
    <w:p>
      <w:pPr>
        <w:spacing w:after="0" w:line="20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REGISTRATION STATEMENT</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UNDER</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THE SECURITIES ACT OF 1933</w:t>
      </w:r>
    </w:p>
    <w:p>
      <w:pPr>
        <w:spacing w:after="0" w:line="200" w:lineRule="exact"/>
        <w:rPr>
          <w:sz w:val="24"/>
          <w:szCs w:val="24"/>
          <w:color w:val="auto"/>
        </w:rPr>
      </w:pPr>
    </w:p>
    <w:p>
      <w:pPr>
        <w:spacing w:after="0" w:line="20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648" w:right="139" w:bottom="0" w:gutter="0" w:footer="0" w:header="0"/>
        </w:sect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NEW YORK</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13-3444607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020" w:space="720"/>
            <w:col w:w="7780"/>
          </w:cols>
          <w:pgMar w:left="240" w:top="648" w:right="139" w:bottom="0" w:gutter="0" w:footer="0" w:header="0"/>
          <w:type w:val="continuous"/>
        </w:sectPr>
      </w:pP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Tarrytown, New York 10591</w:t>
      </w:r>
    </w:p>
    <w:p>
      <w:pPr>
        <w:spacing w:after="0" w:line="7" w:lineRule="exact"/>
        <w:rPr>
          <w:sz w:val="24"/>
          <w:szCs w:val="24"/>
          <w:color w:val="auto"/>
        </w:rPr>
      </w:pPr>
    </w:p>
    <w:p>
      <w:pPr>
        <w:ind w:left="18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spacing w:after="0" w:line="20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1990 LONG-TERM INCENTIVE PLAN</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(Full title of the plan)</w:t>
      </w:r>
    </w:p>
    <w:p>
      <w:pPr>
        <w:spacing w:after="0" w:line="200" w:lineRule="exact"/>
        <w:rPr>
          <w:sz w:val="24"/>
          <w:szCs w:val="24"/>
          <w:color w:val="auto"/>
        </w:rPr>
      </w:pPr>
    </w:p>
    <w:p>
      <w:pPr>
        <w:spacing w:after="0" w:line="20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Paul Lubetkin, Esq., Vice President, General Counsel, and Secretary</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Tarrytown, New York 10591</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(914) 347-7000</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(Name, address and telephone number, including area code,</w:t>
      </w:r>
    </w:p>
    <w:p>
      <w:pPr>
        <w:spacing w:after="0" w:line="7"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7"/>
          <w:szCs w:val="17"/>
          <w:color w:val="auto"/>
        </w:rPr>
        <w:t>of agent for service)</w:t>
      </w:r>
    </w:p>
    <w:p>
      <w:pPr>
        <w:spacing w:after="0" w:line="200" w:lineRule="exact"/>
        <w:rPr>
          <w:sz w:val="24"/>
          <w:szCs w:val="24"/>
          <w:color w:val="auto"/>
        </w:rPr>
      </w:pPr>
    </w:p>
    <w:p>
      <w:pPr>
        <w:spacing w:after="0" w:line="20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Copies to:</w:t>
      </w:r>
    </w:p>
    <w:p>
      <w:pPr>
        <w:spacing w:after="0" w:line="20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David J. Goldschmidt, Esq.</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Skadden, Arps, Slate, Meagher &amp; Flom</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919 Third Avenue</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7"/>
          <w:szCs w:val="17"/>
          <w:color w:val="auto"/>
        </w:rPr>
        <w:t>New York, New York 10022</w:t>
      </w:r>
    </w:p>
    <w:p>
      <w:pPr>
        <w:spacing w:after="0" w:line="7" w:lineRule="exact"/>
        <w:rPr>
          <w:sz w:val="24"/>
          <w:szCs w:val="24"/>
          <w:color w:val="auto"/>
        </w:rPr>
      </w:pPr>
    </w:p>
    <w:p>
      <w:pPr>
        <w:ind w:left="3860" w:hanging="633"/>
        <w:spacing w:after="0"/>
        <w:tabs>
          <w:tab w:leader="none" w:pos="38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735-3000</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40" w:type="dxa"/>
            <w:vAlign w:val="bottom"/>
          </w:tcPr>
          <w:p>
            <w:pPr>
              <w:ind w:left="460"/>
              <w:spacing w:after="0"/>
              <w:rPr>
                <w:sz w:val="20"/>
                <w:szCs w:val="20"/>
                <w:color w:val="auto"/>
              </w:rPr>
            </w:pPr>
            <w:r>
              <w:rPr>
                <w:rFonts w:ascii="Courier New" w:cs="Courier New" w:eastAsia="Courier New" w:hAnsi="Courier New"/>
                <w:sz w:val="17"/>
                <w:szCs w:val="17"/>
                <w:color w:val="auto"/>
              </w:rPr>
              <w:t>Proposed Maximum</w:t>
            </w:r>
          </w:p>
        </w:tc>
        <w:tc>
          <w:tcPr>
            <w:tcW w:w="26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Proposed Maximum</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Amount of</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of Securities</w:t>
            </w:r>
          </w:p>
        </w:tc>
        <w:tc>
          <w:tcPr>
            <w:tcW w:w="2080" w:type="dxa"/>
            <w:vAlign w:val="bottom"/>
          </w:tcPr>
          <w:p>
            <w:pPr>
              <w:ind w:left="260"/>
              <w:spacing w:after="0"/>
              <w:rPr>
                <w:sz w:val="20"/>
                <w:szCs w:val="20"/>
                <w:color w:val="auto"/>
              </w:rPr>
            </w:pPr>
            <w:r>
              <w:rPr>
                <w:rFonts w:ascii="Courier New" w:cs="Courier New" w:eastAsia="Courier New" w:hAnsi="Courier New"/>
                <w:sz w:val="17"/>
                <w:szCs w:val="17"/>
                <w:color w:val="auto"/>
              </w:rPr>
              <w:t>Amount to  be</w:t>
            </w:r>
          </w:p>
        </w:tc>
        <w:tc>
          <w:tcPr>
            <w:tcW w:w="2640" w:type="dxa"/>
            <w:vAlign w:val="bottom"/>
          </w:tcPr>
          <w:p>
            <w:pPr>
              <w:ind w:left="460"/>
              <w:spacing w:after="0"/>
              <w:rPr>
                <w:sz w:val="20"/>
                <w:szCs w:val="20"/>
                <w:color w:val="auto"/>
              </w:rPr>
            </w:pPr>
            <w:r>
              <w:rPr>
                <w:rFonts w:ascii="Courier New" w:cs="Courier New" w:eastAsia="Courier New" w:hAnsi="Courier New"/>
                <w:sz w:val="17"/>
                <w:szCs w:val="17"/>
                <w:color w:val="auto"/>
              </w:rPr>
              <w:t>Offering Price</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Aggregate</w:t>
            </w:r>
          </w:p>
        </w:tc>
        <w:tc>
          <w:tcPr>
            <w:tcW w:w="1080" w:type="dxa"/>
            <w:vAlign w:val="bottom"/>
          </w:tcPr>
          <w:p>
            <w:pPr>
              <w:ind w:left="40"/>
              <w:spacing w:after="0"/>
              <w:rPr>
                <w:sz w:val="20"/>
                <w:szCs w:val="20"/>
                <w:color w:val="auto"/>
              </w:rPr>
            </w:pPr>
            <w:r>
              <w:rPr>
                <w:rFonts w:ascii="Courier New" w:cs="Courier New" w:eastAsia="Courier New" w:hAnsi="Courier New"/>
                <w:sz w:val="17"/>
                <w:szCs w:val="17"/>
                <w:color w:val="auto"/>
              </w:rPr>
              <w:t>Offering</w:t>
            </w: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w w:val="99"/>
              </w:rPr>
              <w:t>Registration</w:t>
            </w:r>
          </w:p>
        </w:tc>
      </w:tr>
      <w:tr>
        <w:trPr>
          <w:trHeight w:val="200"/>
        </w:trPr>
        <w:tc>
          <w:tcPr>
            <w:tcW w:w="580" w:type="dxa"/>
            <w:vAlign w:val="bottom"/>
          </w:tcPr>
          <w:p>
            <w:pPr>
              <w:spacing w:after="0"/>
              <w:rPr>
                <w:sz w:val="20"/>
                <w:szCs w:val="20"/>
                <w:color w:val="auto"/>
              </w:rPr>
            </w:pPr>
            <w:r>
              <w:rPr>
                <w:rFonts w:ascii="Courier New" w:cs="Courier New" w:eastAsia="Courier New" w:hAnsi="Courier New"/>
                <w:sz w:val="17"/>
                <w:szCs w:val="17"/>
                <w:color w:val="auto"/>
              </w:rPr>
              <w:t>to be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Registered</w:t>
            </w:r>
          </w:p>
        </w:tc>
        <w:tc>
          <w:tcPr>
            <w:tcW w:w="2080" w:type="dxa"/>
            <w:vAlign w:val="bottom"/>
          </w:tcPr>
          <w:p>
            <w:pPr>
              <w:ind w:left="260"/>
              <w:spacing w:after="0"/>
              <w:rPr>
                <w:sz w:val="20"/>
                <w:szCs w:val="20"/>
                <w:color w:val="auto"/>
              </w:rPr>
            </w:pPr>
            <w:r>
              <w:rPr>
                <w:rFonts w:ascii="Courier New" w:cs="Courier New" w:eastAsia="Courier New" w:hAnsi="Courier New"/>
                <w:sz w:val="17"/>
                <w:szCs w:val="17"/>
                <w:color w:val="auto"/>
              </w:rPr>
              <w:t>Registered</w:t>
            </w:r>
          </w:p>
        </w:tc>
        <w:tc>
          <w:tcPr>
            <w:tcW w:w="2640" w:type="dxa"/>
            <w:vAlign w:val="bottom"/>
          </w:tcPr>
          <w:p>
            <w:pPr>
              <w:ind w:left="460"/>
              <w:spacing w:after="0"/>
              <w:rPr>
                <w:sz w:val="20"/>
                <w:szCs w:val="20"/>
                <w:color w:val="auto"/>
              </w:rPr>
            </w:pPr>
            <w:r>
              <w:rPr>
                <w:rFonts w:ascii="Courier New" w:cs="Courier New" w:eastAsia="Courier New" w:hAnsi="Courier New"/>
                <w:sz w:val="17"/>
                <w:szCs w:val="17"/>
                <w:color w:val="auto"/>
              </w:rPr>
              <w:t>Per Share (1)(2)</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Price (2)</w:t>
            </w:r>
          </w:p>
        </w:tc>
        <w:tc>
          <w:tcPr>
            <w:tcW w:w="1080" w:type="dxa"/>
            <w:vAlign w:val="bottom"/>
          </w:tcPr>
          <w:p>
            <w:pPr>
              <w:spacing w:after="0"/>
              <w:rPr>
                <w:sz w:val="17"/>
                <w:szCs w:val="17"/>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7"/>
                <w:szCs w:val="17"/>
                <w:color w:val="auto"/>
              </w:rPr>
              <w:t>Fee</w:t>
            </w:r>
          </w:p>
        </w:tc>
      </w:tr>
    </w:tbl>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par value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$0.001 per</w:t>
      </w:r>
    </w:p>
    <w:p>
      <w:pPr>
        <w:spacing w:after="0" w:line="7" w:lineRule="exact"/>
        <w:rPr>
          <w:sz w:val="24"/>
          <w:szCs w:val="24"/>
          <w:color w:val="auto"/>
        </w:rPr>
      </w:pPr>
    </w:p>
    <w:p>
      <w:pPr>
        <w:spacing w:after="0"/>
        <w:tabs>
          <w:tab w:leader="none" w:pos="2480" w:val="left"/>
          <w:tab w:leader="none" w:pos="4980" w:val="left"/>
          <w:tab w:leader="none" w:pos="7680" w:val="left"/>
          <w:tab w:leader="none" w:pos="9960" w:val="left"/>
        </w:tabs>
        <w:rPr>
          <w:sz w:val="20"/>
          <w:szCs w:val="20"/>
          <w:color w:val="auto"/>
        </w:rPr>
      </w:pPr>
      <w:r>
        <w:rPr>
          <w:rFonts w:ascii="Courier New" w:cs="Courier New" w:eastAsia="Courier New" w:hAnsi="Courier New"/>
          <w:sz w:val="17"/>
          <w:szCs w:val="17"/>
          <w:color w:val="auto"/>
        </w:rPr>
        <w:t>share</w:t>
      </w:r>
      <w:r>
        <w:rPr>
          <w:sz w:val="20"/>
          <w:szCs w:val="20"/>
          <w:color w:val="auto"/>
        </w:rPr>
        <w:tab/>
      </w:r>
      <w:r>
        <w:rPr>
          <w:rFonts w:ascii="Courier New" w:cs="Courier New" w:eastAsia="Courier New" w:hAnsi="Courier New"/>
          <w:sz w:val="17"/>
          <w:szCs w:val="17"/>
          <w:color w:val="auto"/>
        </w:rPr>
        <w:t>1,500,000 shares</w:t>
      </w:r>
      <w:r>
        <w:rPr>
          <w:sz w:val="20"/>
          <w:szCs w:val="20"/>
          <w:color w:val="auto"/>
        </w:rPr>
        <w:tab/>
      </w:r>
      <w:r>
        <w:rPr>
          <w:rFonts w:ascii="Courier New" w:cs="Courier New" w:eastAsia="Courier New" w:hAnsi="Courier New"/>
          <w:sz w:val="17"/>
          <w:szCs w:val="17"/>
          <w:color w:val="auto"/>
        </w:rPr>
        <w:t>$6.75</w:t>
      </w:r>
      <w:r>
        <w:rPr>
          <w:sz w:val="20"/>
          <w:szCs w:val="20"/>
          <w:color w:val="auto"/>
        </w:rPr>
        <w:tab/>
      </w:r>
      <w:r>
        <w:rPr>
          <w:rFonts w:ascii="Courier New" w:cs="Courier New" w:eastAsia="Courier New" w:hAnsi="Courier New"/>
          <w:sz w:val="17"/>
          <w:szCs w:val="17"/>
          <w:color w:val="auto"/>
        </w:rPr>
        <w:t>$10,125,000</w:t>
      </w:r>
      <w:r>
        <w:rPr>
          <w:sz w:val="20"/>
          <w:szCs w:val="20"/>
          <w:color w:val="auto"/>
        </w:rPr>
        <w:tab/>
      </w:r>
      <w:r>
        <w:rPr>
          <w:rFonts w:ascii="Courier New" w:cs="Courier New" w:eastAsia="Courier New" w:hAnsi="Courier New"/>
          <w:sz w:val="17"/>
          <w:szCs w:val="17"/>
          <w:color w:val="auto"/>
        </w:rPr>
        <w:t>$3,491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420" w:right="3720" w:hanging="413"/>
        <w:spacing w:after="0" w:line="248"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pursuant to paragraphs (c) and (h) of Rule 457 under the Securities Act of 1933, as amended, on the basis of the average of the high and low sale prices for a share of Common Stock on Nasdaq National Market on June 10, 1999, within five business days prior to filing.</w:t>
      </w:r>
    </w:p>
    <w:p>
      <w:pPr>
        <w:spacing w:after="0" w:line="3"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REGISTRATION STATEMENT</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color w:val="auto"/>
        </w:rPr>
        <w:t>FOR</w:t>
      </w:r>
    </w:p>
    <w:p>
      <w:pPr>
        <w:sectPr>
          <w:pgSz w:w="11900" w:h="16838" w:orient="portrait"/>
          <w:cols w:equalWidth="0" w:num="1">
            <w:col w:w="11520"/>
          </w:cols>
          <w:pgMar w:left="240" w:top="648" w:right="139" w:bottom="0" w:gutter="0" w:footer="0" w:header="0"/>
          <w:type w:val="continuous"/>
        </w:sectPr>
      </w:pPr>
    </w:p>
    <w:bookmarkStart w:id="1" w:name="page2"/>
    <w:bookmarkEnd w:id="1"/>
    <w:p>
      <w:pPr>
        <w:jc w:val="center"/>
        <w:ind w:right="2419"/>
        <w:spacing w:after="0"/>
        <w:rPr>
          <w:sz w:val="20"/>
          <w:szCs w:val="20"/>
          <w:color w:val="auto"/>
        </w:rPr>
      </w:pPr>
      <w:r>
        <w:rPr>
          <w:rFonts w:ascii="Courier New" w:cs="Courier New" w:eastAsia="Courier New" w:hAnsi="Courier New"/>
          <w:sz w:val="17"/>
          <w:szCs w:val="17"/>
          <w:color w:val="auto"/>
        </w:rPr>
        <w:t>REGISTRATION OF ADDITIONAL SECURITIES</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ON FORM S-8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Incorporation by Reference</w:t>
      </w:r>
    </w:p>
    <w:p>
      <w:pPr>
        <w:spacing w:after="0" w:line="207" w:lineRule="exact"/>
        <w:rPr>
          <w:sz w:val="20"/>
          <w:szCs w:val="20"/>
          <w:color w:val="auto"/>
        </w:rPr>
      </w:pPr>
    </w:p>
    <w:p>
      <w:pPr>
        <w:ind w:right="2519" w:firstLine="1558"/>
        <w:spacing w:after="0" w:line="249" w:lineRule="auto"/>
        <w:rPr>
          <w:sz w:val="20"/>
          <w:szCs w:val="20"/>
          <w:color w:val="auto"/>
        </w:rPr>
      </w:pPr>
      <w:r>
        <w:rPr>
          <w:rFonts w:ascii="Courier New" w:cs="Courier New" w:eastAsia="Courier New" w:hAnsi="Courier New"/>
          <w:sz w:val="17"/>
          <w:szCs w:val="17"/>
          <w:color w:val="auto"/>
        </w:rPr>
        <w:t>Hereby incorporated by reference is Registrant's Registration Statement on Form S-8 (No. 33-50480) filed on August 5, 1992 with the Securities and Exchange Commission (the "Commission") pursuant to the Securities Exchange Act of 1934, as amended (the "Securities Act").</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Required Information Not in Prior Statement</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7" w:lineRule="exact"/>
        <w:rPr>
          <w:sz w:val="20"/>
          <w:szCs w:val="20"/>
          <w:color w:val="auto"/>
        </w:rPr>
      </w:pPr>
    </w:p>
    <w:p>
      <w:pPr>
        <w:ind w:right="2519" w:firstLine="1558"/>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Registrant certifies that it has reasonable grounds to believe that it meets all of the requirements for filing on Form S-8 and has duly caused this Registration Statement to be signed on its behalf by the undersigned, thereunto duly authorized, in the City of Tarrytown, State of New York, on the 11th day of June, 1999.</w:t>
      </w:r>
    </w:p>
    <w:p>
      <w:pPr>
        <w:spacing w:after="0" w:line="400"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pacing w:after="0" w:line="207" w:lineRule="exact"/>
        <w:rPr>
          <w:sz w:val="20"/>
          <w:szCs w:val="20"/>
          <w:color w:val="auto"/>
        </w:rPr>
      </w:pPr>
    </w:p>
    <w:p>
      <w:pPr>
        <w:ind w:left="3220"/>
        <w:spacing w:after="0"/>
        <w:tabs>
          <w:tab w:leader="none" w:pos="3620" w:val="left"/>
        </w:tabs>
        <w:rPr>
          <w:sz w:val="20"/>
          <w:szCs w:val="20"/>
          <w:color w:val="auto"/>
        </w:rPr>
      </w:pPr>
      <w:r>
        <w:rPr>
          <w:rFonts w:ascii="Courier New" w:cs="Courier New" w:eastAsia="Courier New" w:hAnsi="Courier New"/>
          <w:sz w:val="17"/>
          <w:szCs w:val="17"/>
          <w:color w:val="auto"/>
        </w:rPr>
        <w:t>By</w:t>
        <w:tab/>
        <w:t>/s/ Leonard S. Schleifer, M.D., Ph.D.</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Leonard S. Schleifer, M.D., Ph.D.</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19" w:firstLine="1558"/>
        <w:spacing w:after="0" w:line="249"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Paul Lubetkin his or her true and lawful attorney-in-fact and agent, with full power of substitution and revocation,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attorney-in-fact and agent, or any of his or her substitute or substitutes, may lawfully do or cause to be done by virtue hereof.</w:t>
      </w:r>
    </w:p>
    <w:p>
      <w:pPr>
        <w:spacing w:after="0" w:line="200" w:lineRule="exact"/>
        <w:rPr>
          <w:sz w:val="20"/>
          <w:szCs w:val="20"/>
          <w:color w:val="auto"/>
        </w:rPr>
      </w:pPr>
    </w:p>
    <w:p>
      <w:pPr>
        <w:ind w:right="2519" w:firstLine="1351"/>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this Registration Statement has been signed below by the following persons on behalf of the Registrant and in the capacities indicated on June 11, 1999.</w:t>
      </w:r>
    </w:p>
    <w:p>
      <w:pPr>
        <w:sectPr>
          <w:pgSz w:w="11900" w:h="16838" w:orient="portrait"/>
          <w:cols w:equalWidth="0" w:num="1">
            <w:col w:w="10219"/>
          </w:cols>
          <w:pgMar w:left="240" w:top="142" w:right="1440" w:bottom="148" w:gutter="0" w:footer="0" w:header="0"/>
        </w:sectPr>
      </w:pPr>
    </w:p>
    <w:p>
      <w:pPr>
        <w:spacing w:after="0" w:line="39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Signature</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060" w:space="720"/>
            <w:col w:w="5439"/>
          </w:cols>
          <w:pgMar w:left="240" w:top="142" w:right="1440" w:bottom="148"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 P. Roy Vagelos,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P. Roy Vagelos, M.D.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of Directors</w:t>
      </w:r>
    </w:p>
    <w:p>
      <w:pPr>
        <w:spacing w:after="0" w:line="399" w:lineRule="exact"/>
        <w:rPr>
          <w:sz w:val="20"/>
          <w:szCs w:val="20"/>
          <w:color w:val="auto"/>
        </w:rPr>
      </w:pPr>
    </w:p>
    <w:p>
      <w:pPr>
        <w:sectPr>
          <w:pgSz w:w="11900" w:h="16838" w:orient="portrait"/>
          <w:cols w:equalWidth="0" w:num="2">
            <w:col w:w="3660" w:space="720"/>
            <w:col w:w="5839"/>
          </w:cols>
          <w:pgMar w:left="240" w:top="142" w:right="1440" w:bottom="148" w:gutter="0" w:footer="0" w:header="0"/>
          <w:type w:val="continuous"/>
        </w:sectPr>
      </w:pPr>
    </w:p>
    <w:p>
      <w:pPr>
        <w:spacing w:after="0" w:line="207" w:lineRule="exact"/>
        <w:rPr>
          <w:sz w:val="20"/>
          <w:szCs w:val="20"/>
          <w:color w:val="auto"/>
        </w:rPr>
      </w:pPr>
    </w:p>
    <w:p>
      <w:pPr>
        <w:ind w:firstLine="104"/>
        <w:spacing w:after="0" w:line="250" w:lineRule="auto"/>
        <w:rPr>
          <w:sz w:val="20"/>
          <w:szCs w:val="20"/>
          <w:color w:val="auto"/>
        </w:rPr>
      </w:pPr>
      <w:r>
        <w:rPr>
          <w:rFonts w:ascii="Courier New" w:cs="Courier New" w:eastAsia="Courier New" w:hAnsi="Courier New"/>
          <w:sz w:val="17"/>
          <w:szCs w:val="17"/>
          <w:color w:val="auto"/>
        </w:rPr>
        <w:t>/s/ Leonard S. Schleifer, M.D., Ph.D. - ------------------------------------- Leonard S. Schleifer, M.D., Ph.D.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2319" w:firstLine="208"/>
        <w:spacing w:after="0" w:line="250" w:lineRule="auto"/>
        <w:rPr>
          <w:sz w:val="20"/>
          <w:szCs w:val="20"/>
          <w:color w:val="auto"/>
        </w:rPr>
      </w:pPr>
      <w:r>
        <w:rPr>
          <w:rFonts w:ascii="Courier New" w:cs="Courier New" w:eastAsia="Courier New" w:hAnsi="Courier New"/>
          <w:sz w:val="17"/>
          <w:szCs w:val="17"/>
          <w:color w:val="auto"/>
        </w:rPr>
        <w:t>President, Chief Executive Officer (Principal Executive Officer), and Director</w:t>
      </w:r>
    </w:p>
    <w:p>
      <w:pPr>
        <w:spacing w:after="0" w:line="200" w:lineRule="exact"/>
        <w:rPr>
          <w:sz w:val="20"/>
          <w:szCs w:val="20"/>
          <w:color w:val="auto"/>
        </w:rPr>
      </w:pPr>
    </w:p>
    <w:p>
      <w:pPr>
        <w:sectPr>
          <w:pgSz w:w="11900" w:h="16838" w:orient="portrait"/>
          <w:cols w:equalWidth="0" w:num="2">
            <w:col w:w="4060" w:space="100"/>
            <w:col w:w="6059"/>
          </w:cols>
          <w:pgMar w:left="240" w:top="142" w:right="1440" w:bottom="148" w:gutter="0" w:footer="0" w:header="0"/>
          <w:type w:val="continuous"/>
        </w:sectPr>
      </w:pPr>
    </w:p>
    <w:p>
      <w:pPr>
        <w:spacing w:after="0" w:line="19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Murray A. Goldberg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Murray A. Goldberg</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839" w:firstLine="208"/>
        <w:spacing w:after="0" w:line="249" w:lineRule="auto"/>
        <w:rPr>
          <w:sz w:val="20"/>
          <w:szCs w:val="20"/>
          <w:color w:val="auto"/>
        </w:rPr>
      </w:pPr>
      <w:r>
        <w:rPr>
          <w:rFonts w:ascii="Courier New" w:cs="Courier New" w:eastAsia="Courier New" w:hAnsi="Courier New"/>
          <w:sz w:val="17"/>
          <w:szCs w:val="17"/>
          <w:color w:val="auto"/>
        </w:rPr>
        <w:t>Vice President, Finance &amp; Administration, Chief Financial Officer, and Treasurer (Principal Financial Officer)</w:t>
      </w:r>
    </w:p>
    <w:p>
      <w:pPr>
        <w:sectPr>
          <w:pgSz w:w="11900" w:h="16838" w:orient="portrait"/>
          <w:cols w:equalWidth="0" w:num="2">
            <w:col w:w="4060" w:space="100"/>
            <w:col w:w="6059"/>
          </w:cols>
          <w:pgMar w:left="240" w:top="142" w:right="1440" w:bottom="148" w:gutter="0" w:footer="0" w:header="0"/>
          <w:type w:val="continuous"/>
        </w:sectPr>
      </w:pPr>
    </w:p>
    <w:bookmarkStart w:id="2" w:name="page3"/>
    <w:bookmarkEnd w:id="2"/>
    <w:p>
      <w:pPr>
        <w:ind w:left="120"/>
        <w:spacing w:after="0"/>
        <w:rPr>
          <w:sz w:val="20"/>
          <w:szCs w:val="20"/>
          <w:color w:val="auto"/>
        </w:rPr>
      </w:pPr>
      <w:r>
        <w:rPr>
          <w:rFonts w:ascii="Courier New" w:cs="Courier New" w:eastAsia="Courier New" w:hAnsi="Courier New"/>
          <w:sz w:val="17"/>
          <w:szCs w:val="17"/>
          <w:color w:val="auto"/>
        </w:rPr>
        <w:t>/s/ Douglas S. McCorkle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Douglas S. McCorkle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319" w:firstLine="208"/>
        <w:spacing w:after="0" w:line="251" w:lineRule="auto"/>
        <w:rPr>
          <w:sz w:val="20"/>
          <w:szCs w:val="20"/>
          <w:color w:val="auto"/>
        </w:rPr>
      </w:pPr>
      <w:r>
        <w:rPr>
          <w:rFonts w:ascii="Courier New" w:cs="Courier New" w:eastAsia="Courier New" w:hAnsi="Courier New"/>
          <w:sz w:val="17"/>
          <w:szCs w:val="17"/>
          <w:color w:val="auto"/>
        </w:rPr>
        <w:t>Controller and Assistant Treasurer (Chief Accounting Officer)</w:t>
      </w:r>
    </w:p>
    <w:p>
      <w:pPr>
        <w:spacing w:after="0" w:line="200" w:lineRule="exact"/>
        <w:rPr>
          <w:sz w:val="20"/>
          <w:szCs w:val="20"/>
          <w:color w:val="auto"/>
        </w:rPr>
      </w:pPr>
    </w:p>
    <w:p>
      <w:pPr>
        <w:sectPr>
          <w:pgSz w:w="11900" w:h="16838" w:orient="portrait"/>
          <w:cols w:equalWidth="0" w:num="2">
            <w:col w:w="3740" w:space="420"/>
            <w:col w:w="6059"/>
          </w:cols>
          <w:pgMar w:left="240" w:top="142" w:right="1440" w:bottom="1440" w:gutter="0" w:footer="0" w:header="0"/>
        </w:sectPr>
      </w:pPr>
    </w:p>
    <w:p>
      <w:pPr>
        <w:spacing w:after="0" w:line="19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Charles A. Baker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Charles A. Baker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3740" w:space="64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Michael S. Brown,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Michael S. Brown, M.D.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3740" w:space="64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Alfred G. Gilman, M.D.,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Alfred G. Gilman, M.D., Ph.D.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4160" w:space="22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Joseph L. Goldstein,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Joseph L. Goldstein, M.D.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4060" w:space="32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Fred A. Middleton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Fred A. Middleton</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3960" w:space="42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Eric M. Shooter,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Eric M. Shooter, M.D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3860" w:space="520"/>
            <w:col w:w="5839"/>
          </w:cols>
          <w:pgMar w:left="240" w:top="14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/s/ George L. 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George L. Sing</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9" w:lineRule="exact"/>
        <w:rPr>
          <w:sz w:val="20"/>
          <w:szCs w:val="20"/>
          <w:color w:val="auto"/>
        </w:rPr>
      </w:pPr>
    </w:p>
    <w:p>
      <w:pPr>
        <w:sectPr>
          <w:pgSz w:w="11900" w:h="16838" w:orient="portrait"/>
          <w:cols w:equalWidth="0" w:num="2">
            <w:col w:w="3740" w:space="640"/>
            <w:col w:w="583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tcPr>
          <w:p>
            <w:pPr>
              <w:ind w:left="580"/>
              <w:spacing w:after="0"/>
              <w:rPr>
                <w:sz w:val="20"/>
                <w:szCs w:val="20"/>
                <w:color w:val="auto"/>
              </w:rPr>
            </w:pPr>
            <w:r>
              <w:rPr>
                <w:rFonts w:ascii="Courier New" w:cs="Courier New" w:eastAsia="Courier New" w:hAnsi="Courier New"/>
                <w:sz w:val="17"/>
                <w:szCs w:val="17"/>
                <w:color w:val="auto"/>
              </w:rPr>
              <w:t>LIST OF EXHIBITS</w:t>
            </w:r>
          </w:p>
        </w:tc>
      </w:tr>
      <w:tr>
        <w:trPr>
          <w:trHeight w:val="599"/>
        </w:trPr>
        <w:tc>
          <w:tcPr>
            <w:tcW w:w="1460" w:type="dxa"/>
            <w:vAlign w:val="bottom"/>
          </w:tcPr>
          <w:p>
            <w:pPr>
              <w:spacing w:after="0"/>
              <w:rPr>
                <w:sz w:val="20"/>
                <w:szCs w:val="20"/>
                <w:color w:val="auto"/>
              </w:rPr>
            </w:pPr>
            <w:r>
              <w:rPr>
                <w:rFonts w:ascii="Courier New" w:cs="Courier New" w:eastAsia="Courier New" w:hAnsi="Courier New"/>
                <w:sz w:val="17"/>
                <w:szCs w:val="17"/>
                <w:color w:val="auto"/>
              </w:rPr>
              <w:t>Designation</w:t>
            </w:r>
          </w:p>
        </w:tc>
        <w:tc>
          <w:tcPr>
            <w:tcW w:w="6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Description of Exhibit</w:t>
            </w:r>
          </w:p>
        </w:tc>
      </w:tr>
      <w:tr>
        <w:trPr>
          <w:trHeight w:val="200"/>
        </w:trPr>
        <w:tc>
          <w:tcPr>
            <w:tcW w:w="14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 -----------</w:t>
            </w:r>
          </w:p>
        </w:tc>
        <w:tc>
          <w:tcPr>
            <w:tcW w:w="62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r>
      <w:tr>
        <w:trPr>
          <w:trHeight w:val="400"/>
        </w:trPr>
        <w:tc>
          <w:tcPr>
            <w:tcW w:w="14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4.1</w:t>
            </w: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Registrant's</w:t>
            </w:r>
          </w:p>
        </w:tc>
        <w:tc>
          <w:tcPr>
            <w:tcW w:w="4840" w:type="dxa"/>
            <w:vAlign w:val="bottom"/>
          </w:tcPr>
          <w:p>
            <w:pPr>
              <w:ind w:left="60"/>
              <w:spacing w:after="0"/>
              <w:rPr>
                <w:sz w:val="20"/>
                <w:szCs w:val="20"/>
                <w:color w:val="auto"/>
              </w:rPr>
            </w:pPr>
            <w:r>
              <w:rPr>
                <w:rFonts w:ascii="Courier New" w:cs="Courier New" w:eastAsia="Courier New" w:hAnsi="Courier New"/>
                <w:sz w:val="17"/>
                <w:szCs w:val="17"/>
                <w:color w:val="auto"/>
              </w:rPr>
              <w:t>Articles of Incorporation (incorporated by</w:t>
            </w:r>
          </w:p>
        </w:tc>
      </w:tr>
      <w:tr>
        <w:trPr>
          <w:trHeight w:val="200"/>
        </w:trPr>
        <w:tc>
          <w:tcPr>
            <w:tcW w:w="146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reference to</w:t>
            </w:r>
          </w:p>
        </w:tc>
        <w:tc>
          <w:tcPr>
            <w:tcW w:w="4840" w:type="dxa"/>
            <w:vAlign w:val="bottom"/>
          </w:tcPr>
          <w:p>
            <w:pPr>
              <w:ind w:left="60"/>
              <w:spacing w:after="0"/>
              <w:rPr>
                <w:sz w:val="20"/>
                <w:szCs w:val="20"/>
                <w:color w:val="auto"/>
              </w:rPr>
            </w:pPr>
            <w:r>
              <w:rPr>
                <w:rFonts w:ascii="Courier New" w:cs="Courier New" w:eastAsia="Courier New" w:hAnsi="Courier New"/>
                <w:sz w:val="17"/>
                <w:szCs w:val="17"/>
                <w:color w:val="auto"/>
              </w:rPr>
              <w:t>Registrant's Quarterly Report on Form 10-Q for</w:t>
            </w:r>
          </w:p>
        </w:tc>
      </w:tr>
      <w:tr>
        <w:trPr>
          <w:trHeight w:val="200"/>
        </w:trPr>
        <w:tc>
          <w:tcPr>
            <w:tcW w:w="1460" w:type="dxa"/>
            <w:vAlign w:val="bottom"/>
          </w:tcPr>
          <w:p>
            <w:pPr>
              <w:spacing w:after="0"/>
              <w:rPr>
                <w:sz w:val="17"/>
                <w:szCs w:val="17"/>
                <w:color w:val="auto"/>
              </w:rPr>
            </w:pPr>
          </w:p>
        </w:tc>
        <w:tc>
          <w:tcPr>
            <w:tcW w:w="6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its quarter ended June 30, 1991, filed with the</w:t>
            </w:r>
          </w:p>
        </w:tc>
      </w:tr>
      <w:tr>
        <w:trPr>
          <w:trHeight w:val="200"/>
        </w:trPr>
        <w:tc>
          <w:tcPr>
            <w:tcW w:w="1460" w:type="dxa"/>
            <w:vAlign w:val="bottom"/>
          </w:tcPr>
          <w:p>
            <w:pPr>
              <w:spacing w:after="0"/>
              <w:rPr>
                <w:sz w:val="17"/>
                <w:szCs w:val="17"/>
                <w:color w:val="auto"/>
              </w:rPr>
            </w:pPr>
          </w:p>
        </w:tc>
        <w:tc>
          <w:tcPr>
            <w:tcW w:w="6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Commission on August 13, 1991).</w:t>
            </w:r>
          </w:p>
        </w:tc>
      </w:tr>
      <w:tr>
        <w:trPr>
          <w:trHeight w:val="400"/>
        </w:trPr>
        <w:tc>
          <w:tcPr>
            <w:tcW w:w="146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4.2</w:t>
            </w: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Registrant's</w:t>
            </w:r>
          </w:p>
        </w:tc>
        <w:tc>
          <w:tcPr>
            <w:tcW w:w="4840" w:type="dxa"/>
            <w:vAlign w:val="bottom"/>
          </w:tcPr>
          <w:p>
            <w:pPr>
              <w:ind w:left="60"/>
              <w:spacing w:after="0"/>
              <w:rPr>
                <w:sz w:val="20"/>
                <w:szCs w:val="20"/>
                <w:color w:val="auto"/>
              </w:rPr>
            </w:pPr>
            <w:r>
              <w:rPr>
                <w:rFonts w:ascii="Courier New" w:cs="Courier New" w:eastAsia="Courier New" w:hAnsi="Courier New"/>
                <w:sz w:val="17"/>
                <w:szCs w:val="17"/>
                <w:color w:val="auto"/>
              </w:rPr>
              <w:t>By-Laws (incorporated by reference to</w:t>
            </w:r>
          </w:p>
        </w:tc>
      </w:tr>
      <w:tr>
        <w:trPr>
          <w:trHeight w:val="200"/>
        </w:trPr>
        <w:tc>
          <w:tcPr>
            <w:tcW w:w="146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Registrant's</w:t>
            </w:r>
          </w:p>
        </w:tc>
        <w:tc>
          <w:tcPr>
            <w:tcW w:w="4840" w:type="dxa"/>
            <w:vAlign w:val="bottom"/>
          </w:tcPr>
          <w:p>
            <w:pPr>
              <w:ind w:left="60"/>
              <w:spacing w:after="0"/>
              <w:rPr>
                <w:sz w:val="20"/>
                <w:szCs w:val="20"/>
                <w:color w:val="auto"/>
              </w:rPr>
            </w:pPr>
            <w:r>
              <w:rPr>
                <w:rFonts w:ascii="Courier New" w:cs="Courier New" w:eastAsia="Courier New" w:hAnsi="Courier New"/>
                <w:sz w:val="17"/>
                <w:szCs w:val="17"/>
                <w:color w:val="auto"/>
              </w:rPr>
              <w:t>Annual Report on Form 10-K for its year ended</w:t>
            </w:r>
          </w:p>
        </w:tc>
      </w:tr>
      <w:tr>
        <w:trPr>
          <w:trHeight w:val="200"/>
        </w:trPr>
        <w:tc>
          <w:tcPr>
            <w:tcW w:w="146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December 31,</w:t>
            </w:r>
          </w:p>
        </w:tc>
        <w:tc>
          <w:tcPr>
            <w:tcW w:w="4840" w:type="dxa"/>
            <w:vAlign w:val="bottom"/>
          </w:tcPr>
          <w:p>
            <w:pPr>
              <w:ind w:left="60"/>
              <w:spacing w:after="0"/>
              <w:rPr>
                <w:sz w:val="20"/>
                <w:szCs w:val="20"/>
                <w:color w:val="auto"/>
              </w:rPr>
            </w:pPr>
            <w:r>
              <w:rPr>
                <w:rFonts w:ascii="Courier New" w:cs="Courier New" w:eastAsia="Courier New" w:hAnsi="Courier New"/>
                <w:sz w:val="17"/>
                <w:szCs w:val="17"/>
                <w:color w:val="auto"/>
              </w:rPr>
              <w:t>1994, filed with the Commission on March 31 ,</w:t>
            </w:r>
          </w:p>
        </w:tc>
      </w:tr>
      <w:tr>
        <w:trPr>
          <w:trHeight w:val="200"/>
        </w:trPr>
        <w:tc>
          <w:tcPr>
            <w:tcW w:w="1460" w:type="dxa"/>
            <w:vAlign w:val="bottom"/>
          </w:tcPr>
          <w:p>
            <w:pPr>
              <w:spacing w:after="0"/>
              <w:rPr>
                <w:sz w:val="17"/>
                <w:szCs w:val="17"/>
                <w:color w:val="auto"/>
              </w:rPr>
            </w:pPr>
          </w:p>
        </w:tc>
        <w:tc>
          <w:tcPr>
            <w:tcW w:w="1400" w:type="dxa"/>
            <w:vAlign w:val="bottom"/>
          </w:tcPr>
          <w:p>
            <w:pPr>
              <w:ind w:left="100"/>
              <w:spacing w:after="0"/>
              <w:rPr>
                <w:sz w:val="20"/>
                <w:szCs w:val="20"/>
                <w:color w:val="auto"/>
              </w:rPr>
            </w:pPr>
            <w:r>
              <w:rPr>
                <w:rFonts w:ascii="Courier New" w:cs="Courier New" w:eastAsia="Courier New" w:hAnsi="Courier New"/>
                <w:sz w:val="17"/>
                <w:szCs w:val="17"/>
                <w:color w:val="auto"/>
              </w:rPr>
              <w:t>1995).</w:t>
            </w:r>
          </w:p>
        </w:tc>
        <w:tc>
          <w:tcPr>
            <w:tcW w:w="4840" w:type="dxa"/>
            <w:vAlign w:val="bottom"/>
          </w:tcPr>
          <w:p>
            <w:pPr>
              <w:spacing w:after="0"/>
              <w:rPr>
                <w:sz w:val="17"/>
                <w:szCs w:val="17"/>
                <w:color w:val="auto"/>
              </w:rPr>
            </w:pPr>
          </w:p>
        </w:tc>
      </w:tr>
    </w:tbl>
    <w:p>
      <w:pPr>
        <w:spacing w:after="0" w:line="205" w:lineRule="exact"/>
        <w:rPr>
          <w:sz w:val="20"/>
          <w:szCs w:val="20"/>
          <w:color w:val="auto"/>
        </w:rPr>
      </w:pPr>
    </w:p>
    <w:p>
      <w:pPr>
        <w:ind w:left="1560" w:hanging="1034"/>
        <w:spacing w:after="0"/>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Skadden, Arps, Slate, Meagher &amp; Flom.</w:t>
      </w:r>
    </w:p>
    <w:p>
      <w:pPr>
        <w:spacing w:after="0" w:line="207"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PricewaterhouseCoopers LLP (for the Registrant).</w:t>
      </w:r>
    </w:p>
    <w:p>
      <w:pPr>
        <w:spacing w:after="0" w:line="207"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Ernst &amp; Young LLP (for Amgen-Regeneron Partners).</w:t>
      </w:r>
    </w:p>
    <w:p>
      <w:pPr>
        <w:spacing w:after="0" w:line="207" w:lineRule="exact"/>
        <w:rPr>
          <w:sz w:val="20"/>
          <w:szCs w:val="20"/>
          <w:color w:val="auto"/>
        </w:rPr>
      </w:pPr>
    </w:p>
    <w:p>
      <w:pPr>
        <w:ind w:left="1560" w:right="2319" w:hanging="1038"/>
        <w:spacing w:after="0" w:line="251" w:lineRule="auto"/>
        <w:tabs>
          <w:tab w:leader="none" w:pos="154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7"/>
          <w:szCs w:val="17"/>
          <w:color w:val="auto"/>
        </w:rPr>
        <w:t>Consent of Skadden, Arps, Slate, Meagher &amp; Flom (contained in Exhibit 5).</w:t>
      </w:r>
    </w:p>
    <w:p>
      <w:pPr>
        <w:spacing w:after="0" w:line="197"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Power of Attorney (see signature page).</w:t>
      </w:r>
    </w:p>
    <w:p>
      <w:pPr>
        <w:sectPr>
          <w:pgSz w:w="11900" w:h="16838" w:orient="portrait"/>
          <w:cols w:equalWidth="0" w:num="1">
            <w:col w:w="10219"/>
          </w:cols>
          <w:pgMar w:left="240" w:top="142" w:right="1440" w:bottom="1440" w:gutter="0" w:footer="0" w:header="0"/>
          <w:type w:val="continuous"/>
        </w:sectPr>
      </w:pPr>
    </w:p>
    <w:bookmarkStart w:id="3" w:name="page4"/>
    <w:bookmarkEnd w:id="3"/>
    <w:p>
      <w:pPr>
        <w:ind w:left="6320"/>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pacing w:after="0" w:line="207"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June 11, 1999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Tarrytown, New York</w:t>
        <w:tab/>
        <w:t>10591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207" w:lineRule="exact"/>
        <w:rPr>
          <w:sz w:val="20"/>
          <w:szCs w:val="20"/>
          <w:color w:val="auto"/>
        </w:rPr>
      </w:pPr>
    </w:p>
    <w:p>
      <w:pPr>
        <w:ind w:right="2419" w:firstLine="1039"/>
        <w:spacing w:after="0" w:line="249" w:lineRule="auto"/>
        <w:rPr>
          <w:sz w:val="20"/>
          <w:szCs w:val="20"/>
          <w:color w:val="auto"/>
        </w:rPr>
      </w:pPr>
      <w:r>
        <w:rPr>
          <w:rFonts w:ascii="Courier New" w:cs="Courier New" w:eastAsia="Courier New" w:hAnsi="Courier New"/>
          <w:sz w:val="17"/>
          <w:szCs w:val="17"/>
          <w:color w:val="auto"/>
        </w:rPr>
        <w:t>We have acted as special counsel to Regeneron Pharmaceuticals, Inc., a New York corporation (the "Company"), in connection with the proposed issuance by the Company of up to 1,500,000 shares (the "Shares") of Common Stock, par value $.001 per share (the "Common Stock"), pursuant to the Regeneron Pharmaceuticals, Inc. Amended and Restated 1990 Long Term Incentive Plan (the "Stock Option Plan").</w:t>
      </w:r>
    </w:p>
    <w:p>
      <w:pPr>
        <w:spacing w:after="0" w:line="200" w:lineRule="exact"/>
        <w:rPr>
          <w:sz w:val="20"/>
          <w:szCs w:val="20"/>
          <w:color w:val="auto"/>
        </w:rPr>
      </w:pPr>
    </w:p>
    <w:p>
      <w:pPr>
        <w:ind w:right="2419" w:firstLine="1039"/>
        <w:spacing w:after="0" w:line="250" w:lineRule="auto"/>
        <w:rPr>
          <w:sz w:val="20"/>
          <w:szCs w:val="20"/>
          <w:color w:val="auto"/>
        </w:rPr>
      </w:pPr>
      <w:r>
        <w:rPr>
          <w:rFonts w:ascii="Courier New" w:cs="Courier New" w:eastAsia="Courier New" w:hAnsi="Courier New"/>
          <w:sz w:val="17"/>
          <w:szCs w:val="17"/>
          <w:color w:val="auto"/>
        </w:rPr>
        <w:t>This opinion is delivered in accordance with the requirements of Item 601(b)(5) of Regulation S-K under the Securities Act of 1933, as amended (the "Securities Act").</w:t>
      </w:r>
    </w:p>
    <w:p>
      <w:pPr>
        <w:spacing w:after="0" w:line="197" w:lineRule="exact"/>
        <w:rPr>
          <w:sz w:val="20"/>
          <w:szCs w:val="20"/>
          <w:color w:val="auto"/>
        </w:rPr>
      </w:pPr>
    </w:p>
    <w:p>
      <w:pPr>
        <w:ind w:right="2319" w:firstLine="1039"/>
        <w:spacing w:after="0" w:line="249" w:lineRule="auto"/>
        <w:rPr>
          <w:sz w:val="20"/>
          <w:szCs w:val="20"/>
          <w:color w:val="auto"/>
        </w:rPr>
      </w:pPr>
      <w:r>
        <w:rPr>
          <w:rFonts w:ascii="Courier New" w:cs="Courier New" w:eastAsia="Courier New" w:hAnsi="Courier New"/>
          <w:sz w:val="17"/>
          <w:szCs w:val="17"/>
          <w:color w:val="auto"/>
        </w:rPr>
        <w:t>In connection with this opinion, we have examined and are familiar with originals or copies, certified or otherwise identified to our satisfaction, of (i) the Company's Registration Statement on Form S-8, relating to the Shares, filed with the Securities and Exchange Commission (the "Commission") under the Securities Act on June 11, 1999(together with all exhibits thereto, the "Registration Statement"), (ii) the Restated Certificate of Incorporation of the Company, as currently in effect, (iii) the By-Laws of the Company, as currently in effect, (iv) specimen certificates representing the Common Stock, (v) resolutions of the Board of Directors of the Company relating to the Stock Option Plan and the filing of the Registration Statement; (vi) the Stock Option Plan; and (vii) the form of option agreement between the Company and the employees, directors and other service providers receiving options (the "Option Agreement").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200" w:lineRule="exact"/>
        <w:rPr>
          <w:sz w:val="20"/>
          <w:szCs w:val="20"/>
          <w:color w:val="auto"/>
        </w:rPr>
      </w:pPr>
    </w:p>
    <w:p>
      <w:pPr>
        <w:ind w:right="2319" w:firstLine="1039"/>
        <w:spacing w:after="0" w:line="249" w:lineRule="auto"/>
        <w:rPr>
          <w:sz w:val="20"/>
          <w:szCs w:val="20"/>
          <w:color w:val="auto"/>
        </w:rPr>
      </w:pPr>
      <w:r>
        <w:rPr>
          <w:rFonts w:ascii="Courier New" w:cs="Courier New" w:eastAsia="Courier New" w:hAnsi="Courier New"/>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or to be executed by parties other than the Company, we have assumed that such parties had the power, corporate or other, to enter into and perform all obligations thereunder and have also assumed the due authorization by all requisite action, corporate or other, and execution and delivery by such parties of such documents and the validity and binding effect thereof. We have further assumed that each of the Option Agreements to be entered into between the Company and the employees, directors and other service providers receiving options under the Stock Option Plan will conform to the form of agreement examined by us. As to any facts material to the opinions expressed herein which we have not independently established or verified, we have relied upon oral or written statements and representations of officers and other representatives of the Company and others.</w:t>
      </w:r>
    </w:p>
    <w:p>
      <w:pPr>
        <w:spacing w:after="0" w:line="200" w:lineRule="exact"/>
        <w:rPr>
          <w:sz w:val="20"/>
          <w:szCs w:val="20"/>
          <w:color w:val="auto"/>
        </w:rPr>
      </w:pPr>
    </w:p>
    <w:p>
      <w:pPr>
        <w:ind w:right="2519" w:firstLine="1039"/>
        <w:spacing w:after="0" w:line="250" w:lineRule="auto"/>
        <w:rPr>
          <w:sz w:val="20"/>
          <w:szCs w:val="20"/>
          <w:color w:val="auto"/>
        </w:rPr>
      </w:pPr>
      <w:r>
        <w:rPr>
          <w:rFonts w:ascii="Courier New" w:cs="Courier New" w:eastAsia="Courier New" w:hAnsi="Courier New"/>
          <w:sz w:val="17"/>
          <w:szCs w:val="17"/>
          <w:color w:val="auto"/>
        </w:rPr>
        <w:t>Members of our firm are admitted to the Bar in the State of New York, and we do not express any opinion as to the laws of any other jurisdiction.</w:t>
      </w:r>
    </w:p>
    <w:p>
      <w:pPr>
        <w:spacing w:after="0" w:line="197" w:lineRule="exact"/>
        <w:rPr>
          <w:sz w:val="20"/>
          <w:szCs w:val="20"/>
          <w:color w:val="auto"/>
        </w:rPr>
      </w:pPr>
    </w:p>
    <w:p>
      <w:pPr>
        <w:ind w:right="2319" w:firstLine="1039"/>
        <w:spacing w:after="0" w:line="249" w:lineRule="auto"/>
        <w:rPr>
          <w:sz w:val="20"/>
          <w:szCs w:val="20"/>
          <w:color w:val="auto"/>
        </w:rPr>
      </w:pPr>
      <w:r>
        <w:rPr>
          <w:rFonts w:ascii="Courier New" w:cs="Courier New" w:eastAsia="Courier New" w:hAnsi="Courier New"/>
          <w:sz w:val="17"/>
          <w:szCs w:val="17"/>
          <w:color w:val="auto"/>
        </w:rPr>
        <w:t>Based upon and subject to the foregoing, we are of the opinion that the Shares to be issued upon exercise of any options duly granted pursuant to the terms of the Stock Option Plan have been duly and validly authorized and, when (i) the Shares have been issued, delivered and paid for upon exercise of such options in accordance with the terms of the Stock Option Plan and the Option Agreements and (ii) certificates representing the Shares in the form of the specimen certificates examined by us have been manually signed by an authorized officer of the transfer agent and registrar for the Common Stock and registered by such transfer agent and registrar, such Shares will be duly and validly issued, fully paid and nonassessable (except as provided in Section 630 of the New York Business Corporation Law).</w:t>
      </w:r>
    </w:p>
    <w:p>
      <w:pPr>
        <w:spacing w:after="0" w:line="200" w:lineRule="exact"/>
        <w:rPr>
          <w:sz w:val="20"/>
          <w:szCs w:val="20"/>
          <w:color w:val="auto"/>
        </w:rPr>
      </w:pPr>
    </w:p>
    <w:p>
      <w:pPr>
        <w:ind w:right="2839" w:firstLine="1039"/>
        <w:spacing w:after="0" w:line="251" w:lineRule="auto"/>
        <w:rPr>
          <w:sz w:val="20"/>
          <w:szCs w:val="20"/>
          <w:color w:val="auto"/>
        </w:rPr>
      </w:pPr>
      <w:r>
        <w:rPr>
          <w:rFonts w:ascii="Courier New" w:cs="Courier New" w:eastAsia="Courier New" w:hAnsi="Courier New"/>
          <w:sz w:val="17"/>
          <w:szCs w:val="17"/>
          <w:color w:val="auto"/>
        </w:rPr>
        <w:t>We hereby consent to the filing of this opinion with the Commission as Exhibit 5 to the Registration Statement. In giving such</w:t>
      </w:r>
    </w:p>
    <w:p>
      <w:pPr>
        <w:sectPr>
          <w:pgSz w:w="11900" w:h="16838" w:orient="portrait"/>
          <w:cols w:equalWidth="0" w:num="1">
            <w:col w:w="10099"/>
          </w:cols>
          <w:pgMar w:left="360" w:top="142" w:right="1440" w:bottom="0" w:gutter="0" w:footer="0" w:header="0"/>
        </w:sectPr>
      </w:pPr>
    </w:p>
    <w:bookmarkStart w:id="4" w:name="page5"/>
    <w:bookmarkEnd w:id="4"/>
    <w:p>
      <w:pPr>
        <w:jc w:val="both"/>
        <w:ind w:right="2619"/>
        <w:spacing w:after="0" w:line="251" w:lineRule="auto"/>
        <w:rPr>
          <w:sz w:val="20"/>
          <w:szCs w:val="20"/>
          <w:color w:val="auto"/>
        </w:rPr>
      </w:pPr>
      <w:r>
        <w:rPr>
          <w:rFonts w:ascii="Courier New" w:cs="Courier New" w:eastAsia="Courier New" w:hAnsi="Courier New"/>
          <w:sz w:val="17"/>
          <w:szCs w:val="17"/>
          <w:color w:val="auto"/>
        </w:rPr>
        <w:t>consent, we do not thereby admit that we are included in the category of persons whose consent is required under Section 7 of the Securities Act.</w:t>
      </w:r>
    </w:p>
    <w:p>
      <w:pPr>
        <w:spacing w:after="0" w:line="396"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/s/ Skadden, Arps, Slate,</w:t>
      </w:r>
    </w:p>
    <w:p>
      <w:pPr>
        <w:spacing w:after="0" w:line="7"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Meagher &amp; Flom LLP</w:t>
      </w:r>
    </w:p>
    <w:p>
      <w:pPr>
        <w:sectPr>
          <w:pgSz w:w="11900" w:h="16838" w:orient="portrait"/>
          <w:cols w:equalWidth="0" w:num="1">
            <w:col w:w="10099"/>
          </w:cols>
          <w:pgMar w:left="360" w:top="142" w:right="1440" w:bottom="1440" w:gutter="0" w:footer="0" w:header="0"/>
        </w:sectPr>
      </w:pPr>
    </w:p>
    <w:bookmarkStart w:id="5" w:name="page6"/>
    <w:bookmarkEnd w:id="5"/>
    <w:p>
      <w:pPr>
        <w:jc w:val="right"/>
        <w:ind w:right="241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S-8 of our report, which is based in part on the report of other auditors, dated February 5, 1999 relating to the financial statements which appear in Regeneron Pharmaceuticals, Inc.'s Annual Report on Form 10-K for the year ended December 31, 1998.</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 PricewaterhouseCoopers LLP</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PricewaterhouseCoopers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9, 1999</w:t>
      </w:r>
    </w:p>
    <w:p>
      <w:pPr>
        <w:sectPr>
          <w:pgSz w:w="11900" w:h="16838" w:orient="portrait"/>
          <w:cols w:equalWidth="0" w:num="1">
            <w:col w:w="10219"/>
          </w:cols>
          <w:pgMar w:left="240" w:top="541" w:right="1440" w:bottom="1440" w:gutter="0" w:footer="0" w:header="0"/>
        </w:sectPr>
      </w:pPr>
    </w:p>
    <w:bookmarkStart w:id="6" w:name="page7"/>
    <w:bookmarkEnd w:id="6"/>
    <w:p>
      <w:pPr>
        <w:ind w:left="6320"/>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7"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200" w:lineRule="exact"/>
        <w:rPr>
          <w:sz w:val="20"/>
          <w:szCs w:val="20"/>
          <w:color w:val="auto"/>
        </w:rPr>
      </w:pP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on Form S-8 pertaining to the Regeneron Pharmaceuticals, Inc. Amended and Restated 1990 Long Term Incentive Plan, of our report dated February 5, 1999, with respect to the financial statements of Amgen-Regeneron Partners included in Regeneron Pharmaceuticals, Inc.'s Annual Report (Form 10-K) for the year ended December 31, 1998, filed with the Securities and Exchange Commission.</w:t>
      </w:r>
    </w:p>
    <w:p>
      <w:pPr>
        <w:spacing w:after="0" w:line="40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 Ernst and Young LLP</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Ernst and Young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10, 1999</w:t>
      </w:r>
    </w:p>
    <w:sectPr>
      <w:pgSz w:w="11900" w:h="16838" w:orient="portrait"/>
      <w:cols w:equalWidth="0" w:num="1">
        <w:col w:w="10099"/>
      </w:cols>
      <w:pgMar w:left="3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1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5"/>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2020-02-22T12:37:19Z</dcterms:created>
  <dcterms:modified xsi:type="dcterms:W3CDTF">2020-02-22T12:37:19Z</dcterms:modified>
</cp:coreProperties>
</file>