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940"/>
        <w:spacing w:after="0"/>
        <w:rPr>
          <w:sz w:val="20"/>
          <w:szCs w:val="20"/>
          <w:color w:val="auto"/>
        </w:rPr>
      </w:pPr>
      <w:r>
        <w:rPr>
          <w:rFonts w:ascii="Times New Roman" w:cs="Times New Roman" w:eastAsia="Times New Roman" w:hAnsi="Times New Roman"/>
          <w:sz w:val="17"/>
          <w:szCs w:val="17"/>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-120650</wp:posOffset>
            </wp:positionV>
            <wp:extent cx="2091690" cy="428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91690" cy="428625"/>
                    </a:xfrm>
                    <a:prstGeom prst="rect">
                      <a:avLst/>
                    </a:prstGeom>
                    <a:noFill/>
                  </pic:spPr>
                </pic:pic>
              </a:graphicData>
            </a:graphic>
          </wp:anchor>
        </w:drawing>
      </w:r>
    </w:p>
    <w:p>
      <w:pPr>
        <w:ind w:left="5940"/>
        <w:spacing w:after="0" w:line="203" w:lineRule="auto"/>
        <w:rPr>
          <w:sz w:val="20"/>
          <w:szCs w:val="20"/>
          <w:color w:val="auto"/>
        </w:rPr>
      </w:pPr>
      <w:r>
        <w:rPr>
          <w:rFonts w:ascii="Times New Roman" w:cs="Times New Roman" w:eastAsia="Times New Roman" w:hAnsi="Times New Roman"/>
          <w:sz w:val="18"/>
          <w:szCs w:val="18"/>
          <w:color w:val="auto"/>
        </w:rPr>
        <w:t>777 Old Saw Mill River Road</w:t>
      </w:r>
    </w:p>
    <w:p>
      <w:pPr>
        <w:ind w:left="5940"/>
        <w:spacing w:after="0"/>
        <w:rPr>
          <w:sz w:val="20"/>
          <w:szCs w:val="20"/>
          <w:color w:val="auto"/>
        </w:rPr>
      </w:pPr>
      <w:r>
        <w:rPr>
          <w:rFonts w:ascii="Times New Roman" w:cs="Times New Roman" w:eastAsia="Times New Roman" w:hAnsi="Times New Roman"/>
          <w:sz w:val="18"/>
          <w:szCs w:val="18"/>
          <w:color w:val="auto"/>
        </w:rPr>
        <w:t>Tarrytown, NY 10591-6707</w:t>
      </w:r>
    </w:p>
    <w:p>
      <w:pPr>
        <w:spacing w:after="0" w:line="20" w:lineRule="exact"/>
        <w:rPr>
          <w:sz w:val="24"/>
          <w:szCs w:val="24"/>
          <w:color w:val="auto"/>
        </w:rPr>
      </w:pPr>
      <w:r>
        <w:rPr>
          <w:sz w:val="24"/>
          <w:szCs w:val="24"/>
          <w:color w:val="auto"/>
        </w:rPr>
        <w:br w:type="column"/>
      </w:r>
    </w:p>
    <w:p>
      <w:pPr>
        <w:jc w:val="both"/>
        <w:ind w:right="420"/>
        <w:spacing w:after="0" w:line="263" w:lineRule="auto"/>
        <w:rPr>
          <w:sz w:val="20"/>
          <w:szCs w:val="20"/>
          <w:color w:val="auto"/>
        </w:rPr>
      </w:pPr>
      <w:r>
        <w:rPr>
          <w:rFonts w:ascii="Times New Roman" w:cs="Times New Roman" w:eastAsia="Times New Roman" w:hAnsi="Times New Roman"/>
          <w:sz w:val="17"/>
          <w:szCs w:val="17"/>
          <w:color w:val="auto"/>
        </w:rPr>
        <w:t>Phone 914 847 7000 www.regeneron.com</w:t>
      </w:r>
    </w:p>
    <w:p>
      <w:pPr>
        <w:spacing w:after="0" w:line="349" w:lineRule="exact"/>
        <w:rPr>
          <w:sz w:val="24"/>
          <w:szCs w:val="24"/>
          <w:color w:val="auto"/>
        </w:rPr>
      </w:pPr>
    </w:p>
    <w:p>
      <w:pPr>
        <w:sectPr>
          <w:pgSz w:w="11900" w:h="16838" w:orient="portrait"/>
          <w:cols w:equalWidth="0" w:num="2">
            <w:col w:w="8340" w:space="720"/>
            <w:col w:w="1900"/>
          </w:cols>
          <w:pgMar w:left="320" w:top="1134" w:right="619" w:bottom="1440" w:gutter="0" w:footer="0" w:header="0"/>
        </w:sectPr>
      </w:pPr>
    </w:p>
    <w:p>
      <w:pPr>
        <w:spacing w:after="0" w:line="360" w:lineRule="exact"/>
        <w:rPr>
          <w:sz w:val="24"/>
          <w:szCs w:val="24"/>
          <w:color w:val="auto"/>
        </w:rPr>
      </w:pPr>
    </w:p>
    <w:p>
      <w:pPr>
        <w:ind w:left="5200"/>
        <w:spacing w:after="0"/>
        <w:rPr>
          <w:sz w:val="20"/>
          <w:szCs w:val="20"/>
          <w:color w:val="auto"/>
        </w:rPr>
      </w:pPr>
      <w:r>
        <w:rPr>
          <w:rFonts w:ascii="Times New Roman" w:cs="Times New Roman" w:eastAsia="Times New Roman" w:hAnsi="Times New Roman"/>
          <w:sz w:val="22"/>
          <w:szCs w:val="22"/>
          <w:color w:val="auto"/>
        </w:rPr>
        <w:t>April 3, 2025</w:t>
      </w:r>
    </w:p>
    <w:p>
      <w:pPr>
        <w:spacing w:after="0" w:line="200" w:lineRule="exact"/>
        <w:rPr>
          <w:sz w:val="24"/>
          <w:szCs w:val="24"/>
          <w:color w:val="auto"/>
        </w:rPr>
      </w:pPr>
    </w:p>
    <w:p>
      <w:pPr>
        <w:spacing w:after="0" w:line="28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VIA EDGAR</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U.S. Securities and Exchange Commission</w:t>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Division of Corporation Finance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Office of Life Sciences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 F Street, NE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Attn: Bonnie Baynes and Angela Connell</w:t>
      </w:r>
    </w:p>
    <w:p>
      <w:pPr>
        <w:spacing w:after="0" w:line="338" w:lineRule="exact"/>
        <w:rPr>
          <w:sz w:val="24"/>
          <w:szCs w:val="24"/>
          <w:color w:val="auto"/>
        </w:rPr>
      </w:pPr>
    </w:p>
    <w:p>
      <w:pPr>
        <w:ind w:left="20"/>
        <w:spacing w:after="0"/>
        <w:tabs>
          <w:tab w:leader="none" w:pos="540" w:val="left"/>
        </w:tabs>
        <w:rPr>
          <w:sz w:val="20"/>
          <w:szCs w:val="20"/>
          <w:color w:val="auto"/>
        </w:rPr>
      </w:pPr>
      <w:r>
        <w:rPr>
          <w:rFonts w:ascii="Times New Roman" w:cs="Times New Roman" w:eastAsia="Times New Roman" w:hAnsi="Times New Roman"/>
          <w:sz w:val="22"/>
          <w:szCs w:val="22"/>
          <w:b w:val="1"/>
          <w:bCs w:val="1"/>
          <w:color w:val="auto"/>
        </w:rPr>
        <w:t>Re:</w:t>
      </w:r>
      <w:r>
        <w:rPr>
          <w:sz w:val="20"/>
          <w:szCs w:val="20"/>
          <w:color w:val="auto"/>
        </w:rPr>
        <w:tab/>
      </w:r>
      <w:r>
        <w:rPr>
          <w:rFonts w:ascii="Times New Roman" w:cs="Times New Roman" w:eastAsia="Times New Roman" w:hAnsi="Times New Roman"/>
          <w:sz w:val="21"/>
          <w:szCs w:val="21"/>
          <w:b w:val="1"/>
          <w:bCs w:val="1"/>
          <w:color w:val="auto"/>
        </w:rPr>
        <w:t>Regeneron Pharmaceuticals, Inc.</w:t>
      </w:r>
    </w:p>
    <w:p>
      <w:pPr>
        <w:spacing w:after="0" w:line="33"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22"/>
          <w:szCs w:val="22"/>
          <w:b w:val="1"/>
          <w:bCs w:val="1"/>
          <w:color w:val="auto"/>
        </w:rPr>
        <w:t>Form 10-K for the Fiscal Year Ended December 31, 2024</w:t>
      </w:r>
    </w:p>
    <w:p>
      <w:pPr>
        <w:spacing w:after="0" w:line="17"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22"/>
          <w:szCs w:val="22"/>
          <w:b w:val="1"/>
          <w:bCs w:val="1"/>
          <w:color w:val="auto"/>
        </w:rPr>
        <w:t>Filed February 5, 2025</w:t>
      </w:r>
    </w:p>
    <w:p>
      <w:pPr>
        <w:spacing w:after="0" w:line="17"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22"/>
          <w:szCs w:val="22"/>
          <w:b w:val="1"/>
          <w:bCs w:val="1"/>
          <w:color w:val="auto"/>
        </w:rPr>
        <w:t>File No. 000-19034</w:t>
      </w:r>
    </w:p>
    <w:p>
      <w:pPr>
        <w:spacing w:after="0" w:line="34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Dear Ms. Baynes and Ms. Connell:</w:t>
      </w:r>
    </w:p>
    <w:p>
      <w:pPr>
        <w:spacing w:after="0" w:line="247" w:lineRule="exact"/>
        <w:rPr>
          <w:sz w:val="24"/>
          <w:szCs w:val="24"/>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This letter sets forth the response of Regeneron Pharmaceuticals, Inc. (the "Company," "Regeneron," "we," "us," and "our") to the comment of the staff (the "Staff") of the U.S. Securities and Exchange Commission set forth in the Staff's letter dated March 21, 2025, with respect to the above-referenced Annual Report on Form 10-K filed on February 5, 2025.</w:t>
      </w:r>
    </w:p>
    <w:p>
      <w:pPr>
        <w:spacing w:after="0" w:line="19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Set forth below in bold are the heading and text of the Staff's comment followed by the Company's response.</w:t>
      </w: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Form 10-K for the Fiscal Year Ended December 31, 2024</w:t>
      </w: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Part II</w:t>
      </w:r>
    </w:p>
    <w:p>
      <w:pPr>
        <w:spacing w:after="0" w:line="4" w:lineRule="exact"/>
        <w:rPr>
          <w:sz w:val="24"/>
          <w:szCs w:val="24"/>
          <w:color w:val="auto"/>
        </w:rPr>
      </w:pPr>
    </w:p>
    <w:p>
      <w:pPr>
        <w:ind w:right="920"/>
        <w:spacing w:after="0" w:line="261" w:lineRule="auto"/>
        <w:rPr>
          <w:sz w:val="20"/>
          <w:szCs w:val="20"/>
          <w:color w:val="auto"/>
        </w:rPr>
      </w:pPr>
      <w:r>
        <w:rPr>
          <w:rFonts w:ascii="Times New Roman" w:cs="Times New Roman" w:eastAsia="Times New Roman" w:hAnsi="Times New Roman"/>
          <w:sz w:val="22"/>
          <w:szCs w:val="22"/>
          <w:b w:val="1"/>
          <w:bCs w:val="1"/>
          <w:u w:val="single" w:color="auto"/>
          <w:color w:val="auto"/>
        </w:rPr>
        <w:t>Item 7. Management's Discussion and Analysis of Financial Condition and Results and Results of Operations Results of Operations, page 74</w:t>
      </w:r>
    </w:p>
    <w:p>
      <w:pPr>
        <w:spacing w:after="0" w:line="191" w:lineRule="exact"/>
        <w:rPr>
          <w:sz w:val="24"/>
          <w:szCs w:val="24"/>
          <w:color w:val="auto"/>
        </w:rPr>
      </w:pPr>
    </w:p>
    <w:p>
      <w:pPr>
        <w:jc w:val="both"/>
        <w:ind w:firstLine="8"/>
        <w:spacing w:after="0" w:line="254" w:lineRule="auto"/>
        <w:tabs>
          <w:tab w:leader="none" w:pos="250"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We note your disclosures on (i) page 36 regarding the impact of biosimilar competition on net product sales of EYLEA and/or EYLEA HD and (ii) pages 19 and 41 regarding competition from Vabysmo. With reference to Item 303(b)(2)(ii) of Regulation S-K, please revise your Results of Operations disclosures in future filings to discuss trends or uncertainties resulting from competitor products and/or biosimilars that have had or could have a material impact on net product sales of EYLEA and/or EYLEA HD.</w:t>
      </w:r>
    </w:p>
    <w:p>
      <w:pPr>
        <w:spacing w:after="0" w:line="200" w:lineRule="exact"/>
        <w:rPr>
          <w:sz w:val="24"/>
          <w:szCs w:val="24"/>
          <w:color w:val="auto"/>
        </w:rPr>
      </w:pPr>
    </w:p>
    <w:p>
      <w:pPr>
        <w:spacing w:after="0" w:line="279"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0960"/>
          </w:cols>
          <w:pgMar w:left="320" w:top="1134" w:right="6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2"/>
          <w:szCs w:val="22"/>
          <w:u w:val="single" w:color="auto"/>
          <w:color w:val="auto"/>
        </w:rPr>
        <w:t>Response:</w:t>
      </w:r>
    </w:p>
    <w:p>
      <w:pPr>
        <w:spacing w:after="0" w:line="23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We acknowledge the Staff's comment and confirm that we will give further consideration to Item 303(b)(2)(ii) of Regulation S-K when preparing Results of Operations disclosures in Regeneron's future filings, in particular to enhance disclosures of trends or uncertainties resulting from competitor products (including, as applicable, Vabysmo</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21"/>
          <w:szCs w:val="21"/>
          <w:color w:val="auto"/>
        </w:rPr>
        <w:t xml:space="preserve"> and/or biosimilars) that have had or could have a material impact on net product sales of EYLEA</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21"/>
          <w:szCs w:val="21"/>
          <w:color w:val="auto"/>
        </w:rPr>
        <w:t xml:space="preserve"> (aflibercept) Injection and/or EYLEA HD</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21"/>
          <w:szCs w:val="21"/>
          <w:color w:val="auto"/>
        </w:rPr>
        <w:t xml:space="preserve"> (aflibercept) Injection 8 mg.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you have any questions regarding the foregoing, please contact me at (914) 847-7880.</w:t>
      </w:r>
    </w:p>
    <w:p>
      <w:pPr>
        <w:spacing w:after="0" w:line="22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Sincerely,</w:t>
      </w:r>
    </w:p>
    <w:p>
      <w:pPr>
        <w:spacing w:after="0" w:line="22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REGENERON PHARMACEUTICALS, INC.</w:t>
      </w:r>
    </w:p>
    <w:p>
      <w:pPr>
        <w:spacing w:after="0" w:line="26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u w:val="single" w:color="auto"/>
          <w:color w:val="auto"/>
        </w:rPr>
        <w:t>/s/ Christopher Fenimore</w:t>
      </w:r>
    </w:p>
    <w:p>
      <w:pPr>
        <w:spacing w:after="0" w:line="24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Christopher Fenimore</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Executive Vice President, Finance and</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sectPr>
      <w:pgSz w:w="11900" w:h="16838" w:orient="portrait"/>
      <w:cols w:equalWidth="0" w:num="1">
        <w:col w:w="11240"/>
      </w:cols>
      <w:pgMar w:left="320" w:top="113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2025-07-03T23:10:29Z</dcterms:created>
  <dcterms:modified xsi:type="dcterms:W3CDTF">2025-07-03T23:10:29Z</dcterms:modified>
</cp:coreProperties>
</file>