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178435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Date of Report (Date of earliest event reported): June 14, 2012 (June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3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At the 2012 Annual Meeting of Shareholders of Regeneron Pharmaceuticals, Inc. (the “Company”) held on June 8, 2012 (the “Annual Meeting”), the Company’s shareholders voted on the matters set forth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nominees for Class III directors were elected to serve until the 2015 Annual Meeting of Shareholders based upon the following votes: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5740" w:type="dxa"/>
            <w:vAlign w:val="bottom"/>
            <w:gridSpan w:val="2"/>
          </w:tcPr>
          <w:p>
            <w:pPr>
              <w:spacing w:after="0"/>
              <w:rPr>
                <w:sz w:val="20"/>
                <w:szCs w:val="20"/>
                <w:color w:val="auto"/>
              </w:rPr>
            </w:pPr>
            <w:r>
              <w:rPr>
                <w:rFonts w:ascii="Arial" w:cs="Arial" w:eastAsia="Arial" w:hAnsi="Arial"/>
                <w:sz w:val="14"/>
                <w:szCs w:val="14"/>
                <w:color w:val="auto"/>
              </w:rPr>
              <w:t>Nominee</w:t>
            </w:r>
          </w:p>
        </w:tc>
        <w:tc>
          <w:tcPr>
            <w:tcW w:w="1380" w:type="dxa"/>
            <w:vAlign w:val="bottom"/>
            <w:gridSpan w:val="2"/>
          </w:tcPr>
          <w:p>
            <w:pPr>
              <w:ind w:left="160"/>
              <w:spacing w:after="0"/>
              <w:rPr>
                <w:sz w:val="20"/>
                <w:szCs w:val="20"/>
                <w:color w:val="auto"/>
              </w:rPr>
            </w:pPr>
            <w:r>
              <w:rPr>
                <w:rFonts w:ascii="Arial" w:cs="Arial" w:eastAsia="Arial" w:hAnsi="Arial"/>
                <w:sz w:val="14"/>
                <w:szCs w:val="14"/>
                <w:color w:val="auto"/>
              </w:rPr>
              <w:t>Votes For</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color w:val="auto"/>
                <w:w w:val="87"/>
              </w:rPr>
              <w:t>Votes Withheld</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w w:val="86"/>
              </w:rPr>
              <w:t>Broker Non-Votes</w:t>
            </w:r>
          </w:p>
        </w:tc>
      </w:tr>
      <w:tr>
        <w:trPr>
          <w:trHeight w:val="95"/>
        </w:trPr>
        <w:tc>
          <w:tcPr>
            <w:tcW w:w="540" w:type="dxa"/>
            <w:vAlign w:val="bottom"/>
            <w:tcBorders>
              <w:top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A. Baker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93,592,005</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5,879,973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Michael S. Brown, M.D.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98,291,738</w:t>
            </w:r>
          </w:p>
        </w:tc>
        <w:tc>
          <w:tcPr>
            <w:tcW w:w="54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1,180,240</w:t>
            </w:r>
          </w:p>
        </w:tc>
        <w:tc>
          <w:tcPr>
            <w:tcW w:w="980" w:type="dxa"/>
            <w:vAlign w:val="bottom"/>
          </w:tcPr>
          <w:p>
            <w:pPr>
              <w:jc w:val="right"/>
              <w:spacing w:after="0"/>
              <w:rPr>
                <w:sz w:val="20"/>
                <w:szCs w:val="20"/>
                <w:color w:val="auto"/>
              </w:rPr>
            </w:pPr>
            <w:r>
              <w:rPr>
                <w:rFonts w:ascii="Arial" w:cs="Arial" w:eastAsia="Arial" w:hAnsi="Arial"/>
                <w:sz w:val="18"/>
                <w:szCs w:val="18"/>
                <w:color w:val="auto"/>
              </w:rPr>
              <w:t>6,470,205</w:t>
            </w:r>
          </w:p>
        </w:tc>
        <w:tc>
          <w:tcPr>
            <w:tcW w:w="1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F. Ryan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91,707,613</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7,764,365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6,479,205</w:t>
            </w:r>
          </w:p>
        </w:tc>
        <w:tc>
          <w:tcPr>
            <w:tcW w:w="10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George L. Sing</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93,618,525</w:t>
            </w:r>
          </w:p>
        </w:tc>
        <w:tc>
          <w:tcPr>
            <w:tcW w:w="54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5,853,453</w:t>
            </w:r>
          </w:p>
        </w:tc>
        <w:tc>
          <w:tcPr>
            <w:tcW w:w="980" w:type="dxa"/>
            <w:vAlign w:val="bottom"/>
          </w:tcPr>
          <w:p>
            <w:pPr>
              <w:jc w:val="right"/>
              <w:spacing w:after="0"/>
              <w:rPr>
                <w:sz w:val="20"/>
                <w:szCs w:val="20"/>
                <w:color w:val="auto"/>
              </w:rPr>
            </w:pPr>
            <w:r>
              <w:rPr>
                <w:rFonts w:ascii="Arial" w:cs="Arial" w:eastAsia="Arial" w:hAnsi="Arial"/>
                <w:sz w:val="18"/>
                <w:szCs w:val="18"/>
                <w:color w:val="auto"/>
              </w:rPr>
              <w:t>6,479,205</w:t>
            </w:r>
          </w:p>
        </w:tc>
        <w:tc>
          <w:tcPr>
            <w:tcW w:w="10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Tessier-Lavigne, Ph.D.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94,583,999</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4,887,979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6,479,205</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 Ratification of Selection of Independent Registered Public Accountants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2012 was approved based upon the following votes: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4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104,852,481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Against:</w:t>
            </w:r>
          </w:p>
        </w:tc>
        <w:tc>
          <w:tcPr>
            <w:tcW w:w="4080" w:type="dxa"/>
            <w:vAlign w:val="bottom"/>
          </w:tcPr>
          <w:p>
            <w:pPr>
              <w:jc w:val="right"/>
              <w:ind w:right="12"/>
              <w:spacing w:after="0"/>
              <w:rPr>
                <w:sz w:val="20"/>
                <w:szCs w:val="20"/>
                <w:color w:val="auto"/>
              </w:rPr>
            </w:pPr>
            <w:r>
              <w:rPr>
                <w:rFonts w:ascii="Arial" w:cs="Arial" w:eastAsia="Arial" w:hAnsi="Arial"/>
                <w:sz w:val="18"/>
                <w:szCs w:val="18"/>
                <w:color w:val="auto"/>
              </w:rPr>
              <w:t>495,866</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4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602,836</w:t>
            </w:r>
          </w:p>
        </w:tc>
      </w:tr>
    </w:tbl>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Date: June 14, 2012</w:t>
            </w:r>
          </w:p>
        </w:tc>
        <w:tc>
          <w:tcPr>
            <w:tcW w:w="7800" w:type="dxa"/>
            <w:vAlign w:val="bottom"/>
            <w:gridSpan w:val="2"/>
          </w:tcPr>
          <w:p>
            <w:pPr>
              <w:ind w:left="220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620" w:type="dxa"/>
            <w:vAlign w:val="bottom"/>
          </w:tcPr>
          <w:p>
            <w:pPr>
              <w:spacing w:after="0"/>
              <w:rPr>
                <w:sz w:val="24"/>
                <w:szCs w:val="24"/>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7"/>
        </w:trPr>
        <w:tc>
          <w:tcPr>
            <w:tcW w:w="3620" w:type="dxa"/>
            <w:vAlign w:val="bottom"/>
          </w:tcPr>
          <w:p>
            <w:pPr>
              <w:spacing w:after="0"/>
              <w:rPr>
                <w:sz w:val="18"/>
                <w:szCs w:val="18"/>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3620" w:type="dxa"/>
            <w:vAlign w:val="bottom"/>
          </w:tcPr>
          <w:p>
            <w:pPr>
              <w:spacing w:after="0"/>
              <w:rPr>
                <w:sz w:val="19"/>
                <w:szCs w:val="19"/>
                <w:color w:val="auto"/>
              </w:rPr>
            </w:pPr>
          </w:p>
        </w:tc>
        <w:tc>
          <w:tcPr>
            <w:tcW w:w="2780" w:type="dxa"/>
            <w:vAlign w:val="bottom"/>
          </w:tcPr>
          <w:p>
            <w:pPr>
              <w:ind w:left="220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2019-12-09T10:26:05Z</dcterms:created>
  <dcterms:modified xsi:type="dcterms:W3CDTF">2019-12-09T10:26:05Z</dcterms:modified>
</cp:coreProperties>
</file>