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TO</w:t>
      </w:r>
    </w:p>
    <w:p>
      <w:pPr>
        <w:ind w:left="1160"/>
        <w:spacing w:after="0" w:line="238" w:lineRule="auto"/>
        <w:rPr>
          <w:sz w:val="20"/>
          <w:szCs w:val="20"/>
          <w:color w:val="auto"/>
        </w:rPr>
      </w:pPr>
      <w:r>
        <w:rPr>
          <w:rFonts w:ascii="Courier New" w:cs="Courier New" w:eastAsia="Courier New" w:hAnsi="Courier New"/>
          <w:sz w:val="18"/>
          <w:szCs w:val="18"/>
          <w:color w:val="auto"/>
        </w:rPr>
        <w:t>TENDER OFFER STATEMENT UNDER SECTION 14(d)(1) OR 13(e)(1)</w:t>
      </w: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ind w:left="3380"/>
        <w:spacing w:after="0" w:line="237" w:lineRule="auto"/>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2320"/>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(Name of Filing Person (Offeror))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Options under the 1990 Long-Term Incentive Plan</w:t>
      </w:r>
    </w:p>
    <w:p>
      <w:pPr>
        <w:jc w:val="center"/>
        <w:ind w:right="1899"/>
        <w:spacing w:after="0" w:line="238" w:lineRule="auto"/>
        <w:rPr>
          <w:sz w:val="20"/>
          <w:szCs w:val="20"/>
          <w:color w:val="auto"/>
        </w:rPr>
      </w:pPr>
      <w:r>
        <w:rPr>
          <w:rFonts w:ascii="Courier New" w:cs="Courier New" w:eastAsia="Courier New" w:hAnsi="Courier New"/>
          <w:sz w:val="18"/>
          <w:szCs w:val="18"/>
          <w:color w:val="auto"/>
        </w:rPr>
        <w:t>and 2000 Long-Term Incentive Plan</w:t>
      </w:r>
    </w:p>
    <w:p>
      <w:pPr>
        <w:spacing w:after="0" w:line="5" w:lineRule="exact"/>
        <w:rPr>
          <w:sz w:val="24"/>
          <w:szCs w:val="24"/>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to Purchase Common Stock, Par Value $.001 Per Share, Having an Exercise Price Per Share of $18.00 or More (Title of Class of Securities)</w:t>
      </w:r>
    </w:p>
    <w:p>
      <w:pPr>
        <w:spacing w:after="0" w:line="200" w:lineRule="exact"/>
        <w:rPr>
          <w:sz w:val="24"/>
          <w:szCs w:val="24"/>
          <w:color w:val="auto"/>
        </w:rPr>
      </w:pPr>
    </w:p>
    <w:p>
      <w:pPr>
        <w:spacing w:after="0" w:line="20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00075886F1</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jc w:val="center"/>
        <w:ind w:right="1879"/>
        <w:spacing w:after="0"/>
        <w:rPr>
          <w:sz w:val="20"/>
          <w:szCs w:val="20"/>
          <w:color w:val="auto"/>
        </w:rPr>
      </w:pPr>
      <w:r>
        <w:rPr>
          <w:rFonts w:ascii="Courier New" w:cs="Courier New" w:eastAsia="Courier New" w:hAnsi="Courier New"/>
          <w:sz w:val="18"/>
          <w:szCs w:val="18"/>
          <w:color w:val="auto"/>
        </w:rPr>
        <w:t>(Underlying Common Stock)</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Stuart Kolinski, Esq.</w:t>
      </w:r>
    </w:p>
    <w:p>
      <w:pPr>
        <w:jc w:val="center"/>
        <w:ind w:right="1879"/>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777 Old Saw Mill River Road</w:t>
      </w:r>
    </w:p>
    <w:p>
      <w:pPr>
        <w:ind w:left="2860"/>
        <w:spacing w:after="0" w:line="238" w:lineRule="auto"/>
        <w:rPr>
          <w:sz w:val="20"/>
          <w:szCs w:val="20"/>
          <w:color w:val="auto"/>
        </w:rPr>
      </w:pPr>
      <w:r>
        <w:rPr>
          <w:rFonts w:ascii="Courier New" w:cs="Courier New" w:eastAsia="Courier New" w:hAnsi="Courier New"/>
          <w:sz w:val="18"/>
          <w:szCs w:val="18"/>
          <w:color w:val="auto"/>
        </w:rPr>
        <w:t>Tarrytown, New York 10591</w:t>
      </w:r>
    </w:p>
    <w:p>
      <w:pPr>
        <w:ind w:left="3380"/>
        <w:spacing w:after="0"/>
        <w:rPr>
          <w:sz w:val="20"/>
          <w:szCs w:val="20"/>
          <w:color w:val="auto"/>
        </w:rPr>
      </w:pPr>
      <w:r>
        <w:rPr>
          <w:rFonts w:ascii="Courier New" w:cs="Courier New" w:eastAsia="Courier New" w:hAnsi="Courier New"/>
          <w:sz w:val="18"/>
          <w:szCs w:val="18"/>
          <w:color w:val="auto"/>
        </w:rPr>
        <w:t>(914) 347-7000</w:t>
      </w:r>
    </w:p>
    <w:p>
      <w:pPr>
        <w:spacing w:after="0" w:line="4" w:lineRule="exact"/>
        <w:rPr>
          <w:sz w:val="24"/>
          <w:szCs w:val="24"/>
          <w:color w:val="auto"/>
        </w:rPr>
      </w:pPr>
    </w:p>
    <w:p>
      <w:pPr>
        <w:ind w:left="860" w:right="2839" w:firstLine="211"/>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 on Behalf of Filing Person)</w:t>
      </w:r>
    </w:p>
    <w:p>
      <w:pPr>
        <w:spacing w:after="0" w:line="16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Kent A. Coit, Esq.</w:t>
      </w:r>
    </w:p>
    <w:p>
      <w:pPr>
        <w:ind w:left="2000"/>
        <w:spacing w:after="0" w:line="238" w:lineRule="auto"/>
        <w:rPr>
          <w:sz w:val="20"/>
          <w:szCs w:val="20"/>
          <w:color w:val="auto"/>
        </w:rPr>
      </w:pPr>
      <w:r>
        <w:rPr>
          <w:rFonts w:ascii="Courier New" w:cs="Courier New" w:eastAsia="Courier New" w:hAnsi="Courier New"/>
          <w:sz w:val="18"/>
          <w:szCs w:val="18"/>
          <w:color w:val="auto"/>
        </w:rPr>
        <w:t>Skadden, Arps, Slate, Meagher &amp; Flom LLP</w:t>
      </w:r>
    </w:p>
    <w:p>
      <w:pPr>
        <w:ind w:left="3280"/>
        <w:spacing w:after="0"/>
        <w:rPr>
          <w:sz w:val="20"/>
          <w:szCs w:val="20"/>
          <w:color w:val="auto"/>
        </w:rPr>
      </w:pPr>
      <w:r>
        <w:rPr>
          <w:rFonts w:ascii="Courier New" w:cs="Courier New" w:eastAsia="Courier New" w:hAnsi="Courier New"/>
          <w:sz w:val="18"/>
          <w:szCs w:val="18"/>
          <w:color w:val="auto"/>
        </w:rPr>
        <w:t>One Beacon Street</w:t>
      </w:r>
    </w:p>
    <w:p>
      <w:pPr>
        <w:ind w:left="3280"/>
        <w:spacing w:after="0" w:line="237" w:lineRule="auto"/>
        <w:rPr>
          <w:sz w:val="20"/>
          <w:szCs w:val="20"/>
          <w:color w:val="auto"/>
        </w:rPr>
      </w:pPr>
      <w:r>
        <w:rPr>
          <w:rFonts w:ascii="Courier New" w:cs="Courier New" w:eastAsia="Courier New" w:hAnsi="Courier New"/>
          <w:sz w:val="18"/>
          <w:szCs w:val="18"/>
          <w:color w:val="auto"/>
        </w:rPr>
        <w:t>Boston, MA 02108</w:t>
      </w:r>
    </w:p>
    <w:p>
      <w:pPr>
        <w:ind w:left="2860"/>
        <w:spacing w:after="0" w:line="238" w:lineRule="auto"/>
        <w:rPr>
          <w:sz w:val="20"/>
          <w:szCs w:val="20"/>
          <w:color w:val="auto"/>
        </w:rPr>
      </w:pPr>
      <w:r>
        <w:rPr>
          <w:rFonts w:ascii="Courier New" w:cs="Courier New" w:eastAsia="Courier New" w:hAnsi="Courier New"/>
          <w:sz w:val="18"/>
          <w:szCs w:val="18"/>
          <w:color w:val="auto"/>
        </w:rPr>
        <w:t>Telephone: (617) 573-4800</w:t>
      </w:r>
    </w:p>
    <w:p>
      <w:pPr>
        <w:ind w:left="2860"/>
        <w:spacing w:after="0"/>
        <w:rPr>
          <w:sz w:val="20"/>
          <w:szCs w:val="20"/>
          <w:color w:val="auto"/>
        </w:rPr>
      </w:pPr>
      <w:r>
        <w:rPr>
          <w:rFonts w:ascii="Courier New" w:cs="Courier New" w:eastAsia="Courier New" w:hAnsi="Courier New"/>
          <w:sz w:val="18"/>
          <w:szCs w:val="18"/>
          <w:color w:val="auto"/>
        </w:rPr>
        <w:t>Facsimile: (617) 573-4822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CALCULATION OF FILING FEE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20"/>
        <w:spacing w:after="0"/>
        <w:tabs>
          <w:tab w:leader="none" w:pos="504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640"/>
        <w:spacing w:after="0"/>
        <w:tabs>
          <w:tab w:leader="none" w:pos="5580" w:val="left"/>
        </w:tabs>
        <w:rPr>
          <w:sz w:val="20"/>
          <w:szCs w:val="20"/>
          <w:color w:val="auto"/>
        </w:rPr>
      </w:pPr>
      <w:r>
        <w:rPr>
          <w:rFonts w:ascii="Courier New" w:cs="Courier New" w:eastAsia="Courier New" w:hAnsi="Courier New"/>
          <w:sz w:val="18"/>
          <w:szCs w:val="18"/>
          <w:color w:val="auto"/>
        </w:rPr>
        <w:t>$13,162,587.66</w:t>
      </w:r>
      <w:r>
        <w:rPr>
          <w:sz w:val="20"/>
          <w:szCs w:val="20"/>
          <w:color w:val="auto"/>
        </w:rPr>
        <w:tab/>
      </w:r>
      <w:r>
        <w:rPr>
          <w:rFonts w:ascii="Courier New" w:cs="Courier New" w:eastAsia="Courier New" w:hAnsi="Courier New"/>
          <w:sz w:val="16"/>
          <w:szCs w:val="16"/>
          <w:color w:val="auto"/>
        </w:rPr>
        <w:t>$1,667.70***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960" w:right="2099" w:hanging="952"/>
        <w:spacing w:after="0" w:line="272"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solely for purposes of determining the filing fee. This amount assumes that options to purchase 4,847,581 shares of common stock of Regeneron Pharmaceuticals, Inc. having an approximate aggregate value of $13,162,587.66 will be exchanged pursuant to this Offer. The aggregate value of such options was calculated based on the Black-Scholes option pricing model, as of November 3, 2004.</w:t>
      </w:r>
    </w:p>
    <w:p>
      <w:pPr>
        <w:spacing w:after="0" w:line="186" w:lineRule="exact"/>
        <w:rPr>
          <w:sz w:val="24"/>
          <w:szCs w:val="24"/>
          <w:color w:val="auto"/>
        </w:rPr>
      </w:pPr>
    </w:p>
    <w:p>
      <w:pPr>
        <w:ind w:left="960" w:right="1999" w:hanging="952"/>
        <w:spacing w:after="0" w:line="279" w:lineRule="auto"/>
        <w:tabs>
          <w:tab w:leader="none" w:pos="9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filing fee, calculated in accordance with Rule 0-11 of the Securities Exchange Act of 1934, as amended, equals $126.70 for each $1,000,000 of the aggregate value of this transaction.</w:t>
      </w:r>
    </w:p>
    <w:p>
      <w:pPr>
        <w:spacing w:after="0" w:line="172"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paid.</w:t>
      </w:r>
    </w:p>
    <w:p>
      <w:pPr>
        <w:spacing w:after="0" w:line="207" w:lineRule="exact"/>
        <w:rPr>
          <w:sz w:val="24"/>
          <w:szCs w:val="24"/>
          <w:color w:val="auto"/>
        </w:rPr>
      </w:pPr>
    </w:p>
    <w:p>
      <w:pPr>
        <w:ind w:left="960" w:right="1999" w:hanging="947"/>
        <w:spacing w:after="0" w:line="27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53"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Amount Previously 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or Registration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 applicable.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Filing Party: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Filed: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 applicable.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16" w:lineRule="exact"/>
        <w:rPr>
          <w:sz w:val="20"/>
          <w:szCs w:val="20"/>
          <w:color w:val="auto"/>
        </w:rPr>
      </w:pPr>
    </w:p>
    <w:p>
      <w:pPr>
        <w:sectPr>
          <w:pgSz w:w="11900" w:h="16838" w:orient="portrait"/>
          <w:cols w:equalWidth="0" w:num="4">
            <w:col w:w="2640" w:space="220"/>
            <w:col w:w="1580" w:space="620"/>
            <w:col w:w="1380" w:space="200"/>
            <w:col w:w="3579"/>
          </w:cols>
          <w:pgMar w:left="240" w:top="339" w:right="1440" w:bottom="1440" w:gutter="0" w:footer="0" w:header="0"/>
        </w:sectPr>
      </w:pPr>
    </w:p>
    <w:p>
      <w:pPr>
        <w:spacing w:after="0" w:line="7" w:lineRule="exact"/>
        <w:rPr>
          <w:sz w:val="20"/>
          <w:szCs w:val="20"/>
          <w:color w:val="auto"/>
        </w:rPr>
      </w:pPr>
    </w:p>
    <w:p>
      <w:pPr>
        <w:ind w:left="960" w:right="273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the box if the filing relates solely to preliminary communications made before the commencement of a tender offer.</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third-party tender offer subject to Rule 14d-1.</w:t>
      </w:r>
    </w:p>
    <w:p>
      <w:pPr>
        <w:ind w:left="9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issuer tender offer subject to Rule 13e-4.</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going-private transaction subject to Rule 13e-3.</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amendment to Schedule 13D under Rule 13d-2.</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|X|</w:t>
      </w:r>
    </w:p>
    <w:p>
      <w:pPr>
        <w:sectPr>
          <w:pgSz w:w="11900" w:h="16838" w:orient="portrait"/>
          <w:cols w:equalWidth="0" w:num="1">
            <w:col w:w="10219"/>
          </w:cols>
          <w:pgMar w:left="240" w:top="339" w:right="1440" w:bottom="1440" w:gutter="0" w:footer="0" w:header="0"/>
          <w:type w:val="continuous"/>
        </w:sectPr>
      </w:pPr>
    </w:p>
    <w:bookmarkStart w:id="2" w:name="page3"/>
    <w:bookmarkEnd w:id="2"/>
    <w:p>
      <w:pPr>
        <w:ind w:right="2099" w:firstLine="948"/>
        <w:spacing w:after="0" w:line="268" w:lineRule="auto"/>
        <w:rPr>
          <w:sz w:val="20"/>
          <w:szCs w:val="20"/>
          <w:color w:val="auto"/>
        </w:rPr>
      </w:pPr>
      <w:r>
        <w:rPr>
          <w:rFonts w:ascii="Courier New" w:cs="Courier New" w:eastAsia="Courier New" w:hAnsi="Courier New"/>
          <w:sz w:val="16"/>
          <w:szCs w:val="16"/>
          <w:color w:val="auto"/>
        </w:rPr>
        <w:t>This Amendment No. 5 amends and supplements the Tender Offer Statement on Schedule TO initially filed by Regeneron Pharmaceuticals, Inc. (the "Company") with the Securities and Exchange Commission (the "SEC") on December 3, 2004, as amended by Amendment No. 1 filed by the Company with the SEC on December 6, 2004, Amendment No. 2 filed with the SEC on December 17, 2004, Amendment No. 3 filed with the SEC on January 3, 2005 and Amendment No.</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4 filed with the SEC on January 5, 2005 (as so previously amended, the "Schedule TO"), in connection with the Company's offer (the "Offer"), upon the terms and subject to the conditions set forth in the Offer to Exchange and the related Election Form (as such terms are defined in the Schedule TO), to exchange eligible options for replacement options to be granted under the Company's 2000 Long-Term Incentive Plan.</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Items 1, 2, 4, 5, 6, 7, 8 and 11</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Offer expired at 6:00 p.m. on Wednesday, January 5, 2005 (the "Expiration Date"). Approximately 3,665,819 eligible options were tendered for exchange and cancellation in the Offer, of which 1,496,147 were tendered by our executive officers eligible to participate in the Offer (the "eligible officers"). Approximately 1,977,840 replacement options were granted in exchange for options tendered for exchange and cancellation in the Offer, at an exercise price of $8.50 per share, of which an aggregate of approximately 815,588 replacement options were granted to eligible officers.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Items 3, 9, 10 and 12</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The information in Items 3, 9, 10 and 12 in the Schedule TO is incorporated herein by reference.</w:t>
      </w:r>
    </w:p>
    <w:p>
      <w:pPr>
        <w:sectPr>
          <w:pgSz w:w="11900" w:h="16838" w:orient="portrait"/>
          <w:cols w:equalWidth="0" w:num="1">
            <w:col w:w="10219"/>
          </w:cols>
          <w:pgMar w:left="240" w:top="723"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After due inquiry and to the best of my knowledge and belief,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certify that the information set forth in this Amendment No. 4 is true, complete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correct.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Stuart Kolinski</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Stuart Kolinski</w:t>
      </w:r>
    </w:p>
    <w:p>
      <w:pPr>
        <w:ind w:left="3800"/>
        <w:spacing w:after="0" w:line="238" w:lineRule="auto"/>
        <w:tabs>
          <w:tab w:leader="none" w:pos="4720" w:val="left"/>
        </w:tabs>
        <w:rPr>
          <w:sz w:val="20"/>
          <w:szCs w:val="20"/>
          <w:color w:val="auto"/>
        </w:rPr>
      </w:pPr>
      <w:r>
        <w:rPr>
          <w:rFonts w:ascii="Courier New" w:cs="Courier New" w:eastAsia="Courier New" w:hAnsi="Courier New"/>
          <w:sz w:val="18"/>
          <w:szCs w:val="18"/>
          <w:color w:val="auto"/>
        </w:rPr>
        <w:t>Title:</w:t>
        <w:tab/>
        <w:t>Vice President and General Counsel</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6, 2005</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320" w:type="dxa"/>
            <w:vAlign w:val="bottom"/>
          </w:tcPr>
          <w:p>
            <w:pPr>
              <w:ind w:left="380"/>
              <w:spacing w:after="0"/>
              <w:rPr>
                <w:sz w:val="20"/>
                <w:szCs w:val="20"/>
                <w:color w:val="auto"/>
              </w:rPr>
            </w:pPr>
            <w:r>
              <w:rPr>
                <w:rFonts w:ascii="Courier New" w:cs="Courier New" w:eastAsia="Courier New" w:hAnsi="Courier New"/>
                <w:sz w:val="18"/>
                <w:szCs w:val="18"/>
                <w:color w:val="auto"/>
              </w:rPr>
              <w:t>INDEX TO EXHIBITS</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32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DESCRIPTION OF EXHIBIT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Offer to Exchange dated December 3, 2004.*</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of Election Form.*</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of Notice of Withdrawal.*</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(a)(1)(iv)</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of Acceptance Letter.*</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of communication to Regeneron Pharmaceuticals, Inc.</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optionholders confirming receipt of Election Form or Notice</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 Withdrawal.*</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Quarterly Report on Form</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10-Q for its fiscal quarter ended September 30, 2004, filed</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with the Securities and Exchange Commission on November 8,</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(a)(1)(vii)</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7"/>
              </w:rPr>
              <w:t>Pharmaceuticals, Inc. Annual Report on Form 10-K/A</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for the fiscal year ending December 31, 2003 filed with the</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Securities and Exchange Commission on March 19, 2004 and</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to Regeneron Pharmaceuticals, Inc.</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employees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November 17, 2004 filed as Exhibit 99.2 to</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Company's Schedule TO-C filed with the Securities and</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Exchange Commission on November 17, 2004 and incorporated</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(a)(1)(ix)</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Employee Presentation Materials.*</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to all eligible employees sent on Monday, December</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 2004.*</w:t>
            </w:r>
          </w:p>
        </w:tc>
        <w:tc>
          <w:tcPr>
            <w:tcW w:w="53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to all eligible employees sent on Friday, December</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17, 2004.</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all eligible employees sent on Monday, January</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 2005.*</w:t>
            </w:r>
          </w:p>
        </w:tc>
        <w:tc>
          <w:tcPr>
            <w:tcW w:w="53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all eligible employees sent on Wednesday,</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January 5, 2005.*</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(d)(1)</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1990 Long-Term Incentive</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Plan, as amended, filed as Exhibit 10.12 to Amendment No. 4</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 the Company's Registration Statement on Form S-1, filed</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with the Securities and Exchange Commission on April 2, 1991</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(Registration Statement No. 033-39043) and incorporated</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(d)(2)</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2000 Long-Term Incentive</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Plan, filed as Exhibit 10.6 to the Form 10-K for Regeneron</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2001, filed with the Securities and Exchange Commission on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March 22,</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(d)(3)</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1 to Regeneron Pharmaceuticals, Inc. 2000</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effective as of June 14, 2002,</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filed as Exhibit 10.6.1 to the Form 10-K for Regeneron</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2002, filed with the Securities and Exchange Commission on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March 31,</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(d)(4)</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2 to Regeneron Pharmaceuticals, Inc. 2000</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Incentive Plan, effective as of December 20, 2002,</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filed as Exhibit 10.6.2 to the Form 10-K for Regeneron</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2002, filed with the Securities and Exchange Commission on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March 31,</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and incorporated herein by reference.</w:t>
            </w:r>
          </w:p>
        </w:tc>
      </w:tr>
    </w:tbl>
    <w:p>
      <w:pPr>
        <w:sectPr>
          <w:pgSz w:w="11900" w:h="16838" w:orient="portrait"/>
          <w:cols w:equalWidth="0" w:num="1">
            <w:col w:w="10219"/>
          </w:cols>
          <w:pgMar w:left="240" w:top="717"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(d)(5)</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3 to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effective as of June 14, 2004,</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filed as Exhibit 10.6.3 to the Form 10-Q for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 for the quarterly period ended June</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30, 2004,</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on August</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 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(d)(6)</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9"/>
              </w:rPr>
              <w:t>No. 4 to the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included as Annex A to the</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Company's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definitive proxy statement on Schedule 14A filed</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with the Securities and Exchange Commission on November 29,</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(d)(7)</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Form of Replacement Option Agreement and Notice of Grant of</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 for employees of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 other than vice presidents.*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(d)(8)</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Form of Replacement Option Agreement and Notice of Grant of</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 for vice presidents of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(d)(9)</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Form of Replacement Option Agreement and Notice of Grant of</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Replacement Options for senior vice presidents and executive</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vice presidents of Regeneron 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(d)(10)</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Statements</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relating to Securities to be offered to employees pursuant</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to employee benefit plans on Form S-8 and Form S-8 POS,</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filed with the Securities and Exchange Commission on August</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19, 1997 (File No. 333-33891), June 15, 1999 (File No.</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333-80663), May 17, 2001 (File No. 333-61132), July 30, 2002</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(File No.</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333-80663, July 30, 2002 (File No. 333-97375) and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24, 2004 (File No. 333-119257) and incorporated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(d)(11)</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Form 8-A filed with 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February 20, 1991 as amended by the Registration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Statement</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8-A/A, filed with the Securities and</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Exchange Commission on March 27, 1991 and incorporated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(d)(12)</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October 15, 1996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(d)(13)</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Rights Agreement, dated as of September 20, 1996, between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Pharmaceuticals, Inc. and Chase Mellon Shareholder</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Services LLC, as Rights Agent, including the form of Rights</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Certificate as Exhibit B thereto, filed as Exhibit 1 to</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October 15, 1996 and incorporated herein by reference.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2019-12-20T06:27:16Z</dcterms:created>
  <dcterms:modified xsi:type="dcterms:W3CDTF">2019-12-20T06:27:16Z</dcterms:modified>
</cp:coreProperties>
</file>