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5"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Regeneron Pharmaceuticals, Inc.</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75886F107</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2019</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75886F107</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7023" w:orient="portrait"/>
          <w:cols w:equalWidth="0" w:num="1">
            <w:col w:w="10219"/>
          </w:cols>
          <w:pgMar w:left="240" w:top="244" w:right="1440" w:bottom="0" w:gutter="0" w:footer="0" w:header="0"/>
        </w:sectPr>
      </w:pPr>
    </w:p>
    <w:bookmarkStart w:id="1" w:name="page2"/>
    <w:bookmarkEnd w:id="1"/>
    <w:p>
      <w:pPr>
        <w:ind w:left="1900" w:right="663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8,308,528</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8,351,951</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ind w:left="1800" w:hanging="423"/>
        <w:spacing w:after="0" w:line="237" w:lineRule="auto"/>
        <w:tabs>
          <w:tab w:leader="none" w:pos="18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8,351,951</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7.7%</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75886F107</w:t>
      </w:r>
      <w:r>
        <w:rPr>
          <w:sz w:val="20"/>
          <w:szCs w:val="20"/>
          <w:color w:val="auto"/>
        </w:rPr>
        <w:tab/>
      </w:r>
      <w:r>
        <w:rPr>
          <w:rFonts w:ascii="Courier New" w:cs="Courier New" w:eastAsia="Courier New" w:hAnsi="Courier New"/>
          <w:sz w:val="16"/>
          <w:szCs w:val="16"/>
          <w:color w:val="auto"/>
        </w:rPr>
        <w:t>Page 2 of 4</w:t>
      </w:r>
    </w:p>
    <w:p>
      <w:pPr>
        <w:sectPr>
          <w:pgSz w:w="11900" w:h="16838" w:orient="portrait"/>
          <w:cols w:equalWidth="0" w:num="1">
            <w:col w:w="10219"/>
          </w:cols>
          <w:pgMar w:left="240" w:top="344" w:right="1440" w:bottom="1440" w:gutter="0" w:footer="0" w:header="0"/>
        </w:sectPr>
      </w:pPr>
    </w:p>
    <w:bookmarkStart w:id="2" w:name="page3"/>
    <w:bookmarkEnd w:id="2"/>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Regeneron Pharmaceuticals, Inc.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777 Old Saw Mill River Road</w:t>
      </w:r>
    </w:p>
    <w:p>
      <w:pPr>
        <w:ind w:left="740"/>
        <w:spacing w:after="0"/>
        <w:rPr>
          <w:sz w:val="20"/>
          <w:szCs w:val="20"/>
          <w:color w:val="auto"/>
        </w:rPr>
      </w:pPr>
      <w:r>
        <w:rPr>
          <w:rFonts w:ascii="Courier New" w:cs="Courier New" w:eastAsia="Courier New" w:hAnsi="Courier New"/>
          <w:sz w:val="18"/>
          <w:szCs w:val="18"/>
          <w:color w:val="auto"/>
        </w:rPr>
        <w:t>Tarrytown NY 10591-6707</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75886F107</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5" w:lineRule="exact"/>
        <w:rPr>
          <w:sz w:val="20"/>
          <w:szCs w:val="20"/>
          <w:color w:val="auto"/>
        </w:rPr>
      </w:pPr>
    </w:p>
    <w:p>
      <w:pPr>
        <w:ind w:left="1280" w:right="3479" w:hanging="535"/>
        <w:spacing w:after="0" w:line="235" w:lineRule="auto"/>
        <w:tabs>
          <w:tab w:leader="none" w:pos="170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divisions of CRMC and Capital International Limited collectively provide investment management services under the name Capital World Investors. Capital World Investors is deemed to be the beneficial owner of 8,351,951 shares or 7.7% of the 107,946,794 shares believed to be outstanding.</w:t>
      </w:r>
    </w:p>
    <w:p>
      <w:pPr>
        <w:spacing w:after="0" w:line="20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75886F107</w:t>
      </w:r>
      <w:r>
        <w:rPr>
          <w:sz w:val="20"/>
          <w:szCs w:val="20"/>
          <w:color w:val="auto"/>
        </w:rPr>
        <w:tab/>
      </w:r>
      <w:r>
        <w:rPr>
          <w:rFonts w:ascii="Courier New" w:cs="Courier New" w:eastAsia="Courier New" w:hAnsi="Courier New"/>
          <w:sz w:val="16"/>
          <w:szCs w:val="16"/>
          <w:color w:val="auto"/>
        </w:rPr>
        <w:t>Page 3 of 4</w:t>
      </w:r>
    </w:p>
    <w:p>
      <w:pPr>
        <w:sectPr>
          <w:pgSz w:w="11900" w:h="16838" w:orient="portrait"/>
          <w:cols w:equalWidth="0" w:num="1">
            <w:col w:w="10219"/>
          </w:cols>
          <w:pgMar w:left="240" w:top="717" w:right="1440" w:bottom="1440" w:gutter="0" w:footer="0" w:header="0"/>
        </w:sectPr>
      </w:pPr>
    </w:p>
    <w:bookmarkStart w:id="3" w:name="page4"/>
    <w:bookmarkEnd w:id="3"/>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2380" w:type="dxa"/>
            <w:vAlign w:val="bottom"/>
          </w:tcPr>
          <w:p>
            <w:pPr>
              <w:ind w:left="220"/>
              <w:spacing w:after="0"/>
              <w:rPr>
                <w:sz w:val="20"/>
                <w:szCs w:val="20"/>
                <w:color w:val="auto"/>
              </w:rPr>
            </w:pPr>
            <w:r>
              <w:rPr>
                <w:rFonts w:ascii="Courier New" w:cs="Courier New" w:eastAsia="Courier New" w:hAnsi="Courier New"/>
                <w:sz w:val="18"/>
                <w:szCs w:val="18"/>
                <w:color w:val="auto"/>
              </w:rPr>
              <w:t>February 12, 2020</w:t>
            </w:r>
          </w:p>
        </w:tc>
        <w:tc>
          <w:tcPr>
            <w:tcW w:w="1940" w:type="dxa"/>
            <w:vAlign w:val="bottom"/>
          </w:tcPr>
          <w:p>
            <w:pPr>
              <w:spacing w:after="0"/>
              <w:rPr>
                <w:sz w:val="17"/>
                <w:szCs w:val="17"/>
                <w:color w:val="auto"/>
              </w:rPr>
            </w:pP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3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 Michael J. Triessl</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Michael J. Triessl -</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Senior Vice</w:t>
            </w:r>
          </w:p>
        </w:tc>
      </w:tr>
      <w:tr>
        <w:trPr>
          <w:trHeight w:val="203"/>
        </w:trPr>
        <w:tc>
          <w:tcPr>
            <w:tcW w:w="1360" w:type="dxa"/>
            <w:vAlign w:val="bottom"/>
          </w:tcPr>
          <w:p>
            <w:pPr>
              <w:spacing w:after="0"/>
              <w:rPr>
                <w:sz w:val="17"/>
                <w:szCs w:val="17"/>
                <w:color w:val="auto"/>
              </w:rPr>
            </w:pP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President and Senior</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Counsel, Fund</w:t>
            </w:r>
          </w:p>
        </w:tc>
      </w:tr>
      <w:tr>
        <w:trPr>
          <w:trHeight w:val="203"/>
        </w:trPr>
        <w:tc>
          <w:tcPr>
            <w:tcW w:w="1360" w:type="dxa"/>
            <w:vAlign w:val="bottom"/>
          </w:tcPr>
          <w:p>
            <w:pPr>
              <w:spacing w:after="0"/>
              <w:rPr>
                <w:sz w:val="17"/>
                <w:szCs w:val="17"/>
                <w:color w:val="auto"/>
              </w:rPr>
            </w:pPr>
          </w:p>
        </w:tc>
        <w:tc>
          <w:tcPr>
            <w:tcW w:w="4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Business Management Group</w:t>
            </w:r>
          </w:p>
        </w:tc>
      </w:tr>
      <w:tr>
        <w:trPr>
          <w:trHeight w:val="203"/>
        </w:trPr>
        <w:tc>
          <w:tcPr>
            <w:tcW w:w="1360" w:type="dxa"/>
            <w:vAlign w:val="bottom"/>
          </w:tcPr>
          <w:p>
            <w:pPr>
              <w:spacing w:after="0"/>
              <w:rPr>
                <w:sz w:val="17"/>
                <w:szCs w:val="17"/>
                <w:color w:val="auto"/>
              </w:rPr>
            </w:pP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Capital Research and</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Management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75886F107</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5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8"/>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
      <w:numFmt w:val="bullet"/>
      <w:start w:val="1"/>
    </w:lvl>
    <w:lvl w:ilvl="1">
      <w:lvlJc w:val="left"/>
      <w:lvlText w:val="%2"/>
      <w:numFmt w:val="decimal"/>
      <w:start w:val="10"/>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2020-02-14T05:09:42Z</dcterms:created>
  <dcterms:modified xsi:type="dcterms:W3CDTF">2020-02-14T05:09:42Z</dcterms:modified>
</cp:coreProperties>
</file>