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880"/>
        <w:spacing w:after="0"/>
        <w:rPr>
          <w:sz w:val="20"/>
          <w:szCs w:val="20"/>
          <w:color w:val="auto"/>
        </w:rPr>
      </w:pPr>
      <w:r>
        <w:rPr>
          <w:rFonts w:ascii="Arial" w:cs="Arial" w:eastAsia="Arial" w:hAnsi="Arial"/>
          <w:sz w:val="18"/>
          <w:szCs w:val="18"/>
          <w:color w:val="auto"/>
        </w:rPr>
        <w:t>SCHEDULE 14A</w:t>
      </w:r>
    </w:p>
    <w:p>
      <w:pPr>
        <w:jc w:val="right"/>
        <w:ind w:right="4940"/>
        <w:spacing w:after="0" w:line="234" w:lineRule="auto"/>
        <w:rPr>
          <w:sz w:val="20"/>
          <w:szCs w:val="20"/>
          <w:color w:val="auto"/>
        </w:rPr>
      </w:pPr>
      <w:r>
        <w:rPr>
          <w:rFonts w:ascii="Arial" w:cs="Arial" w:eastAsia="Arial" w:hAnsi="Arial"/>
          <w:sz w:val="18"/>
          <w:szCs w:val="18"/>
          <w:color w:val="auto"/>
        </w:rPr>
        <w:t>(Rule 14a-101)</w:t>
      </w:r>
    </w:p>
    <w:p>
      <w:pPr>
        <w:jc w:val="center"/>
        <w:ind w:right="-99"/>
        <w:spacing w:after="0" w:line="235" w:lineRule="auto"/>
        <w:rPr>
          <w:sz w:val="20"/>
          <w:szCs w:val="20"/>
          <w:color w:val="auto"/>
        </w:rPr>
      </w:pPr>
      <w:r>
        <w:rPr>
          <w:rFonts w:ascii="Arial" w:cs="Arial" w:eastAsia="Arial" w:hAnsi="Arial"/>
          <w:sz w:val="18"/>
          <w:szCs w:val="18"/>
          <w:color w:val="auto"/>
        </w:rPr>
        <w:t>INFORMATION REQUIRED IN PROXY STATEMENT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 the</w:t>
      </w:r>
    </w:p>
    <w:p>
      <w:pPr>
        <w:jc w:val="center"/>
        <w:ind w:right="-99"/>
        <w:spacing w:after="0"/>
        <w:tabs>
          <w:tab w:leader="none" w:pos="140" w:val="left"/>
        </w:tabs>
        <w:rPr>
          <w:sz w:val="20"/>
          <w:szCs w:val="20"/>
          <w:color w:val="auto"/>
        </w:rPr>
      </w:pPr>
      <w:r>
        <w:rPr>
          <w:rFonts w:ascii="Arial" w:cs="Arial" w:eastAsia="Arial" w:hAnsi="Arial"/>
          <w:sz w:val="18"/>
          <w:szCs w:val="18"/>
          <w:color w:val="auto"/>
        </w:rPr>
        <w:t>Securities Exchange Act of 1934 (Amendment No.</w:t>
        <w:tab/>
        <w:t>)</w:t>
      </w:r>
    </w:p>
    <w:p>
      <w:pPr>
        <w:spacing w:after="0" w:line="1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17" w:lineRule="exact"/>
        <w:rPr>
          <w:rFonts w:ascii="Arial" w:cs="Arial" w:eastAsia="Arial" w:hAnsi="Arial"/>
          <w:sz w:val="18"/>
          <w:szCs w:val="18"/>
          <w:color w:val="auto"/>
        </w:rPr>
      </w:pPr>
    </w:p>
    <w:p>
      <w:pPr>
        <w:ind w:left="340" w:right="830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ind w:left="340" w:hanging="332"/>
        <w:spacing w:after="0" w:line="23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71"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680" w:hanging="335"/>
        <w:spacing w:after="0" w:line="246" w:lineRule="auto"/>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340" w:right="160" w:hanging="332"/>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-2933700</wp:posOffset>
            </wp:positionV>
            <wp:extent cx="6703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-2642235</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-2221865</wp:posOffset>
            </wp:positionV>
            <wp:extent cx="6703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-1930400</wp:posOffset>
            </wp:positionV>
            <wp:extent cx="6703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-1638935</wp:posOffset>
            </wp:positionV>
            <wp:extent cx="6703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-507365</wp:posOffset>
            </wp:positionV>
            <wp:extent cx="6703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-215900</wp:posOffset>
            </wp:positionV>
            <wp:extent cx="6703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74930</wp:posOffset>
            </wp:positionV>
            <wp:extent cx="6703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-721995</wp:posOffset>
            </wp:positionV>
            <wp:extent cx="6703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242" w:right="419" w:bottom="1440" w:gutter="0" w:footer="0" w:header="0"/>
        </w:sectPr>
      </w:pPr>
    </w:p>
    <w:bookmarkStart w:id="1" w:name="page2"/>
    <w:bookmarkEnd w:id="1"/>
    <w:p>
      <w:pPr>
        <w:ind w:left="6340"/>
        <w:spacing w:after="0"/>
        <w:rPr>
          <w:sz w:val="20"/>
          <w:szCs w:val="20"/>
          <w:color w:val="auto"/>
        </w:rPr>
      </w:pPr>
      <w:r>
        <w:rPr>
          <w:rFonts w:ascii="Arial" w:cs="Arial" w:eastAsia="Arial" w:hAnsi="Arial"/>
          <w:sz w:val="47"/>
          <w:szCs w:val="47"/>
          <w:color w:val="174D6E"/>
        </w:rPr>
        <w:drawing>
          <wp:anchor simplePos="0" relativeHeight="251657728" behindDoc="1" locked="0" layoutInCell="0" allowOverlap="1">
            <wp:simplePos x="0" y="0"/>
            <wp:positionH relativeFrom="page">
              <wp:posOffset>5857240</wp:posOffset>
            </wp:positionH>
            <wp:positionV relativeFrom="page">
              <wp:posOffset>269240</wp:posOffset>
            </wp:positionV>
            <wp:extent cx="1482725" cy="1543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2725" cy="1543050"/>
                    </a:xfrm>
                    <a:prstGeom prst="rect">
                      <a:avLst/>
                    </a:prstGeom>
                    <a:noFill/>
                  </pic:spPr>
                </pic:pic>
              </a:graphicData>
            </a:graphic>
          </wp:anchor>
        </w:drawing>
        <w:t xml:space="preserve">Your </w:t>
      </w:r>
      <w:r>
        <w:rPr>
          <w:rFonts w:ascii="Arial" w:cs="Arial" w:eastAsia="Arial" w:hAnsi="Arial"/>
          <w:sz w:val="47"/>
          <w:szCs w:val="47"/>
          <w:b w:val="1"/>
          <w:bCs w:val="1"/>
          <w:color w:val="174D6E"/>
        </w:rPr>
        <w:t>Vote</w:t>
      </w:r>
      <w:r>
        <w:rPr>
          <w:rFonts w:ascii="Arial" w:cs="Arial" w:eastAsia="Arial" w:hAnsi="Arial"/>
          <w:sz w:val="47"/>
          <w:szCs w:val="47"/>
          <w:color w:val="174D6E"/>
        </w:rPr>
        <w:t xml:space="preserve"> Counts!</w:t>
      </w:r>
    </w:p>
    <w:p>
      <w:pPr>
        <w:spacing w:after="0" w:line="89"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154D6F"/>
        </w:rPr>
        <w:t>REGENERON PHARMACEUTICALS, INC.</w:t>
      </w:r>
    </w:p>
    <w:p>
      <w:pPr>
        <w:spacing w:after="0" w:line="204" w:lineRule="exact"/>
        <w:rPr>
          <w:sz w:val="20"/>
          <w:szCs w:val="20"/>
          <w:color w:val="auto"/>
        </w:rPr>
      </w:pPr>
    </w:p>
    <w:p>
      <w:pPr>
        <w:jc w:val="center"/>
        <w:ind w:left="5200"/>
        <w:spacing w:after="0"/>
        <w:rPr>
          <w:sz w:val="20"/>
          <w:szCs w:val="20"/>
          <w:color w:val="auto"/>
        </w:rPr>
      </w:pPr>
      <w:r>
        <w:rPr>
          <w:rFonts w:ascii="Arial" w:cs="Arial" w:eastAsia="Arial" w:hAnsi="Arial"/>
          <w:sz w:val="20"/>
          <w:szCs w:val="20"/>
          <w:color w:val="154D6F"/>
        </w:rPr>
        <w:t>2021 Annual Meeting</w:t>
      </w:r>
    </w:p>
    <w:p>
      <w:pPr>
        <w:jc w:val="center"/>
        <w:ind w:left="5200"/>
        <w:spacing w:after="0"/>
        <w:rPr>
          <w:sz w:val="20"/>
          <w:szCs w:val="20"/>
          <w:color w:val="auto"/>
        </w:rPr>
      </w:pPr>
      <w:r>
        <w:rPr>
          <w:rFonts w:ascii="Arial" w:cs="Arial" w:eastAsia="Arial" w:hAnsi="Arial"/>
          <w:sz w:val="16"/>
          <w:szCs w:val="16"/>
          <w:color w:val="154D6F"/>
        </w:rPr>
        <w:t>Vote by June 10, 2021 11:59 PM ET for shares held directly</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color w:val="154D6F"/>
        </w:rPr>
        <w:t>and June 8, 2021 11:59 PM ET for shares held in a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113665</wp:posOffset>
            </wp:positionV>
            <wp:extent cx="2143125" cy="1619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000000"/>
                        </a:clrFrom>
                        <a:clrTo>
                          <a:srgbClr val="000000">
                            <a:alpha val="0"/>
                          </a:srgbClr>
                        </a:clrTo>
                      </a:clrChange>
                      <a:extLst>
                        <a:ext uri="{28A0092B-C50C-407E-A947-70E740481C1C}"/>
                      </a:extLst>
                    </a:blip>
                    <a:srcRect/>
                    <a:stretch>
                      <a:fillRect/>
                    </a:stretch>
                  </pic:blipFill>
                  <pic:spPr bwMode="auto">
                    <a:xfrm>
                      <a:off x="0" y="0"/>
                      <a:ext cx="2143125" cy="161988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113665</wp:posOffset>
            </wp:positionV>
            <wp:extent cx="2143125" cy="1619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161988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720"/>
        <w:spacing w:after="0"/>
        <w:rPr>
          <w:sz w:val="20"/>
          <w:szCs w:val="20"/>
          <w:color w:val="auto"/>
        </w:rPr>
      </w:pPr>
      <w:r>
        <w:rPr>
          <w:rFonts w:ascii="Arial" w:cs="Arial" w:eastAsia="Arial" w:hAnsi="Arial"/>
          <w:sz w:val="9"/>
          <w:szCs w:val="9"/>
          <w:color w:val="154D6F"/>
        </w:rPr>
        <w:t>REGENERON PHARMACEUTICALS, INC.</w:t>
      </w:r>
    </w:p>
    <w:p>
      <w:pPr>
        <w:ind w:left="720"/>
        <w:spacing w:after="0" w:line="219" w:lineRule="auto"/>
        <w:rPr>
          <w:sz w:val="20"/>
          <w:szCs w:val="20"/>
          <w:color w:val="auto"/>
        </w:rPr>
      </w:pPr>
      <w:r>
        <w:rPr>
          <w:rFonts w:ascii="Arial" w:cs="Arial" w:eastAsia="Arial" w:hAnsi="Arial"/>
          <w:sz w:val="9"/>
          <w:szCs w:val="9"/>
          <w:color w:val="154D6F"/>
        </w:rPr>
        <w:t>777 OLD SAW MILL RIVER ROAD</w:t>
      </w:r>
    </w:p>
    <w:p>
      <w:pPr>
        <w:ind w:left="720"/>
        <w:spacing w:after="0" w:line="219" w:lineRule="auto"/>
        <w:rPr>
          <w:sz w:val="20"/>
          <w:szCs w:val="20"/>
          <w:color w:val="auto"/>
        </w:rPr>
      </w:pPr>
      <w:r>
        <w:rPr>
          <w:rFonts w:ascii="Arial" w:cs="Arial" w:eastAsia="Arial" w:hAnsi="Arial"/>
          <w:sz w:val="9"/>
          <w:szCs w:val="9"/>
          <w:color w:val="154D6F"/>
        </w:rPr>
        <w:t>TARRYTOWN, NY 10591-6707</w:t>
      </w:r>
    </w:p>
    <w:p>
      <w:pPr>
        <w:ind w:left="720"/>
        <w:spacing w:after="0"/>
        <w:rPr>
          <w:sz w:val="20"/>
          <w:szCs w:val="20"/>
          <w:color w:val="auto"/>
        </w:rPr>
      </w:pPr>
      <w:r>
        <w:rPr>
          <w:rFonts w:ascii="Arial" w:cs="Arial" w:eastAsia="Arial" w:hAnsi="Arial"/>
          <w:sz w:val="9"/>
          <w:szCs w:val="9"/>
          <w:color w:val="154D6F"/>
        </w:rPr>
        <w:t>ATTN: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11430</wp:posOffset>
            </wp:positionV>
            <wp:extent cx="342900" cy="1534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20"/>
        <w:spacing w:after="0"/>
        <w:rPr>
          <w:sz w:val="20"/>
          <w:szCs w:val="20"/>
          <w:color w:val="auto"/>
        </w:rPr>
      </w:pPr>
      <w:r>
        <w:rPr>
          <w:rFonts w:ascii="Arial" w:cs="Arial" w:eastAsia="Arial" w:hAnsi="Arial"/>
          <w:sz w:val="13"/>
          <w:szCs w:val="13"/>
          <w:color w:val="154D6F"/>
        </w:rPr>
        <w:t>D51959-P48765-Z78980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797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9780" cy="6858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-90805</wp:posOffset>
            </wp:positionV>
            <wp:extent cx="113982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9825" cy="24003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80"/>
        <w:spacing w:after="0"/>
        <w:rPr>
          <w:sz w:val="20"/>
          <w:szCs w:val="20"/>
          <w:color w:val="auto"/>
        </w:rPr>
      </w:pPr>
      <w:r>
        <w:rPr>
          <w:rFonts w:ascii="Arial" w:cs="Arial" w:eastAsia="Arial" w:hAnsi="Arial"/>
          <w:sz w:val="27"/>
          <w:szCs w:val="27"/>
          <w:color w:val="154D6F"/>
        </w:rPr>
        <w:t>You invested in REGENERON PHARMACEUTICALS, INC. and it’s time to vote!</w:t>
      </w:r>
    </w:p>
    <w:p>
      <w:pPr>
        <w:spacing w:after="0" w:line="1" w:lineRule="exact"/>
        <w:rPr>
          <w:sz w:val="20"/>
          <w:szCs w:val="20"/>
          <w:color w:val="auto"/>
        </w:rPr>
      </w:pPr>
    </w:p>
    <w:p>
      <w:pPr>
        <w:ind w:left="280" w:right="1100"/>
        <w:spacing w:after="0" w:line="246" w:lineRule="auto"/>
        <w:rPr>
          <w:sz w:val="20"/>
          <w:szCs w:val="20"/>
          <w:color w:val="auto"/>
        </w:rPr>
      </w:pPr>
      <w:r>
        <w:rPr>
          <w:rFonts w:ascii="Arial" w:cs="Arial" w:eastAsia="Arial" w:hAnsi="Arial"/>
          <w:sz w:val="18"/>
          <w:szCs w:val="18"/>
          <w:color w:val="154D6F"/>
        </w:rPr>
        <w:t xml:space="preserve">You have the right to vote on proposals being presented at the Annual Meeting. </w:t>
      </w:r>
      <w:r>
        <w:rPr>
          <w:rFonts w:ascii="Arial" w:cs="Arial" w:eastAsia="Arial" w:hAnsi="Arial"/>
          <w:sz w:val="18"/>
          <w:szCs w:val="18"/>
          <w:b w:val="1"/>
          <w:bCs w:val="1"/>
          <w:color w:val="154D6F"/>
        </w:rPr>
        <w:t>This is an important notice regarding the</w:t>
      </w:r>
      <w:r>
        <w:rPr>
          <w:rFonts w:ascii="Arial" w:cs="Arial" w:eastAsia="Arial" w:hAnsi="Arial"/>
          <w:sz w:val="18"/>
          <w:szCs w:val="18"/>
          <w:color w:val="154D6F"/>
        </w:rPr>
        <w:t xml:space="preserve"> </w:t>
      </w:r>
      <w:r>
        <w:rPr>
          <w:rFonts w:ascii="Arial" w:cs="Arial" w:eastAsia="Arial" w:hAnsi="Arial"/>
          <w:sz w:val="18"/>
          <w:szCs w:val="18"/>
          <w:b w:val="1"/>
          <w:bCs w:val="1"/>
          <w:color w:val="154D6F"/>
        </w:rPr>
        <w:t>availability of proxy material for the shareholder meeting to be held on June 11, 2021.</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27"/>
          <w:szCs w:val="27"/>
          <w:color w:val="154D6F"/>
        </w:rPr>
        <w:t>Get informed before you vote</w:t>
      </w:r>
    </w:p>
    <w:p>
      <w:pPr>
        <w:spacing w:after="0" w:line="1" w:lineRule="exact"/>
        <w:rPr>
          <w:sz w:val="20"/>
          <w:szCs w:val="20"/>
          <w:color w:val="auto"/>
        </w:rPr>
      </w:pPr>
    </w:p>
    <w:p>
      <w:pPr>
        <w:ind w:left="280" w:right="320"/>
        <w:spacing w:after="0" w:line="238" w:lineRule="auto"/>
        <w:rPr>
          <w:sz w:val="20"/>
          <w:szCs w:val="20"/>
          <w:color w:val="auto"/>
        </w:rPr>
      </w:pPr>
      <w:r>
        <w:rPr>
          <w:rFonts w:ascii="Arial" w:cs="Arial" w:eastAsia="Arial" w:hAnsi="Arial"/>
          <w:sz w:val="18"/>
          <w:szCs w:val="18"/>
          <w:color w:val="154D6F"/>
        </w:rPr>
        <w:t>View the Notice and Proxy Statement and Annual Report online OR you can receive a free paper or email copy of the material(s) by requesting prior to May 28, 2021.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111760</wp:posOffset>
            </wp:positionV>
            <wp:extent cx="6772275" cy="720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720090"/>
                    </a:xfrm>
                    <a:prstGeom prst="rect">
                      <a:avLst/>
                    </a:prstGeom>
                    <a:noFill/>
                  </pic:spPr>
                </pic:pic>
              </a:graphicData>
            </a:graphic>
          </wp:anchor>
        </w:drawing>
      </w:r>
    </w:p>
    <w:p>
      <w:pPr>
        <w:spacing w:after="0" w:line="234" w:lineRule="exact"/>
        <w:rPr>
          <w:sz w:val="20"/>
          <w:szCs w:val="20"/>
          <w:color w:val="auto"/>
        </w:rPr>
      </w:pPr>
    </w:p>
    <w:p>
      <w:pPr>
        <w:ind w:left="2900"/>
        <w:spacing w:after="0"/>
        <w:rPr>
          <w:sz w:val="20"/>
          <w:szCs w:val="20"/>
          <w:color w:val="auto"/>
        </w:rPr>
      </w:pPr>
      <w:r>
        <w:rPr>
          <w:rFonts w:ascii="Arial" w:cs="Arial" w:eastAsia="Arial" w:hAnsi="Arial"/>
          <w:sz w:val="25"/>
          <w:szCs w:val="25"/>
          <w:color w:val="FFFFFF"/>
        </w:rPr>
        <w:t xml:space="preserve">For complete information and to vote, visit </w:t>
      </w:r>
      <w:r>
        <w:rPr>
          <w:rFonts w:ascii="Arial" w:cs="Arial" w:eastAsia="Arial" w:hAnsi="Arial"/>
          <w:sz w:val="25"/>
          <w:szCs w:val="25"/>
          <w:b w:val="1"/>
          <w:bCs w:val="1"/>
          <w:color w:val="FFFFFF"/>
        </w:rPr>
        <w:t>www.ProxyVote.com</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180" w:type="dxa"/>
            <w:vAlign w:val="bottom"/>
          </w:tcPr>
          <w:p>
            <w:pPr>
              <w:spacing w:after="0"/>
              <w:rPr>
                <w:sz w:val="24"/>
                <w:szCs w:val="24"/>
                <w:color w:val="auto"/>
              </w:rPr>
            </w:pPr>
          </w:p>
        </w:tc>
        <w:tc>
          <w:tcPr>
            <w:tcW w:w="7060" w:type="dxa"/>
            <w:vAlign w:val="bottom"/>
            <w:gridSpan w:val="2"/>
          </w:tcPr>
          <w:p>
            <w:pPr>
              <w:ind w:left="260"/>
              <w:spacing w:after="0"/>
              <w:rPr>
                <w:sz w:val="20"/>
                <w:szCs w:val="20"/>
                <w:color w:val="auto"/>
              </w:rPr>
            </w:pPr>
            <w:r>
              <w:rPr>
                <w:rFonts w:ascii="Arial" w:cs="Arial" w:eastAsia="Arial" w:hAnsi="Arial"/>
                <w:sz w:val="25"/>
                <w:szCs w:val="25"/>
                <w:color w:val="FFFFFF"/>
              </w:rPr>
              <w:t>Control #</w:t>
            </w:r>
          </w:p>
        </w:tc>
        <w:tc>
          <w:tcPr>
            <w:tcW w:w="0" w:type="dxa"/>
            <w:vAlign w:val="bottom"/>
          </w:tcPr>
          <w:p>
            <w:pPr>
              <w:spacing w:after="0"/>
              <w:rPr>
                <w:sz w:val="1"/>
                <w:szCs w:val="1"/>
                <w:color w:val="auto"/>
              </w:rPr>
            </w:pPr>
          </w:p>
        </w:tc>
      </w:tr>
      <w:tr>
        <w:trPr>
          <w:trHeight w:val="410"/>
        </w:trPr>
        <w:tc>
          <w:tcPr>
            <w:tcW w:w="4180" w:type="dxa"/>
            <w:vAlign w:val="bottom"/>
            <w:vMerge w:val="restart"/>
          </w:tcPr>
          <w:p>
            <w:pPr>
              <w:jc w:val="center"/>
              <w:ind w:left="852"/>
              <w:spacing w:after="0"/>
              <w:rPr>
                <w:sz w:val="20"/>
                <w:szCs w:val="20"/>
                <w:color w:val="auto"/>
              </w:rPr>
            </w:pPr>
            <w:r>
              <w:rPr>
                <w:rFonts w:ascii="Arial" w:cs="Arial" w:eastAsia="Arial" w:hAnsi="Arial"/>
                <w:sz w:val="22"/>
                <w:szCs w:val="22"/>
                <w:b w:val="1"/>
                <w:bCs w:val="1"/>
                <w:color w:val="154D6F"/>
                <w:w w:val="98"/>
              </w:rPr>
              <w:t>Smartphone users</w:t>
            </w:r>
          </w:p>
        </w:tc>
        <w:tc>
          <w:tcPr>
            <w:tcW w:w="1080" w:type="dxa"/>
            <w:vAlign w:val="bottom"/>
          </w:tcPr>
          <w:p>
            <w:pPr>
              <w:spacing w:after="0"/>
              <w:rPr>
                <w:sz w:val="24"/>
                <w:szCs w:val="24"/>
                <w:color w:val="auto"/>
              </w:rPr>
            </w:pPr>
          </w:p>
        </w:tc>
        <w:tc>
          <w:tcPr>
            <w:tcW w:w="5980" w:type="dxa"/>
            <w:vAlign w:val="bottom"/>
            <w:vMerge w:val="restart"/>
          </w:tcPr>
          <w:p>
            <w:pPr>
              <w:ind w:left="1500"/>
              <w:spacing w:after="0"/>
              <w:rPr>
                <w:sz w:val="20"/>
                <w:szCs w:val="20"/>
                <w:color w:val="auto"/>
              </w:rPr>
            </w:pPr>
            <w:r>
              <w:rPr>
                <w:rFonts w:ascii="Arial" w:cs="Arial" w:eastAsia="Arial" w:hAnsi="Arial"/>
                <w:sz w:val="22"/>
                <w:szCs w:val="22"/>
                <w:b w:val="1"/>
                <w:bCs w:val="1"/>
                <w:color w:val="154D6F"/>
              </w:rPr>
              <w:t>Vote Virtually at the Meeting*</w:t>
            </w:r>
          </w:p>
        </w:tc>
        <w:tc>
          <w:tcPr>
            <w:tcW w:w="0" w:type="dxa"/>
            <w:vAlign w:val="bottom"/>
          </w:tcPr>
          <w:p>
            <w:pPr>
              <w:spacing w:after="0"/>
              <w:rPr>
                <w:sz w:val="1"/>
                <w:szCs w:val="1"/>
                <w:color w:val="auto"/>
              </w:rPr>
            </w:pPr>
          </w:p>
        </w:tc>
      </w:tr>
      <w:tr>
        <w:trPr>
          <w:trHeight w:val="253"/>
        </w:trPr>
        <w:tc>
          <w:tcPr>
            <w:tcW w:w="4180" w:type="dxa"/>
            <w:vAlign w:val="bottom"/>
            <w:vMerge w:val="continue"/>
          </w:tcPr>
          <w:p>
            <w:pPr>
              <w:spacing w:after="0"/>
              <w:rPr>
                <w:sz w:val="22"/>
                <w:szCs w:val="22"/>
                <w:color w:val="auto"/>
              </w:rPr>
            </w:pPr>
          </w:p>
        </w:tc>
        <w:tc>
          <w:tcPr>
            <w:tcW w:w="1080" w:type="dxa"/>
            <w:vAlign w:val="bottom"/>
            <w:tcBorders>
              <w:right w:val="single" w:sz="8" w:color="0076A8"/>
            </w:tcBorders>
          </w:tcPr>
          <w:p>
            <w:pPr>
              <w:spacing w:after="0"/>
              <w:rPr>
                <w:sz w:val="22"/>
                <w:szCs w:val="22"/>
                <w:color w:val="auto"/>
              </w:rPr>
            </w:pPr>
          </w:p>
        </w:tc>
        <w:tc>
          <w:tcPr>
            <w:tcW w:w="5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180" w:type="dxa"/>
            <w:vAlign w:val="bottom"/>
          </w:tcPr>
          <w:p>
            <w:pPr>
              <w:jc w:val="center"/>
              <w:ind w:left="852"/>
              <w:spacing w:after="0" w:line="248" w:lineRule="exact"/>
              <w:rPr>
                <w:sz w:val="20"/>
                <w:szCs w:val="20"/>
                <w:color w:val="auto"/>
              </w:rPr>
            </w:pPr>
            <w:r>
              <w:rPr>
                <w:rFonts w:ascii="Arial" w:cs="Arial" w:eastAsia="Arial" w:hAnsi="Arial"/>
                <w:sz w:val="22"/>
                <w:szCs w:val="22"/>
                <w:color w:val="154D6F"/>
                <w:w w:val="97"/>
              </w:rPr>
              <w:t>Point your camera here and</w:t>
            </w:r>
          </w:p>
        </w:tc>
        <w:tc>
          <w:tcPr>
            <w:tcW w:w="1080" w:type="dxa"/>
            <w:vAlign w:val="bottom"/>
            <w:tcBorders>
              <w:right w:val="single" w:sz="8" w:color="0076A8"/>
            </w:tcBorders>
          </w:tcPr>
          <w:p>
            <w:pPr>
              <w:spacing w:after="0"/>
              <w:rPr>
                <w:sz w:val="21"/>
                <w:szCs w:val="21"/>
                <w:color w:val="auto"/>
              </w:rPr>
            </w:pPr>
          </w:p>
        </w:tc>
        <w:tc>
          <w:tcPr>
            <w:tcW w:w="5980" w:type="dxa"/>
            <w:vAlign w:val="bottom"/>
          </w:tcPr>
          <w:p>
            <w:pPr>
              <w:ind w:left="1500"/>
              <w:spacing w:after="0"/>
              <w:rPr>
                <w:sz w:val="20"/>
                <w:szCs w:val="20"/>
                <w:color w:val="auto"/>
              </w:rPr>
            </w:pPr>
            <w:r>
              <w:rPr>
                <w:rFonts w:ascii="Arial" w:cs="Arial" w:eastAsia="Arial" w:hAnsi="Arial"/>
                <w:sz w:val="16"/>
                <w:szCs w:val="16"/>
                <w:color w:val="154D6F"/>
              </w:rPr>
              <w:t>June 11, 2021</w:t>
            </w:r>
          </w:p>
        </w:tc>
        <w:tc>
          <w:tcPr>
            <w:tcW w:w="0" w:type="dxa"/>
            <w:vAlign w:val="bottom"/>
          </w:tcPr>
          <w:p>
            <w:pPr>
              <w:spacing w:after="0"/>
              <w:rPr>
                <w:sz w:val="1"/>
                <w:szCs w:val="1"/>
                <w:color w:val="auto"/>
              </w:rPr>
            </w:pPr>
          </w:p>
        </w:tc>
      </w:tr>
      <w:tr>
        <w:trPr>
          <w:trHeight w:val="195"/>
        </w:trPr>
        <w:tc>
          <w:tcPr>
            <w:tcW w:w="4180" w:type="dxa"/>
            <w:vAlign w:val="bottom"/>
            <w:vMerge w:val="restart"/>
          </w:tcPr>
          <w:p>
            <w:pPr>
              <w:jc w:val="center"/>
              <w:ind w:left="852"/>
              <w:spacing w:after="0"/>
              <w:rPr>
                <w:sz w:val="20"/>
                <w:szCs w:val="20"/>
                <w:color w:val="auto"/>
              </w:rPr>
            </w:pPr>
            <w:r>
              <w:rPr>
                <w:rFonts w:ascii="Arial" w:cs="Arial" w:eastAsia="Arial" w:hAnsi="Arial"/>
                <w:sz w:val="22"/>
                <w:szCs w:val="22"/>
                <w:color w:val="154D6F"/>
                <w:w w:val="98"/>
              </w:rPr>
              <w:t>vote without entering a</w:t>
            </w:r>
          </w:p>
        </w:tc>
        <w:tc>
          <w:tcPr>
            <w:tcW w:w="1080" w:type="dxa"/>
            <w:vAlign w:val="bottom"/>
            <w:tcBorders>
              <w:right w:val="single" w:sz="8" w:color="0076A8"/>
            </w:tcBorders>
          </w:tcPr>
          <w:p>
            <w:pPr>
              <w:spacing w:after="0"/>
              <w:rPr>
                <w:sz w:val="16"/>
                <w:szCs w:val="16"/>
                <w:color w:val="auto"/>
              </w:rPr>
            </w:pPr>
          </w:p>
        </w:tc>
        <w:tc>
          <w:tcPr>
            <w:tcW w:w="5980" w:type="dxa"/>
            <w:vAlign w:val="bottom"/>
          </w:tcPr>
          <w:p>
            <w:pPr>
              <w:ind w:left="1500"/>
              <w:spacing w:after="0"/>
              <w:rPr>
                <w:sz w:val="20"/>
                <w:szCs w:val="20"/>
                <w:color w:val="auto"/>
              </w:rPr>
            </w:pPr>
            <w:r>
              <w:rPr>
                <w:rFonts w:ascii="Arial" w:cs="Arial" w:eastAsia="Arial" w:hAnsi="Arial"/>
                <w:sz w:val="16"/>
                <w:szCs w:val="16"/>
                <w:color w:val="154D6F"/>
              </w:rPr>
              <w:t>10:30 AM ET</w:t>
            </w:r>
          </w:p>
        </w:tc>
        <w:tc>
          <w:tcPr>
            <w:tcW w:w="0" w:type="dxa"/>
            <w:vAlign w:val="bottom"/>
          </w:tcPr>
          <w:p>
            <w:pPr>
              <w:spacing w:after="0"/>
              <w:rPr>
                <w:sz w:val="1"/>
                <w:szCs w:val="1"/>
                <w:color w:val="auto"/>
              </w:rPr>
            </w:pPr>
          </w:p>
        </w:tc>
      </w:tr>
      <w:tr>
        <w:trPr>
          <w:trHeight w:val="94"/>
        </w:trPr>
        <w:tc>
          <w:tcPr>
            <w:tcW w:w="4180" w:type="dxa"/>
            <w:vAlign w:val="bottom"/>
            <w:vMerge w:val="continue"/>
          </w:tcPr>
          <w:p>
            <w:pPr>
              <w:spacing w:after="0"/>
              <w:rPr>
                <w:sz w:val="8"/>
                <w:szCs w:val="8"/>
                <w:color w:val="auto"/>
              </w:rPr>
            </w:pPr>
          </w:p>
        </w:tc>
        <w:tc>
          <w:tcPr>
            <w:tcW w:w="1080" w:type="dxa"/>
            <w:vAlign w:val="bottom"/>
            <w:tcBorders>
              <w:right w:val="single" w:sz="8" w:color="0076A8"/>
            </w:tcBorders>
          </w:tcPr>
          <w:p>
            <w:pPr>
              <w:spacing w:after="0"/>
              <w:rPr>
                <w:sz w:val="8"/>
                <w:szCs w:val="8"/>
                <w:color w:val="auto"/>
              </w:rPr>
            </w:pPr>
          </w:p>
        </w:tc>
        <w:tc>
          <w:tcPr>
            <w:tcW w:w="5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4180" w:type="dxa"/>
            <w:vAlign w:val="bottom"/>
          </w:tcPr>
          <w:p>
            <w:pPr>
              <w:jc w:val="center"/>
              <w:ind w:left="872"/>
              <w:spacing w:after="0"/>
              <w:rPr>
                <w:sz w:val="20"/>
                <w:szCs w:val="20"/>
                <w:color w:val="auto"/>
              </w:rPr>
            </w:pPr>
            <w:r>
              <w:rPr>
                <w:rFonts w:ascii="Arial" w:cs="Arial" w:eastAsia="Arial" w:hAnsi="Arial"/>
                <w:sz w:val="22"/>
                <w:szCs w:val="22"/>
                <w:color w:val="154D6F"/>
                <w:w w:val="98"/>
              </w:rPr>
              <w:t>control number</w:t>
            </w:r>
          </w:p>
        </w:tc>
        <w:tc>
          <w:tcPr>
            <w:tcW w:w="1080" w:type="dxa"/>
            <w:vAlign w:val="bottom"/>
            <w:tcBorders>
              <w:right w:val="single" w:sz="8" w:color="0076A8"/>
            </w:tcBorders>
          </w:tcPr>
          <w:p>
            <w:pPr>
              <w:spacing w:after="0"/>
              <w:rPr>
                <w:sz w:val="22"/>
                <w:szCs w:val="22"/>
                <w:color w:val="auto"/>
              </w:rPr>
            </w:pPr>
          </w:p>
        </w:tc>
        <w:tc>
          <w:tcPr>
            <w:tcW w:w="5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180" w:type="dxa"/>
            <w:vAlign w:val="bottom"/>
          </w:tcPr>
          <w:p>
            <w:pPr>
              <w:spacing w:after="0"/>
              <w:rPr>
                <w:sz w:val="21"/>
                <w:szCs w:val="21"/>
                <w:color w:val="auto"/>
              </w:rPr>
            </w:pPr>
          </w:p>
        </w:tc>
        <w:tc>
          <w:tcPr>
            <w:tcW w:w="1080" w:type="dxa"/>
            <w:vAlign w:val="bottom"/>
            <w:tcBorders>
              <w:right w:val="single" w:sz="8" w:color="0076A8"/>
            </w:tcBorders>
          </w:tcPr>
          <w:p>
            <w:pPr>
              <w:spacing w:after="0"/>
              <w:rPr>
                <w:sz w:val="21"/>
                <w:szCs w:val="21"/>
                <w:color w:val="auto"/>
              </w:rPr>
            </w:pPr>
          </w:p>
        </w:tc>
        <w:tc>
          <w:tcPr>
            <w:tcW w:w="5980" w:type="dxa"/>
            <w:vAlign w:val="bottom"/>
          </w:tcPr>
          <w:p>
            <w:pPr>
              <w:ind w:left="380"/>
              <w:spacing w:after="0"/>
              <w:rPr>
                <w:sz w:val="20"/>
                <w:szCs w:val="20"/>
                <w:color w:val="auto"/>
              </w:rPr>
            </w:pPr>
            <w:r>
              <w:rPr>
                <w:rFonts w:ascii="Arial" w:cs="Arial" w:eastAsia="Arial" w:hAnsi="Arial"/>
                <w:sz w:val="16"/>
                <w:szCs w:val="16"/>
                <w:color w:val="154D6F"/>
              </w:rPr>
              <w:t>Virtually at:</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1080" w:type="dxa"/>
            <w:vAlign w:val="bottom"/>
            <w:tcBorders>
              <w:right w:val="single" w:sz="8" w:color="0076A8"/>
            </w:tcBorders>
          </w:tcPr>
          <w:p>
            <w:pPr>
              <w:spacing w:after="0"/>
              <w:rPr>
                <w:sz w:val="16"/>
                <w:szCs w:val="16"/>
                <w:color w:val="auto"/>
              </w:rPr>
            </w:pPr>
          </w:p>
        </w:tc>
        <w:tc>
          <w:tcPr>
            <w:tcW w:w="5980" w:type="dxa"/>
            <w:vAlign w:val="bottom"/>
          </w:tcPr>
          <w:p>
            <w:pPr>
              <w:ind w:left="380"/>
              <w:spacing w:after="0"/>
              <w:rPr>
                <w:sz w:val="20"/>
                <w:szCs w:val="20"/>
                <w:color w:val="auto"/>
              </w:rPr>
            </w:pPr>
            <w:r>
              <w:rPr>
                <w:rFonts w:ascii="Arial" w:cs="Arial" w:eastAsia="Arial" w:hAnsi="Arial"/>
                <w:sz w:val="16"/>
                <w:szCs w:val="16"/>
                <w:color w:val="154D6F"/>
              </w:rPr>
              <w:t>www.virtualshareholdermeeting.com/REGN2021</w:t>
            </w:r>
          </w:p>
        </w:tc>
        <w:tc>
          <w:tcPr>
            <w:tcW w:w="0" w:type="dxa"/>
            <w:vAlign w:val="bottom"/>
          </w:tcPr>
          <w:p>
            <w:pPr>
              <w:spacing w:after="0"/>
              <w:rPr>
                <w:sz w:val="1"/>
                <w:szCs w:val="1"/>
                <w:color w:val="auto"/>
              </w:rPr>
            </w:pPr>
          </w:p>
        </w:tc>
      </w:tr>
      <w:tr>
        <w:trPr>
          <w:trHeight w:val="343"/>
        </w:trPr>
        <w:tc>
          <w:tcPr>
            <w:tcW w:w="4180" w:type="dxa"/>
            <w:vAlign w:val="bottom"/>
          </w:tcPr>
          <w:p>
            <w:pPr>
              <w:spacing w:after="0"/>
              <w:rPr>
                <w:sz w:val="24"/>
                <w:szCs w:val="24"/>
                <w:color w:val="auto"/>
              </w:rPr>
            </w:pPr>
          </w:p>
        </w:tc>
        <w:tc>
          <w:tcPr>
            <w:tcW w:w="1080" w:type="dxa"/>
            <w:vAlign w:val="bottom"/>
            <w:tcBorders>
              <w:right w:val="single" w:sz="8" w:color="0076A8"/>
            </w:tcBorders>
          </w:tcPr>
          <w:p>
            <w:pPr>
              <w:spacing w:after="0"/>
              <w:rPr>
                <w:sz w:val="24"/>
                <w:szCs w:val="24"/>
                <w:color w:val="auto"/>
              </w:rPr>
            </w:pPr>
          </w:p>
        </w:tc>
        <w:tc>
          <w:tcPr>
            <w:tcW w:w="5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0076A8"/>
            </w:tcBorders>
          </w:tcPr>
          <w:p>
            <w:pPr>
              <w:spacing w:after="0"/>
              <w:rPr>
                <w:sz w:val="18"/>
                <w:szCs w:val="18"/>
                <w:color w:val="auto"/>
              </w:rPr>
            </w:pPr>
          </w:p>
        </w:tc>
        <w:tc>
          <w:tcPr>
            <w:tcW w:w="1080" w:type="dxa"/>
            <w:vAlign w:val="bottom"/>
            <w:tcBorders>
              <w:bottom w:val="single" w:sz="8" w:color="0076A8"/>
            </w:tcBorders>
          </w:tcPr>
          <w:p>
            <w:pPr>
              <w:spacing w:after="0"/>
              <w:rPr>
                <w:sz w:val="18"/>
                <w:szCs w:val="18"/>
                <w:color w:val="auto"/>
              </w:rPr>
            </w:pPr>
          </w:p>
        </w:tc>
        <w:tc>
          <w:tcPr>
            <w:tcW w:w="5980" w:type="dxa"/>
            <w:vAlign w:val="bottom"/>
            <w:tcBorders>
              <w:bottom w:val="single" w:sz="8" w:color="0076A8"/>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-1311275</wp:posOffset>
            </wp:positionV>
            <wp:extent cx="600075" cy="539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53975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-608330</wp:posOffset>
            </wp:positionV>
            <wp:extent cx="1200150"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0" cy="46291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00" w:type="dxa"/>
            <w:vAlign w:val="bottom"/>
          </w:tcPr>
          <w:p>
            <w:pPr>
              <w:ind w:left="60"/>
              <w:spacing w:after="0"/>
              <w:rPr>
                <w:sz w:val="20"/>
                <w:szCs w:val="20"/>
                <w:color w:val="auto"/>
              </w:rPr>
            </w:pPr>
            <w:r>
              <w:rPr>
                <w:rFonts w:ascii="Arial" w:cs="Arial" w:eastAsia="Arial" w:hAnsi="Arial"/>
                <w:sz w:val="14"/>
                <w:szCs w:val="14"/>
                <w:color w:val="154D6F"/>
              </w:rPr>
              <w:t>* Please check the meeting materials for any special requirements for meeting attendance.</w:t>
            </w:r>
          </w:p>
        </w:tc>
        <w:tc>
          <w:tcPr>
            <w:tcW w:w="2740" w:type="dxa"/>
            <w:vAlign w:val="bottom"/>
          </w:tcPr>
          <w:p>
            <w:pPr>
              <w:ind w:left="2640"/>
              <w:spacing w:after="0"/>
              <w:rPr>
                <w:sz w:val="20"/>
                <w:szCs w:val="20"/>
                <w:color w:val="auto"/>
              </w:rPr>
            </w:pPr>
            <w:r>
              <w:rPr>
                <w:rFonts w:ascii="Arial" w:cs="Arial" w:eastAsia="Arial" w:hAnsi="Arial"/>
                <w:sz w:val="9"/>
                <w:szCs w:val="9"/>
                <w:color w:val="auto"/>
                <w:w w:val="72"/>
              </w:rPr>
              <w:t>V1</w:t>
            </w:r>
          </w:p>
        </w:tc>
      </w:tr>
      <w:tr>
        <w:trPr>
          <w:trHeight w:val="262"/>
        </w:trPr>
        <w:tc>
          <w:tcPr>
            <w:tcW w:w="8500" w:type="dxa"/>
            <w:vAlign w:val="bottom"/>
            <w:tcBorders>
              <w:bottom w:val="single" w:sz="8" w:color="C0C0C0"/>
            </w:tcBorders>
          </w:tcPr>
          <w:p>
            <w:pPr>
              <w:spacing w:after="0"/>
              <w:rPr>
                <w:sz w:val="22"/>
                <w:szCs w:val="22"/>
                <w:color w:val="auto"/>
              </w:rPr>
            </w:pPr>
          </w:p>
        </w:tc>
        <w:tc>
          <w:tcPr>
            <w:tcW w:w="27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752" w:right="339" w:bottom="1440" w:gutter="0" w:footer="0" w:header="0"/>
        </w:sectPr>
      </w:pPr>
    </w:p>
    <w:bookmarkStart w:id="2" w:name="page3"/>
    <w:bookmarkEnd w:id="2"/>
    <w:p>
      <w:pPr>
        <w:spacing w:after="0"/>
        <w:rPr>
          <w:sz w:val="20"/>
          <w:szCs w:val="20"/>
          <w:color w:val="auto"/>
        </w:rPr>
      </w:pPr>
      <w:r>
        <w:rPr>
          <w:rFonts w:ascii="Arial" w:cs="Arial" w:eastAsia="Arial" w:hAnsi="Arial"/>
          <w:sz w:val="27"/>
          <w:szCs w:val="27"/>
          <w:b w:val="1"/>
          <w:bCs w:val="1"/>
          <w:color w:val="0076A8"/>
        </w:rPr>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154D6F"/>
        </w:rPr>
        <w:t>THIS IS NOT A VOTABLE BALLOT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154D6F"/>
        </w:rPr>
        <w:t>This is an overview of the proposals being presented at the</w:t>
      </w:r>
    </w:p>
    <w:p>
      <w:pPr>
        <w:spacing w:after="0"/>
        <w:rPr>
          <w:sz w:val="20"/>
          <w:szCs w:val="20"/>
          <w:color w:val="auto"/>
        </w:rPr>
      </w:pPr>
      <w:r>
        <w:rPr>
          <w:rFonts w:ascii="Arial" w:cs="Arial" w:eastAsia="Arial" w:hAnsi="Arial"/>
          <w:sz w:val="17"/>
          <w:szCs w:val="17"/>
          <w:color w:val="154D6F"/>
        </w:rPr>
        <w:t>upcoming shareholder meeting. Please follow the instructions 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154D6F"/>
        </w:rPr>
        <w:t>the reverse side to vote on these important matters.</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154D6F"/>
        </w:rPr>
        <w:t>Voting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154D6F"/>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-6407785</wp:posOffset>
            </wp:positionH>
            <wp:positionV relativeFrom="paragraph">
              <wp:posOffset>-104775</wp:posOffset>
            </wp:positionV>
            <wp:extent cx="7132320" cy="5709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154D6F"/>
        </w:rPr>
        <w:t>Recommends</w:t>
      </w:r>
    </w:p>
    <w:p>
      <w:pPr>
        <w:spacing w:after="0" w:line="56" w:lineRule="exact"/>
        <w:rPr>
          <w:sz w:val="20"/>
          <w:szCs w:val="20"/>
          <w:color w:val="auto"/>
        </w:rPr>
      </w:pPr>
    </w:p>
    <w:p>
      <w:pPr>
        <w:sectPr>
          <w:pgSz w:w="11900" w:h="16838" w:orient="portrait"/>
          <w:cols w:equalWidth="0" w:num="2">
            <w:col w:w="9380" w:space="720"/>
            <w:col w:w="1140"/>
          </w:cols>
          <w:pgMar w:left="320" w:top="388" w:right="339" w:bottom="1440" w:gutter="0" w:footer="0" w:header="0"/>
          <w:type w:val="continuous"/>
        </w:sectPr>
      </w:pPr>
    </w:p>
    <w:p>
      <w:pPr>
        <w:ind w:left="460" w:hanging="398"/>
        <w:spacing w:after="0"/>
        <w:tabs>
          <w:tab w:leader="none" w:pos="460" w:val="left"/>
        </w:tabs>
        <w:numPr>
          <w:ilvl w:val="0"/>
          <w:numId w:val="5"/>
        </w:numPr>
        <w:rPr>
          <w:rFonts w:ascii="Arial" w:cs="Arial" w:eastAsia="Arial" w:hAnsi="Arial"/>
          <w:sz w:val="18"/>
          <w:szCs w:val="18"/>
          <w:color w:val="154D6F"/>
        </w:rPr>
      </w:pPr>
      <w:r>
        <w:rPr>
          <w:rFonts w:ascii="Arial" w:cs="Arial" w:eastAsia="Arial" w:hAnsi="Arial"/>
          <w:sz w:val="18"/>
          <w:szCs w:val="18"/>
          <w:color w:val="154D6F"/>
        </w:rPr>
        <w:t>Election of Directors</w:t>
      </w:r>
    </w:p>
    <w:p>
      <w:pPr>
        <w:spacing w:after="0" w:line="81" w:lineRule="exact"/>
        <w:rPr>
          <w:rFonts w:ascii="Arial" w:cs="Arial" w:eastAsia="Arial" w:hAnsi="Arial"/>
          <w:sz w:val="18"/>
          <w:szCs w:val="18"/>
          <w:color w:val="154D6F"/>
        </w:rPr>
      </w:pPr>
    </w:p>
    <w:p>
      <w:pPr>
        <w:ind w:left="460"/>
        <w:spacing w:after="0"/>
        <w:rPr>
          <w:rFonts w:ascii="Arial" w:cs="Arial" w:eastAsia="Arial" w:hAnsi="Arial"/>
          <w:sz w:val="18"/>
          <w:szCs w:val="18"/>
          <w:color w:val="154D6F"/>
        </w:rPr>
      </w:pPr>
      <w:r>
        <w:rPr>
          <w:rFonts w:ascii="Arial" w:cs="Arial" w:eastAsia="Arial" w:hAnsi="Arial"/>
          <w:sz w:val="18"/>
          <w:szCs w:val="18"/>
          <w:b w:val="1"/>
          <w:bCs w:val="1"/>
          <w:color w:val="154D6F"/>
        </w:rPr>
        <w:t>Nominees: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0" w:type="dxa"/>
            <w:vAlign w:val="bottom"/>
          </w:tcPr>
          <w:p>
            <w:pPr>
              <w:ind w:left="60"/>
              <w:spacing w:after="0"/>
              <w:rPr>
                <w:sz w:val="20"/>
                <w:szCs w:val="20"/>
                <w:color w:val="auto"/>
              </w:rPr>
            </w:pPr>
            <w:r>
              <w:rPr>
                <w:rFonts w:ascii="Arial" w:cs="Arial" w:eastAsia="Arial" w:hAnsi="Arial"/>
                <w:sz w:val="18"/>
                <w:szCs w:val="18"/>
                <w:color w:val="154D6F"/>
              </w:rPr>
              <w:t>1a.</w:t>
            </w:r>
          </w:p>
        </w:tc>
        <w:tc>
          <w:tcPr>
            <w:tcW w:w="9760" w:type="dxa"/>
            <w:vAlign w:val="bottom"/>
          </w:tcPr>
          <w:p>
            <w:pPr>
              <w:ind w:left="80"/>
              <w:spacing w:after="0"/>
              <w:rPr>
                <w:sz w:val="20"/>
                <w:szCs w:val="20"/>
                <w:color w:val="auto"/>
              </w:rPr>
            </w:pPr>
            <w:r>
              <w:rPr>
                <w:rFonts w:ascii="Arial" w:cs="Arial" w:eastAsia="Arial" w:hAnsi="Arial"/>
                <w:sz w:val="18"/>
                <w:szCs w:val="18"/>
                <w:color w:val="154D6F"/>
              </w:rPr>
              <w:t>N. Anthony Coles, M.D.</w:t>
            </w:r>
          </w:p>
        </w:tc>
        <w:tc>
          <w:tcPr>
            <w:tcW w:w="1100" w:type="dxa"/>
            <w:vAlign w:val="bottom"/>
          </w:tcPr>
          <w:p>
            <w:pPr>
              <w:ind w:left="200"/>
              <w:spacing w:after="0"/>
              <w:rPr>
                <w:sz w:val="20"/>
                <w:szCs w:val="20"/>
                <w:color w:val="auto"/>
              </w:rPr>
            </w:pPr>
            <w:r>
              <w:rPr>
                <w:rFonts w:ascii="Arial" w:cs="Arial" w:eastAsia="Arial" w:hAnsi="Arial"/>
                <w:sz w:val="18"/>
                <w:szCs w:val="18"/>
                <w:b w:val="1"/>
                <w:bCs w:val="1"/>
                <w:color w:val="154D6F"/>
              </w:rPr>
              <w:t>For</w:t>
            </w:r>
          </w:p>
        </w:tc>
      </w:tr>
      <w:tr>
        <w:trPr>
          <w:trHeight w:val="54"/>
        </w:trPr>
        <w:tc>
          <w:tcPr>
            <w:tcW w:w="380" w:type="dxa"/>
            <w:vAlign w:val="bottom"/>
            <w:tcBorders>
              <w:bottom w:val="single" w:sz="8" w:color="154D6F"/>
            </w:tcBorders>
          </w:tcPr>
          <w:p>
            <w:pPr>
              <w:spacing w:after="0"/>
              <w:rPr>
                <w:sz w:val="4"/>
                <w:szCs w:val="4"/>
                <w:color w:val="auto"/>
              </w:rPr>
            </w:pPr>
          </w:p>
        </w:tc>
        <w:tc>
          <w:tcPr>
            <w:tcW w:w="9760" w:type="dxa"/>
            <w:vAlign w:val="bottom"/>
            <w:tcBorders>
              <w:bottom w:val="single" w:sz="8" w:color="154D6F"/>
            </w:tcBorders>
          </w:tcPr>
          <w:p>
            <w:pPr>
              <w:spacing w:after="0"/>
              <w:rPr>
                <w:sz w:val="4"/>
                <w:szCs w:val="4"/>
                <w:color w:val="auto"/>
              </w:rPr>
            </w:pPr>
          </w:p>
        </w:tc>
        <w:tc>
          <w:tcPr>
            <w:tcW w:w="1100" w:type="dxa"/>
            <w:vAlign w:val="bottom"/>
            <w:tcBorders>
              <w:bottom w:val="single" w:sz="8" w:color="154D6F"/>
            </w:tcBorders>
          </w:tcPr>
          <w:p>
            <w:pPr>
              <w:spacing w:after="0"/>
              <w:rPr>
                <w:sz w:val="4"/>
                <w:szCs w:val="4"/>
                <w:color w:val="auto"/>
              </w:rPr>
            </w:pPr>
          </w:p>
        </w:tc>
      </w:tr>
      <w:tr>
        <w:trPr>
          <w:trHeight w:val="264"/>
        </w:trPr>
        <w:tc>
          <w:tcPr>
            <w:tcW w:w="380" w:type="dxa"/>
            <w:vAlign w:val="bottom"/>
          </w:tcPr>
          <w:p>
            <w:pPr>
              <w:ind w:left="60"/>
              <w:spacing w:after="0"/>
              <w:rPr>
                <w:sz w:val="20"/>
                <w:szCs w:val="20"/>
                <w:color w:val="auto"/>
              </w:rPr>
            </w:pPr>
            <w:r>
              <w:rPr>
                <w:rFonts w:ascii="Arial" w:cs="Arial" w:eastAsia="Arial" w:hAnsi="Arial"/>
                <w:sz w:val="18"/>
                <w:szCs w:val="18"/>
                <w:color w:val="154D6F"/>
              </w:rPr>
              <w:t>1b.</w:t>
            </w:r>
          </w:p>
        </w:tc>
        <w:tc>
          <w:tcPr>
            <w:tcW w:w="9760" w:type="dxa"/>
            <w:vAlign w:val="bottom"/>
          </w:tcPr>
          <w:p>
            <w:pPr>
              <w:ind w:left="80"/>
              <w:spacing w:after="0"/>
              <w:rPr>
                <w:sz w:val="20"/>
                <w:szCs w:val="20"/>
                <w:color w:val="auto"/>
              </w:rPr>
            </w:pPr>
            <w:r>
              <w:rPr>
                <w:rFonts w:ascii="Arial" w:cs="Arial" w:eastAsia="Arial" w:hAnsi="Arial"/>
                <w:sz w:val="18"/>
                <w:szCs w:val="18"/>
                <w:color w:val="154D6F"/>
              </w:rPr>
              <w:t>Arthur F. Ryan</w:t>
            </w:r>
          </w:p>
        </w:tc>
        <w:tc>
          <w:tcPr>
            <w:tcW w:w="1100" w:type="dxa"/>
            <w:vAlign w:val="bottom"/>
          </w:tcPr>
          <w:p>
            <w:pPr>
              <w:ind w:left="200"/>
              <w:spacing w:after="0"/>
              <w:rPr>
                <w:sz w:val="20"/>
                <w:szCs w:val="20"/>
                <w:color w:val="auto"/>
              </w:rPr>
            </w:pPr>
            <w:r>
              <w:rPr>
                <w:rFonts w:ascii="Arial" w:cs="Arial" w:eastAsia="Arial" w:hAnsi="Arial"/>
                <w:sz w:val="18"/>
                <w:szCs w:val="18"/>
                <w:b w:val="1"/>
                <w:bCs w:val="1"/>
                <w:color w:val="154D6F"/>
              </w:rPr>
              <w:t>For</w:t>
            </w:r>
          </w:p>
        </w:tc>
      </w:tr>
      <w:tr>
        <w:trPr>
          <w:trHeight w:val="54"/>
        </w:trPr>
        <w:tc>
          <w:tcPr>
            <w:tcW w:w="380" w:type="dxa"/>
            <w:vAlign w:val="bottom"/>
            <w:tcBorders>
              <w:bottom w:val="single" w:sz="8" w:color="154D6F"/>
            </w:tcBorders>
          </w:tcPr>
          <w:p>
            <w:pPr>
              <w:spacing w:after="0"/>
              <w:rPr>
                <w:sz w:val="4"/>
                <w:szCs w:val="4"/>
                <w:color w:val="auto"/>
              </w:rPr>
            </w:pPr>
          </w:p>
        </w:tc>
        <w:tc>
          <w:tcPr>
            <w:tcW w:w="9760" w:type="dxa"/>
            <w:vAlign w:val="bottom"/>
            <w:tcBorders>
              <w:bottom w:val="single" w:sz="8" w:color="154D6F"/>
            </w:tcBorders>
          </w:tcPr>
          <w:p>
            <w:pPr>
              <w:spacing w:after="0"/>
              <w:rPr>
                <w:sz w:val="4"/>
                <w:szCs w:val="4"/>
                <w:color w:val="auto"/>
              </w:rPr>
            </w:pPr>
          </w:p>
        </w:tc>
        <w:tc>
          <w:tcPr>
            <w:tcW w:w="1100" w:type="dxa"/>
            <w:vAlign w:val="bottom"/>
            <w:tcBorders>
              <w:bottom w:val="single" w:sz="8" w:color="154D6F"/>
            </w:tcBorders>
          </w:tcPr>
          <w:p>
            <w:pPr>
              <w:spacing w:after="0"/>
              <w:rPr>
                <w:sz w:val="4"/>
                <w:szCs w:val="4"/>
                <w:color w:val="auto"/>
              </w:rPr>
            </w:pPr>
          </w:p>
        </w:tc>
      </w:tr>
      <w:tr>
        <w:trPr>
          <w:trHeight w:val="263"/>
        </w:trPr>
        <w:tc>
          <w:tcPr>
            <w:tcW w:w="380" w:type="dxa"/>
            <w:vAlign w:val="bottom"/>
            <w:tcBorders>
              <w:bottom w:val="single" w:sz="8" w:color="154D6F"/>
            </w:tcBorders>
          </w:tcPr>
          <w:p>
            <w:pPr>
              <w:ind w:left="60"/>
              <w:spacing w:after="0"/>
              <w:rPr>
                <w:sz w:val="20"/>
                <w:szCs w:val="20"/>
                <w:color w:val="auto"/>
              </w:rPr>
            </w:pPr>
            <w:r>
              <w:rPr>
                <w:rFonts w:ascii="Arial" w:cs="Arial" w:eastAsia="Arial" w:hAnsi="Arial"/>
                <w:sz w:val="18"/>
                <w:szCs w:val="18"/>
                <w:color w:val="154D6F"/>
              </w:rPr>
              <w:t>1c.</w:t>
            </w:r>
          </w:p>
        </w:tc>
        <w:tc>
          <w:tcPr>
            <w:tcW w:w="9760" w:type="dxa"/>
            <w:vAlign w:val="bottom"/>
            <w:tcBorders>
              <w:bottom w:val="single" w:sz="8" w:color="154D6F"/>
            </w:tcBorders>
          </w:tcPr>
          <w:p>
            <w:pPr>
              <w:ind w:left="80"/>
              <w:spacing w:after="0"/>
              <w:rPr>
                <w:sz w:val="20"/>
                <w:szCs w:val="20"/>
                <w:color w:val="auto"/>
              </w:rPr>
            </w:pPr>
            <w:r>
              <w:rPr>
                <w:rFonts w:ascii="Arial" w:cs="Arial" w:eastAsia="Arial" w:hAnsi="Arial"/>
                <w:sz w:val="18"/>
                <w:szCs w:val="18"/>
                <w:color w:val="154D6F"/>
              </w:rPr>
              <w:t>George L. Sing</w:t>
            </w:r>
          </w:p>
        </w:tc>
        <w:tc>
          <w:tcPr>
            <w:tcW w:w="1100" w:type="dxa"/>
            <w:vAlign w:val="bottom"/>
            <w:tcBorders>
              <w:bottom w:val="single" w:sz="8" w:color="154D6F"/>
            </w:tcBorders>
          </w:tcPr>
          <w:p>
            <w:pPr>
              <w:ind w:left="200"/>
              <w:spacing w:after="0"/>
              <w:rPr>
                <w:sz w:val="20"/>
                <w:szCs w:val="20"/>
                <w:color w:val="auto"/>
              </w:rPr>
            </w:pPr>
            <w:r>
              <w:rPr>
                <w:rFonts w:ascii="Arial" w:cs="Arial" w:eastAsia="Arial" w:hAnsi="Arial"/>
                <w:sz w:val="18"/>
                <w:szCs w:val="18"/>
                <w:b w:val="1"/>
                <w:bCs w:val="1"/>
                <w:color w:val="154D6F"/>
              </w:rPr>
              <w:t>For</w:t>
            </w:r>
          </w:p>
        </w:tc>
      </w:tr>
      <w:tr>
        <w:trPr>
          <w:trHeight w:val="264"/>
        </w:trPr>
        <w:tc>
          <w:tcPr>
            <w:tcW w:w="380" w:type="dxa"/>
            <w:vAlign w:val="bottom"/>
            <w:tcBorders>
              <w:bottom w:val="single" w:sz="8" w:color="154D6F"/>
            </w:tcBorders>
          </w:tcPr>
          <w:p>
            <w:pPr>
              <w:ind w:left="60"/>
              <w:spacing w:after="0"/>
              <w:rPr>
                <w:sz w:val="20"/>
                <w:szCs w:val="20"/>
                <w:color w:val="auto"/>
              </w:rPr>
            </w:pPr>
            <w:r>
              <w:rPr>
                <w:rFonts w:ascii="Arial" w:cs="Arial" w:eastAsia="Arial" w:hAnsi="Arial"/>
                <w:sz w:val="18"/>
                <w:szCs w:val="18"/>
                <w:color w:val="154D6F"/>
              </w:rPr>
              <w:t>1d.</w:t>
            </w:r>
          </w:p>
        </w:tc>
        <w:tc>
          <w:tcPr>
            <w:tcW w:w="9760" w:type="dxa"/>
            <w:vAlign w:val="bottom"/>
            <w:tcBorders>
              <w:bottom w:val="single" w:sz="8" w:color="154D6F"/>
            </w:tcBorders>
          </w:tcPr>
          <w:p>
            <w:pPr>
              <w:ind w:left="80"/>
              <w:spacing w:after="0"/>
              <w:rPr>
                <w:sz w:val="20"/>
                <w:szCs w:val="20"/>
                <w:color w:val="auto"/>
              </w:rPr>
            </w:pPr>
            <w:r>
              <w:rPr>
                <w:rFonts w:ascii="Arial" w:cs="Arial" w:eastAsia="Arial" w:hAnsi="Arial"/>
                <w:sz w:val="18"/>
                <w:szCs w:val="18"/>
                <w:color w:val="154D6F"/>
              </w:rPr>
              <w:t>Marc Tessier-Lavigne, Ph.D.</w:t>
            </w:r>
          </w:p>
        </w:tc>
        <w:tc>
          <w:tcPr>
            <w:tcW w:w="1100" w:type="dxa"/>
            <w:vAlign w:val="bottom"/>
            <w:tcBorders>
              <w:bottom w:val="single" w:sz="8" w:color="154D6F"/>
            </w:tcBorders>
          </w:tcPr>
          <w:p>
            <w:pPr>
              <w:ind w:left="200"/>
              <w:spacing w:after="0"/>
              <w:rPr>
                <w:sz w:val="20"/>
                <w:szCs w:val="20"/>
                <w:color w:val="auto"/>
              </w:rPr>
            </w:pPr>
            <w:r>
              <w:rPr>
                <w:rFonts w:ascii="Arial" w:cs="Arial" w:eastAsia="Arial" w:hAnsi="Arial"/>
                <w:sz w:val="18"/>
                <w:szCs w:val="18"/>
                <w:b w:val="1"/>
                <w:bCs w:val="1"/>
                <w:color w:val="154D6F"/>
              </w:rPr>
              <w:t>For</w:t>
            </w:r>
          </w:p>
        </w:tc>
      </w:tr>
      <w:tr>
        <w:trPr>
          <w:trHeight w:val="249"/>
        </w:trPr>
        <w:tc>
          <w:tcPr>
            <w:tcW w:w="380" w:type="dxa"/>
            <w:vAlign w:val="bottom"/>
          </w:tcPr>
          <w:p>
            <w:pPr>
              <w:ind w:left="60"/>
              <w:spacing w:after="0"/>
              <w:rPr>
                <w:sz w:val="20"/>
                <w:szCs w:val="20"/>
                <w:color w:val="auto"/>
              </w:rPr>
            </w:pPr>
            <w:r>
              <w:rPr>
                <w:rFonts w:ascii="Arial" w:cs="Arial" w:eastAsia="Arial" w:hAnsi="Arial"/>
                <w:sz w:val="18"/>
                <w:szCs w:val="18"/>
                <w:color w:val="154D6F"/>
              </w:rPr>
              <w:t>2.</w:t>
            </w:r>
          </w:p>
        </w:tc>
        <w:tc>
          <w:tcPr>
            <w:tcW w:w="9760" w:type="dxa"/>
            <w:vAlign w:val="bottom"/>
          </w:tcPr>
          <w:p>
            <w:pPr>
              <w:ind w:left="80"/>
              <w:spacing w:after="0"/>
              <w:rPr>
                <w:sz w:val="20"/>
                <w:szCs w:val="20"/>
                <w:color w:val="auto"/>
              </w:rPr>
            </w:pPr>
            <w:r>
              <w:rPr>
                <w:rFonts w:ascii="Arial" w:cs="Arial" w:eastAsia="Arial" w:hAnsi="Arial"/>
                <w:sz w:val="18"/>
                <w:szCs w:val="18"/>
                <w:color w:val="154D6F"/>
              </w:rPr>
              <w:t>Ratification of the appointment of PricewaterhouseCoopers LLP as the Company’s independent registered public</w:t>
            </w:r>
          </w:p>
        </w:tc>
        <w:tc>
          <w:tcPr>
            <w:tcW w:w="1100" w:type="dxa"/>
            <w:vAlign w:val="bottom"/>
          </w:tcPr>
          <w:p>
            <w:pPr>
              <w:ind w:left="200"/>
              <w:spacing w:after="0"/>
              <w:rPr>
                <w:sz w:val="20"/>
                <w:szCs w:val="20"/>
                <w:color w:val="auto"/>
              </w:rPr>
            </w:pPr>
            <w:r>
              <w:rPr>
                <w:rFonts w:ascii="Arial" w:cs="Arial" w:eastAsia="Arial" w:hAnsi="Arial"/>
                <w:sz w:val="18"/>
                <w:szCs w:val="18"/>
                <w:b w:val="1"/>
                <w:bCs w:val="1"/>
                <w:color w:val="154D6F"/>
              </w:rPr>
              <w:t>For</w:t>
            </w:r>
          </w:p>
        </w:tc>
      </w:tr>
      <w:tr>
        <w:trPr>
          <w:trHeight w:val="217"/>
        </w:trPr>
        <w:tc>
          <w:tcPr>
            <w:tcW w:w="380" w:type="dxa"/>
            <w:vAlign w:val="bottom"/>
          </w:tcPr>
          <w:p>
            <w:pPr>
              <w:spacing w:after="0"/>
              <w:rPr>
                <w:sz w:val="18"/>
                <w:szCs w:val="18"/>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154D6F"/>
              </w:rPr>
              <w:t>accounting firm for the fiscal year ending December 31, 2021.</w:t>
            </w:r>
          </w:p>
        </w:tc>
        <w:tc>
          <w:tcPr>
            <w:tcW w:w="1100" w:type="dxa"/>
            <w:vAlign w:val="bottom"/>
          </w:tcPr>
          <w:p>
            <w:pPr>
              <w:spacing w:after="0"/>
              <w:rPr>
                <w:sz w:val="18"/>
                <w:szCs w:val="18"/>
                <w:color w:val="auto"/>
              </w:rPr>
            </w:pPr>
          </w:p>
        </w:tc>
      </w:tr>
    </w:tbl>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154D6F"/>
        </w:rPr>
        <w:t xml:space="preserve">NOTE: </w:t>
      </w:r>
      <w:r>
        <w:rPr>
          <w:rFonts w:ascii="Arial" w:cs="Arial" w:eastAsia="Arial" w:hAnsi="Arial"/>
          <w:sz w:val="18"/>
          <w:szCs w:val="18"/>
          <w:color w:val="154D6F"/>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3920490</wp:posOffset>
            </wp:positionV>
            <wp:extent cx="713232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Prefer to receive an email instead? While voting on www.ProxyVote.com, be sure to click “Sign up for E-delivery”.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D51960-P48765-Z78980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2021-04-23T15:25:28Z</dcterms:created>
  <dcterms:modified xsi:type="dcterms:W3CDTF">2021-04-23T15:25:28Z</dcterms:modified>
</cp:coreProperties>
</file>