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1"/>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512"/>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124460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63"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25"/>
          <w:szCs w:val="25"/>
          <w:b w:val="1"/>
          <w:bCs w:val="1"/>
          <w:color w:val="auto"/>
        </w:rPr>
        <w:t>SCHEDULE TO</w:t>
      </w:r>
    </w:p>
    <w:p>
      <w:pPr>
        <w:spacing w:after="0" w:line="40"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Tender Offer Statement Pursuant to Section 14(d)(1) or 13(e)(1)</w:t>
      </w:r>
    </w:p>
    <w:p>
      <w:pPr>
        <w:spacing w:after="0" w:line="7"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125730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7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25"/>
          <w:szCs w:val="25"/>
          <w:b w:val="1"/>
          <w:bCs w:val="1"/>
          <w:color w:val="auto"/>
        </w:rPr>
        <w:t>CHECKMATE PHARMACEUTICALS, INC.</w:t>
      </w:r>
    </w:p>
    <w:p>
      <w:pPr>
        <w:spacing w:after="0" w:line="40"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194"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25"/>
          <w:szCs w:val="25"/>
          <w:b w:val="1"/>
          <w:bCs w:val="1"/>
          <w:color w:val="auto"/>
        </w:rPr>
        <w:t>SCANDINAVIAN ACQUISITION SUB, INC.</w:t>
      </w:r>
    </w:p>
    <w:p>
      <w:pPr>
        <w:spacing w:after="0" w:line="40"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(Offeror)</w:t>
      </w:r>
    </w:p>
    <w:p>
      <w:pPr>
        <w:spacing w:after="0" w:line="113"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25"/>
          <w:szCs w:val="25"/>
          <w:b w:val="1"/>
          <w:bCs w:val="1"/>
          <w:color w:val="auto"/>
        </w:rPr>
        <w:t>REGENERON PHARMACEUTICALS, INC.</w:t>
      </w:r>
    </w:p>
    <w:p>
      <w:pPr>
        <w:spacing w:after="0" w:line="40"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(Parent of Offeror)</w:t>
      </w:r>
    </w:p>
    <w:p>
      <w:pPr>
        <w:spacing w:after="0" w:line="7"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(Names of Filing Persons)</w:t>
      </w:r>
    </w:p>
    <w:p>
      <w:pPr>
        <w:spacing w:after="0" w:line="122"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122"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162818108</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122"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Joseph J. LaRosa, Esq.</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777 Old Saw Mill River Road</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Tarrytown, New York 10591-6707</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(914) 847-7000</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Person Authorized to Receive Notices and Communications on Behalf of Filing Persons)</w:t>
      </w:r>
    </w:p>
    <w:p>
      <w:pPr>
        <w:spacing w:after="0" w:line="214"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r>
        <w:rPr>
          <w:rFonts w:ascii="Times New Roman" w:cs="Times New Roman" w:eastAsia="Times New Roman" w:hAnsi="Times New Roman"/>
          <w:sz w:val="18"/>
          <w:szCs w:val="18"/>
          <w:color w:val="auto"/>
        </w:rPr>
        <w:t>:</w:t>
      </w:r>
    </w:p>
    <w:p>
      <w:pPr>
        <w:spacing w:after="0" w:line="225"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Andrew R. Brownstein, Esq.</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Victor Goldfeld, Esq.</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John L. Robinson, Esq.</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Wachtell, Lipton, Rosen &amp; Katz</w:t>
      </w:r>
    </w:p>
    <w:p>
      <w:pPr>
        <w:jc w:val="center"/>
        <w:ind w:right="-591"/>
        <w:spacing w:after="0" w:line="192" w:lineRule="auto"/>
        <w:rPr>
          <w:sz w:val="20"/>
          <w:szCs w:val="20"/>
          <w:color w:val="auto"/>
        </w:rPr>
      </w:pPr>
      <w:r>
        <w:rPr>
          <w:rFonts w:ascii="Times New Roman" w:cs="Times New Roman" w:eastAsia="Times New Roman" w:hAnsi="Times New Roman"/>
          <w:sz w:val="18"/>
          <w:szCs w:val="18"/>
          <w:b w:val="1"/>
          <w:bCs w:val="1"/>
          <w:color w:val="auto"/>
        </w:rPr>
        <w:t>51 West 52</w:t>
      </w:r>
      <w:r>
        <w:rPr>
          <w:rFonts w:ascii="Times New Roman" w:cs="Times New Roman" w:eastAsia="Times New Roman" w:hAnsi="Times New Roman"/>
          <w:sz w:val="29"/>
          <w:szCs w:val="29"/>
          <w:b w:val="1"/>
          <w:bCs w:val="1"/>
          <w:color w:val="auto"/>
          <w:vertAlign w:val="superscript"/>
        </w:rPr>
        <w:t>nd</w:t>
      </w:r>
      <w:r>
        <w:rPr>
          <w:rFonts w:ascii="Times New Roman" w:cs="Times New Roman" w:eastAsia="Times New Roman" w:hAnsi="Times New Roman"/>
          <w:sz w:val="18"/>
          <w:szCs w:val="18"/>
          <w:b w:val="1"/>
          <w:bCs w:val="1"/>
          <w:color w:val="auto"/>
        </w:rPr>
        <w:t xml:space="preserve"> Street</w:t>
      </w: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New York, NY 10019</w:t>
      </w:r>
    </w:p>
    <w:p>
      <w:pPr>
        <w:spacing w:after="0" w:line="7"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(212) 403-1000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2674620</wp:posOffset>
            </wp:positionH>
            <wp:positionV relativeFrom="paragraph">
              <wp:posOffset>125730</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76" w:lineRule="exact"/>
        <w:rPr>
          <w:sz w:val="24"/>
          <w:szCs w:val="24"/>
          <w:color w:val="auto"/>
        </w:rPr>
      </w:pPr>
    </w:p>
    <w:p>
      <w:pPr>
        <w:ind w:left="332" w:hanging="332"/>
        <w:spacing w:after="0"/>
        <w:tabs>
          <w:tab w:leader="none" w:pos="33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00" w:lineRule="exact"/>
        <w:rPr>
          <w:sz w:val="24"/>
          <w:szCs w:val="24"/>
          <w:color w:val="auto"/>
        </w:rPr>
      </w:pPr>
    </w:p>
    <w:p>
      <w:pPr>
        <w:spacing w:after="0" w:line="295" w:lineRule="exact"/>
        <w:rPr>
          <w:sz w:val="24"/>
          <w:szCs w:val="24"/>
          <w:color w:val="auto"/>
        </w:rPr>
      </w:pPr>
    </w:p>
    <w:p>
      <w:pPr>
        <w:ind w:left="1292" w:hanging="644"/>
        <w:spacing w:after="0"/>
        <w:tabs>
          <w:tab w:leader="none" w:pos="129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144" w:lineRule="exact"/>
        <w:rPr>
          <w:sz w:val="24"/>
          <w:szCs w:val="24"/>
          <w:color w:val="auto"/>
        </w:rPr>
      </w:pPr>
    </w:p>
    <w:p>
      <w:pPr>
        <w:ind w:left="1292" w:hanging="644"/>
        <w:spacing w:after="0"/>
        <w:tabs>
          <w:tab w:leader="none" w:pos="129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144" w:lineRule="exact"/>
        <w:rPr>
          <w:rFonts w:ascii="MS PGothic" w:cs="MS PGothic" w:eastAsia="MS PGothic" w:hAnsi="MS PGothic"/>
          <w:sz w:val="18"/>
          <w:szCs w:val="18"/>
          <w:color w:val="auto"/>
        </w:rPr>
      </w:pPr>
    </w:p>
    <w:p>
      <w:pPr>
        <w:ind w:left="1292" w:hanging="644"/>
        <w:spacing w:after="0"/>
        <w:tabs>
          <w:tab w:leader="none" w:pos="129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144" w:lineRule="exact"/>
        <w:rPr>
          <w:rFonts w:ascii="MS PGothic" w:cs="MS PGothic" w:eastAsia="MS PGothic" w:hAnsi="MS PGothic"/>
          <w:sz w:val="18"/>
          <w:szCs w:val="18"/>
          <w:color w:val="auto"/>
        </w:rPr>
      </w:pPr>
    </w:p>
    <w:p>
      <w:pPr>
        <w:ind w:left="1292" w:hanging="644"/>
        <w:spacing w:after="0"/>
        <w:tabs>
          <w:tab w:leader="none" w:pos="129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left="1292" w:hanging="644"/>
        <w:spacing w:after="0"/>
        <w:tabs>
          <w:tab w:leader="none" w:pos="1292"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144" w:lineRule="exact"/>
        <w:rPr>
          <w:rFonts w:ascii="MS PGothic" w:cs="MS PGothic" w:eastAsia="MS PGothic" w:hAnsi="MS PGothic"/>
          <w:sz w:val="18"/>
          <w:szCs w:val="18"/>
          <w:color w:val="auto"/>
        </w:rPr>
      </w:pPr>
    </w:p>
    <w:p>
      <w:pPr>
        <w:ind w:left="1292" w:hanging="644"/>
        <w:spacing w:after="0"/>
        <w:tabs>
          <w:tab w:leader="none" w:pos="1292"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180340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626110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52"/>
          </w:cols>
          <w:pgMar w:left="328" w:top="718" w:right="919" w:bottom="1440" w:gutter="0" w:footer="0" w:header="0"/>
        </w:sectPr>
      </w:pPr>
    </w:p>
    <w:bookmarkStart w:id="1" w:name="page2"/>
    <w:bookmarkEnd w:id="1"/>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This Amendment No. 3 (this “Amendment”) amends and supplements the Tender Offer Statement on Schedule TO filed by Scandinavian Acquisition Sub, Inc., a Delaware corporation (“Purchaser”) and a wholly owned subsidiary of Regeneron Pharmaceuticals, Inc., a New York corporation (“Regeneron”), with the U.S. Securities and Exchange Commission on May 2, 2022 (together with any subsequent amendments and supplements thereto, the “Schedule TO”). The Schedule TO relates to the offer by Purchaser to purchase all of the outstanding shares of common stock, par value $0.0001 per share (“Shares”), of Checkmate Pharmaceuticals, Inc., a Delaware corporation (“Checkmate”), at a price of $10.50 per share, to be paid to the seller in cash, without interest, and subject to reduction for any applicable withholding taxes, upon the terms and subject to the conditions set forth in the offer to purchase, dated May 2, 2022 (the “Offer to Purchase”), a copy of which is attached as Exhibit (a)(1)(A), and in the related letter of transmittal (the “Letter of Transmittal”), a copy of which is attached as Exhibit (a)(1)(B), which, as each may be amended or supplemented from time to time, collectively constitute the “Offer.”</w:t>
      </w:r>
    </w:p>
    <w:p>
      <w:pPr>
        <w:spacing w:after="0" w:line="188"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set forth in this Amendment, the information set forth in the Schedule TO remains unchanged and is incorporated herein by reference to the extent relevant to the items in this Amendment. Capitalized terms used but not defined herein have the meanings ascribed to them in the Schedule 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 through 9 and Item 11</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Items 1 through 9 and 11 of the Schedule TO are hereby amended and supplemented as follows:</w:t>
      </w:r>
    </w:p>
    <w:p>
      <w:pPr>
        <w:spacing w:after="0" w:line="225" w:lineRule="exact"/>
        <w:rPr>
          <w:sz w:val="20"/>
          <w:szCs w:val="20"/>
          <w:color w:val="auto"/>
        </w:rPr>
      </w:pPr>
    </w:p>
    <w:p>
      <w:pPr>
        <w:ind w:right="80" w:firstLine="648"/>
        <w:spacing w:after="0" w:line="289" w:lineRule="auto"/>
        <w:rPr>
          <w:sz w:val="20"/>
          <w:szCs w:val="20"/>
          <w:color w:val="auto"/>
        </w:rPr>
      </w:pPr>
      <w:r>
        <w:rPr>
          <w:rFonts w:ascii="Times New Roman" w:cs="Times New Roman" w:eastAsia="Times New Roman" w:hAnsi="Times New Roman"/>
          <w:sz w:val="17"/>
          <w:szCs w:val="17"/>
          <w:color w:val="auto"/>
        </w:rPr>
        <w:t>At one minute after 11:59 p.m. Eastern Time on May 27, 2022, the Offer expired. Purchaser was advised by Broadridge Corporate Issuer Solutions, Inc., in its capacity as depository for the Offer, that, as of the expiration of the Offer, a total of 18,471,314 Shares were validly tendered and not validly withdrawn in accordance with the terms of the Offer, representing approximately 83.8% of the Shares outstanding as of the expiration of the Offer.</w:t>
      </w:r>
    </w:p>
    <w:p>
      <w:pPr>
        <w:spacing w:after="0" w:line="158"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As of the expiration of the Offer, the number of Shares validly tendered and not validly withdrawn pursuant to the Offer satisfied the Minimum Condition, as defined in the Offer to Purchase, and all other conditions to the Offer were satisfied or waived. Promptly after the expiration of the Offer, Purchaser accepted for payment all of the Shares validly tendered and not validly withdrawn pursuant to the Offer.</w:t>
      </w:r>
    </w:p>
    <w:p>
      <w:pPr>
        <w:spacing w:after="0" w:line="1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the final step of the acquisition process, Regeneron completed its acquisition of Checkmate by consummating the Merger without the affirmative vote of Checkmate’s stockholders, pursuant to Section 251(h) of the DGCL. At the Effective Time, Purchaser was merged with and into Checkmate, the separate existence of Purchaser ceased, and Checkmate continued as the Surviving Corporation and a wholly owned subsidiary of Regeneron. Each Share outstanding immediately prior to the Effective Time (other than the Excluded Shares and the Converted Shares (each, as defined in the Merger Agreement)) was canceled and converted into the right to receive $10.50 in cash without interest thereon and subject to reduction for any applicable withholding taxes.</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Merger, the Shares will be delisted and will cease to trade on the Nasdaq Global Market. Regeneron and Purchaser intend to take steps to cause the termination of the registration of the Shares under the Exchange Act and to suspend all of Checkmate’s reporting obligations under the Exchange Act as promptly as practicable.</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May 31, 2022, Regeneron issued a press release announcing the expiration and results of the Offer. The full text of the press release is attached as Exhibit (a)(5)(A) hereto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Summary Term Sheet.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1001</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the Offer to Purchase under the caption SUMMARY TERM SHEET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Subject Company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1002</w:t>
      </w:r>
    </w:p>
    <w:p>
      <w:pPr>
        <w:spacing w:after="0" w:line="227" w:lineRule="exact"/>
        <w:rPr>
          <w:sz w:val="20"/>
          <w:szCs w:val="20"/>
          <w:color w:val="auto"/>
        </w:rPr>
      </w:pPr>
    </w:p>
    <w:p>
      <w:pPr>
        <w:ind w:left="1400" w:hanging="744"/>
        <w:spacing w:after="0"/>
        <w:tabs>
          <w:tab w:leader="none" w:pos="1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Name and Address. </w:t>
      </w:r>
      <w:r>
        <w:rPr>
          <w:rFonts w:ascii="Times New Roman" w:cs="Times New Roman" w:eastAsia="Times New Roman" w:hAnsi="Times New Roman"/>
          <w:sz w:val="18"/>
          <w:szCs w:val="18"/>
          <w:color w:val="auto"/>
        </w:rPr>
        <w:t>The name, address, and telephone number of the subject company’s principal executive offices are as follows: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Checkmate Pharmaceuticals,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245 Main Street, 2nd Floor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(617) 682-3625</w:t>
      </w:r>
    </w:p>
    <w:p>
      <w:pPr>
        <w:spacing w:after="0" w:line="205"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(b)-(c)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Trading Market and Price</w:t>
      </w:r>
      <w:r>
        <w:rPr>
          <w:rFonts w:ascii="Times New Roman" w:cs="Times New Roman" w:eastAsia="Times New Roman" w:hAnsi="Times New Roman"/>
          <w:sz w:val="18"/>
          <w:szCs w:val="18"/>
          <w:color w:val="auto"/>
        </w:rPr>
        <w:t>. The information set forth in the Offer to Purchase under the following captions is incorporated herein by reference: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INTRODUCTION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6 (“Price Range of Shares; Dividends”)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Identity and Background of Filing Person.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1003</w:t>
      </w:r>
    </w:p>
    <w:p>
      <w:pPr>
        <w:spacing w:after="0" w:line="227"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(a)-(c) </w:t>
      </w:r>
      <w:r>
        <w:rPr>
          <w:rFonts w:ascii="Times New Roman" w:cs="Times New Roman" w:eastAsia="Times New Roman" w:hAnsi="Times New Roman"/>
          <w:sz w:val="18"/>
          <w:szCs w:val="18"/>
          <w:i w:val="1"/>
          <w:iCs w:val="1"/>
          <w:color w:val="auto"/>
        </w:rPr>
        <w:t>Name and Address; Business and Background of Entities; and Business and Background of Natural Persons</w:t>
      </w:r>
      <w:r>
        <w:rPr>
          <w:rFonts w:ascii="Times New Roman" w:cs="Times New Roman" w:eastAsia="Times New Roman" w:hAnsi="Times New Roman"/>
          <w:sz w:val="18"/>
          <w:szCs w:val="18"/>
          <w:color w:val="auto"/>
        </w:rPr>
        <w:t>. The information set forth in the Offer to Purchase under the following captions is incorporated herein by reference: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8 (“Certain Information Concerning Regeneron and Purchaser”)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SCHEDULE I — Information Relating to Regeneron and Purchaser</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Terms of the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1004</w:t>
      </w:r>
    </w:p>
    <w:p>
      <w:pPr>
        <w:spacing w:after="0" w:line="227" w:lineRule="exact"/>
        <w:rPr>
          <w:sz w:val="20"/>
          <w:szCs w:val="20"/>
          <w:color w:val="auto"/>
        </w:rPr>
      </w:pPr>
    </w:p>
    <w:p>
      <w:pPr>
        <w:ind w:left="1400" w:hanging="74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 Terms. </w:t>
      </w:r>
      <w:r>
        <w:rPr>
          <w:rFonts w:ascii="Times New Roman" w:cs="Times New Roman" w:eastAsia="Times New Roman" w:hAnsi="Times New Roman"/>
          <w:sz w:val="18"/>
          <w:szCs w:val="18"/>
          <w:color w:val="auto"/>
        </w:rPr>
        <w:t>The information set forth in the Offer to Purchase is incorporated herein by reference.</w:t>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Past Contacts, Transactions, Negotiations and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1005</w:t>
      </w:r>
    </w:p>
    <w:p>
      <w:pPr>
        <w:spacing w:after="0" w:line="227" w:lineRule="exact"/>
        <w:rPr>
          <w:sz w:val="20"/>
          <w:szCs w:val="20"/>
          <w:color w:val="auto"/>
        </w:rPr>
      </w:pPr>
    </w:p>
    <w:p>
      <w:pPr>
        <w:ind w:left="1400" w:hanging="74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The information set forth in the Offer to Purchase under the following captions is incorporated herein by reference:</w:t>
      </w:r>
    </w:p>
    <w:p>
      <w:pPr>
        <w:spacing w:after="0" w:line="2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 Section 10 (“Background of the Offer; Past Contacts or Negotiations with Checkmate”)</w:t>
      </w:r>
    </w:p>
    <w:p>
      <w:pPr>
        <w:spacing w:after="0" w:line="223"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Significant Corporate Events</w:t>
      </w:r>
      <w:r>
        <w:rPr>
          <w:rFonts w:ascii="Times New Roman" w:cs="Times New Roman" w:eastAsia="Times New Roman" w:hAnsi="Times New Roman"/>
          <w:sz w:val="18"/>
          <w:szCs w:val="18"/>
          <w:color w:val="auto"/>
        </w:rPr>
        <w:t>. The information set forth in the Offer to Purchase under the following captions is incorporated herein by</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3" w:name="page4"/>
    <w:bookmarkEnd w:id="3"/>
    <w:p>
      <w:pPr>
        <w:ind w:left="660"/>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10 (“Background of the Offer; Past Contacts or Negotiations with Checkmate”)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—Section 11 (“The Merger Agreement; Other Agreements”)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12 (“Purpose of the Offer; Plans for Checkmate”)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Purposes of the Transaction and Plans or Proposals.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1006</w:t>
      </w:r>
    </w:p>
    <w:p>
      <w:pPr>
        <w:spacing w:after="0" w:line="227" w:lineRule="exact"/>
        <w:rPr>
          <w:sz w:val="20"/>
          <w:szCs w:val="20"/>
          <w:color w:val="auto"/>
        </w:rPr>
      </w:pPr>
    </w:p>
    <w:p>
      <w:pPr>
        <w:ind w:left="660" w:right="540" w:hanging="4"/>
        <w:spacing w:after="0" w:line="500" w:lineRule="auto"/>
        <w:tabs>
          <w:tab w:leader="none" w:pos="139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Purposes</w:t>
      </w:r>
      <w:r>
        <w:rPr>
          <w:rFonts w:ascii="Times New Roman" w:cs="Times New Roman" w:eastAsia="Times New Roman" w:hAnsi="Times New Roman"/>
          <w:sz w:val="18"/>
          <w:szCs w:val="18"/>
          <w:color w:val="auto"/>
        </w:rPr>
        <w:t>. The information set forth in the Offer to Purchase under the following captions is incorporated herein by reference: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TENDER OFFER — Section 12 (“Purpose of the Offer; Plans for Checkmate”)</w:t>
      </w:r>
    </w:p>
    <w:p>
      <w:pPr>
        <w:spacing w:after="0" w:line="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The information set forth in the Offer to Purchase under the following captions is incorporated herein by reference:</w:t>
      </w:r>
    </w:p>
    <w:p>
      <w:pPr>
        <w:spacing w:after="0" w:line="2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 Section 9 (“Source and Amount of Funds”)</w:t>
      </w:r>
    </w:p>
    <w:p>
      <w:pPr>
        <w:spacing w:after="0" w:line="225" w:lineRule="exact"/>
        <w:rPr>
          <w:rFonts w:ascii="Times New Roman" w:cs="Times New Roman" w:eastAsia="Times New Roman" w:hAnsi="Times New Roman"/>
          <w:sz w:val="18"/>
          <w:szCs w:val="18"/>
          <w:color w:val="auto"/>
        </w:rPr>
      </w:pPr>
    </w:p>
    <w:p>
      <w:pPr>
        <w:ind w:left="660" w:right="204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 Section 10 (“Background of the Offer; Past Contacts or Negotiations with Checkmate”) THE TENDER OFFER — Section 11 (“The Merger Agreement; Other Agreements”)</w:t>
      </w:r>
    </w:p>
    <w:p>
      <w:pPr>
        <w:spacing w:after="0" w:line="1" w:lineRule="exact"/>
        <w:rPr>
          <w:rFonts w:ascii="Times New Roman" w:cs="Times New Roman" w:eastAsia="Times New Roman" w:hAnsi="Times New Roman"/>
          <w:sz w:val="18"/>
          <w:szCs w:val="18"/>
          <w:color w:val="auto"/>
        </w:rPr>
      </w:pPr>
    </w:p>
    <w:p>
      <w:pPr>
        <w:ind w:left="660" w:right="420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 Section 12 (“Purpose of the Offer; Plans for Checkmate”) THE TENDER OFFER — Section 13 (“Certain Effects of the Offer”)</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 Section 14 (“Dividends and Distributions”)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Source and Amount of Funds or Other Consideration.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1007</w:t>
      </w:r>
    </w:p>
    <w:p>
      <w:pPr>
        <w:spacing w:after="0" w:line="227" w:lineRule="exact"/>
        <w:rPr>
          <w:sz w:val="20"/>
          <w:szCs w:val="20"/>
          <w:color w:val="auto"/>
        </w:rPr>
      </w:pPr>
    </w:p>
    <w:p>
      <w:pPr>
        <w:ind w:left="1400" w:hanging="744"/>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Source of Funds</w:t>
      </w:r>
      <w:r>
        <w:rPr>
          <w:rFonts w:ascii="Times New Roman" w:cs="Times New Roman" w:eastAsia="Times New Roman" w:hAnsi="Times New Roman"/>
          <w:sz w:val="18"/>
          <w:szCs w:val="18"/>
          <w:color w:val="auto"/>
        </w:rPr>
        <w:t>. The information set forth in the Offer to Purchase under the following captions is incorporated herein by reference:</w:t>
      </w:r>
    </w:p>
    <w:p>
      <w:pPr>
        <w:spacing w:after="0" w:line="2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TERM SHEET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 Section 9 (“Source and Amount of Funds”)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 Section 10 (“Background of the Offer; Past Contacts or Negotiations with Checkmate”)</w:t>
      </w:r>
    </w:p>
    <w:p>
      <w:pPr>
        <w:spacing w:after="0" w:line="223"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w:t>
      </w:r>
      <w:r>
        <w:rPr>
          <w:rFonts w:ascii="Times New Roman" w:cs="Times New Roman" w:eastAsia="Times New Roman" w:hAnsi="Times New Roman"/>
          <w:sz w:val="18"/>
          <w:szCs w:val="18"/>
          <w:color w:val="auto"/>
        </w:rPr>
        <w:t>. The Offer is not subject to a financing condition.</w:t>
      </w:r>
    </w:p>
    <w:p>
      <w:pPr>
        <w:spacing w:after="0" w:line="225" w:lineRule="exact"/>
        <w:rPr>
          <w:sz w:val="20"/>
          <w:szCs w:val="20"/>
          <w:color w:val="auto"/>
        </w:rPr>
      </w:pPr>
    </w:p>
    <w:p>
      <w:pPr>
        <w:ind w:left="5520" w:hanging="4864"/>
        <w:spacing w:after="0" w:line="785" w:lineRule="auto"/>
        <w:tabs>
          <w:tab w:leader="none" w:pos="139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Borrowed Funds</w:t>
      </w:r>
      <w:r>
        <w:rPr>
          <w:rFonts w:ascii="Times New Roman" w:cs="Times New Roman" w:eastAsia="Times New Roman" w:hAnsi="Times New Roman"/>
          <w:sz w:val="18"/>
          <w:szCs w:val="18"/>
          <w:color w:val="auto"/>
        </w:rPr>
        <w:t>. The information set forth in the Offer to Purchase under the following captions is incorporated herein by reference: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9 (“Source and Amount of Funds”)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10 (“Background of the Offer; Past Contacts or Negotiations with Checkmate”)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11 (“The Merger Agreement; Other Agreements”)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15 (“Conditions of the Offer”)</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Interest in Securities of the Subject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1008</w:t>
      </w:r>
    </w:p>
    <w:p>
      <w:pPr>
        <w:spacing w:after="0" w:line="227" w:lineRule="exact"/>
        <w:rPr>
          <w:sz w:val="20"/>
          <w:szCs w:val="20"/>
          <w:color w:val="auto"/>
        </w:rPr>
      </w:pPr>
    </w:p>
    <w:p>
      <w:pPr>
        <w:ind w:left="1400" w:hanging="744"/>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Ownership</w:t>
      </w:r>
      <w:r>
        <w:rPr>
          <w:rFonts w:ascii="Times New Roman" w:cs="Times New Roman" w:eastAsia="Times New Roman" w:hAnsi="Times New Roman"/>
          <w:sz w:val="18"/>
          <w:szCs w:val="18"/>
          <w:color w:val="auto"/>
        </w:rPr>
        <w:t>. The information set forth in the Offer to Purchase under the following captions is incorporated herein by</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400" w:hanging="74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Transactions</w:t>
      </w:r>
      <w:r>
        <w:rPr>
          <w:rFonts w:ascii="Times New Roman" w:cs="Times New Roman" w:eastAsia="Times New Roman" w:hAnsi="Times New Roman"/>
          <w:sz w:val="18"/>
          <w:szCs w:val="18"/>
          <w:color w:val="auto"/>
        </w:rPr>
        <w:t>. None.</w:t>
      </w:r>
    </w:p>
    <w:p>
      <w:pPr>
        <w:spacing w:after="0" w:line="2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Persons/Assets Retained, Employed, Compensated or Used.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1009</w:t>
      </w:r>
    </w:p>
    <w:p>
      <w:pPr>
        <w:spacing w:after="0" w:line="227" w:lineRule="exact"/>
        <w:rPr>
          <w:sz w:val="20"/>
          <w:szCs w:val="20"/>
          <w:color w:val="auto"/>
        </w:rPr>
      </w:pPr>
    </w:p>
    <w:p>
      <w:pPr>
        <w:ind w:firstLine="656"/>
        <w:spacing w:after="0" w:line="284" w:lineRule="auto"/>
        <w:tabs>
          <w:tab w:leader="none" w:pos="13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Solicitations or Recommendations</w:t>
      </w:r>
      <w:r>
        <w:rPr>
          <w:rFonts w:ascii="Times New Roman" w:cs="Times New Roman" w:eastAsia="Times New Roman" w:hAnsi="Times New Roman"/>
          <w:sz w:val="18"/>
          <w:szCs w:val="18"/>
          <w:color w:val="auto"/>
        </w:rPr>
        <w:t>. The information set forth in the Offer to Purchase under the following captions is incorporated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 by reference: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3 (“Procedures for Accepting the Offer and Tendering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10 (“Background of the Offer; Past Contacts or Negotiations with Checkmate”)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18 (“Fees and Expenses”)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1010</w:t>
      </w:r>
    </w:p>
    <w:p>
      <w:pPr>
        <w:spacing w:after="0" w:line="227" w:lineRule="exact"/>
        <w:rPr>
          <w:sz w:val="20"/>
          <w:szCs w:val="20"/>
          <w:color w:val="auto"/>
        </w:rPr>
      </w:pPr>
    </w:p>
    <w:p>
      <w:pPr>
        <w:ind w:left="1400" w:hanging="744"/>
        <w:spacing w:after="0"/>
        <w:tabs>
          <w:tab w:leader="none" w:pos="1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Not Applicable.</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 Forma Information</w:t>
      </w:r>
      <w:r>
        <w:rPr>
          <w:rFonts w:ascii="Times New Roman" w:cs="Times New Roman" w:eastAsia="Times New Roman" w:hAnsi="Times New Roman"/>
          <w:sz w:val="18"/>
          <w:szCs w:val="18"/>
          <w:color w:val="auto"/>
        </w:rPr>
        <w:t>. Not Applicable.</w:t>
      </w:r>
    </w:p>
    <w:p>
      <w:pPr>
        <w:spacing w:after="0" w:line="200" w:lineRule="exact"/>
        <w:rPr>
          <w:sz w:val="20"/>
          <w:szCs w:val="20"/>
          <w:color w:val="auto"/>
        </w:rPr>
      </w:pPr>
    </w:p>
    <w:p>
      <w:pPr>
        <w:spacing w:after="0" w:line="24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60"/>
          </w:cols>
          <w:pgMar w:left="320" w:top="904" w:right="819" w:bottom="1440" w:gutter="0" w:footer="0" w:header="0"/>
        </w:sectPr>
      </w:pPr>
    </w:p>
    <w:bookmarkStart w:id="5" w:name="page6"/>
    <w:bookmarkEnd w:id="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1011</w:t>
      </w:r>
    </w:p>
    <w:p>
      <w:pPr>
        <w:spacing w:after="0" w:line="227" w:lineRule="exact"/>
        <w:rPr>
          <w:sz w:val="20"/>
          <w:szCs w:val="20"/>
          <w:color w:val="auto"/>
        </w:rPr>
      </w:pPr>
    </w:p>
    <w:p>
      <w:pPr>
        <w:ind w:firstLine="656"/>
        <w:spacing w:after="0" w:line="284" w:lineRule="auto"/>
        <w:tabs>
          <w:tab w:leader="none" w:pos="138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Regulatory Requirements and Legal Proceedings</w:t>
      </w:r>
      <w:r>
        <w:rPr>
          <w:rFonts w:ascii="Times New Roman" w:cs="Times New Roman" w:eastAsia="Times New Roman" w:hAnsi="Times New Roman"/>
          <w:sz w:val="18"/>
          <w:szCs w:val="18"/>
          <w:color w:val="auto"/>
        </w:rPr>
        <w:t>. The information set forth in the Offer to Purchase under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captions is incorporated herein by reference: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SUMMARY TERM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10 (“Background of the Offer; Past Contacts or Negotiations with Checkmate”)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11 (“The Merger Agreement; Other Agreements”)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12 (“Purpose of the Offer; Plans for Checkmate”)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13 (“Certain Effects of the Offer”)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 Section 16 (“Certain Legal Matters; Regulatory Approvals”)</w:t>
      </w:r>
    </w:p>
    <w:p>
      <w:pPr>
        <w:spacing w:after="0" w:line="223" w:lineRule="exact"/>
        <w:rPr>
          <w:sz w:val="20"/>
          <w:szCs w:val="20"/>
          <w:color w:val="auto"/>
        </w:rPr>
      </w:pPr>
    </w:p>
    <w:p>
      <w:pPr>
        <w:ind w:left="1400" w:hanging="744"/>
        <w:spacing w:after="0"/>
        <w:tabs>
          <w:tab w:leader="none" w:pos="14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Other Material Information</w:t>
      </w:r>
      <w:r>
        <w:rPr>
          <w:rFonts w:ascii="Times New Roman" w:cs="Times New Roman" w:eastAsia="Times New Roman" w:hAnsi="Times New Roman"/>
          <w:sz w:val="17"/>
          <w:szCs w:val="17"/>
          <w:color w:val="auto"/>
        </w:rPr>
        <w:t>. The information set forth in the Offer to Purchase and the Letter of Transmittal is incorporated herein by</w:t>
      </w:r>
    </w:p>
    <w:p>
      <w:pPr>
        <w:spacing w:after="0" w:line="4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reference.</w:t>
      </w: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320" w:top="900" w:right="579" w:bottom="1440" w:gutter="0" w:footer="0" w:header="0"/>
        </w:sectPr>
      </w:pPr>
    </w:p>
    <w:bookmarkStart w:id="6" w:name="page7"/>
    <w:bookmarkEnd w:id="6"/>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12 of the Schedule TO is hereby amended and supplemented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(a)(5)(A) Press Release dated May 31,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M-A Item 1016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40" w:type="dxa"/>
            <w:vAlign w:val="bottom"/>
            <w:gridSpan w:val="14"/>
          </w:tcPr>
          <w:p>
            <w:pPr>
              <w:ind w:left="18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780" w:type="dxa"/>
            <w:vAlign w:val="bottom"/>
            <w:tcBorders>
              <w:top w:val="single" w:sz="8" w:color="auto"/>
              <w:bottom w:val="single" w:sz="8" w:color="0000EE"/>
            </w:tcBorders>
            <w:gridSpan w:val="4"/>
          </w:tcPr>
          <w:p>
            <w:pPr>
              <w:spacing w:after="0" w:line="17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(a)(1)(A)*</w:t>
              </w:r>
            </w:hyperlink>
          </w:p>
        </w:tc>
        <w:tc>
          <w:tcPr>
            <w:tcW w:w="360" w:type="dxa"/>
            <w:vAlign w:val="bottom"/>
            <w:tcBorders>
              <w:top w:val="single" w:sz="8" w:color="auto"/>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tcBorders>
              <w:top w:val="single" w:sz="8" w:color="auto"/>
              <w:bottom w:val="single" w:sz="8" w:color="0000EE"/>
            </w:tcBorders>
            <w:gridSpan w:val="4"/>
          </w:tcPr>
          <w:p>
            <w:pPr>
              <w:ind w:left="20"/>
              <w:spacing w:after="0" w:line="176" w:lineRule="exact"/>
              <w:rPr>
                <w:rFonts w:ascii="Times New Roman" w:cs="Times New Roman" w:eastAsia="Times New Roman" w:hAnsi="Times New Roman"/>
                <w:sz w:val="18"/>
                <w:szCs w:val="18"/>
                <w:color w:val="0000EE"/>
                <w:w w:val="98"/>
              </w:rPr>
            </w:pPr>
            <w:hyperlink r:id="rId21">
              <w:r>
                <w:rPr>
                  <w:rFonts w:ascii="Times New Roman" w:cs="Times New Roman" w:eastAsia="Times New Roman" w:hAnsi="Times New Roman"/>
                  <w:sz w:val="18"/>
                  <w:szCs w:val="18"/>
                  <w:color w:val="0000EE"/>
                  <w:w w:val="98"/>
                </w:rPr>
                <w:t>Offer to Purchase, dated May 2, 2022.</w:t>
              </w:r>
            </w:hyperlink>
          </w:p>
        </w:tc>
        <w:tc>
          <w:tcPr>
            <w:tcW w:w="7240" w:type="dxa"/>
            <w:vAlign w:val="bottom"/>
            <w:tcBorders>
              <w:top w:val="single" w:sz="8" w:color="auto"/>
            </w:tcBorders>
            <w:gridSpan w:val="14"/>
          </w:tcPr>
          <w:p>
            <w:pPr>
              <w:spacing w:after="0"/>
              <w:rPr>
                <w:sz w:val="15"/>
                <w:szCs w:val="15"/>
                <w:color w:val="auto"/>
              </w:rPr>
            </w:pPr>
          </w:p>
        </w:tc>
      </w:tr>
      <w:tr>
        <w:trPr>
          <w:trHeight w:val="196"/>
        </w:trPr>
        <w:tc>
          <w:tcPr>
            <w:tcW w:w="760" w:type="dxa"/>
            <w:vAlign w:val="bottom"/>
            <w:gridSpan w:val="3"/>
          </w:tcPr>
          <w:p>
            <w:pPr>
              <w:spacing w:after="0" w:line="196" w:lineRule="exact"/>
              <w:rPr>
                <w:rFonts w:ascii="Times New Roman" w:cs="Times New Roman" w:eastAsia="Times New Roman" w:hAnsi="Times New Roman"/>
                <w:sz w:val="18"/>
                <w:szCs w:val="18"/>
                <w:color w:val="0000EE"/>
                <w:w w:val="97"/>
              </w:rPr>
            </w:pPr>
            <w:hyperlink r:id="rId22">
              <w:r>
                <w:rPr>
                  <w:rFonts w:ascii="Times New Roman" w:cs="Times New Roman" w:eastAsia="Times New Roman" w:hAnsi="Times New Roman"/>
                  <w:sz w:val="18"/>
                  <w:szCs w:val="18"/>
                  <w:color w:val="0000EE"/>
                  <w:w w:val="97"/>
                </w:rPr>
                <w:t>(a)(1)(B)*</w:t>
              </w:r>
            </w:hyperlink>
          </w:p>
        </w:tc>
        <w:tc>
          <w:tcPr>
            <w:tcW w:w="480" w:type="dxa"/>
            <w:vAlign w:val="bottom"/>
            <w:gridSpan w:val="4"/>
          </w:tcPr>
          <w:p>
            <w:pPr>
              <w:spacing w:after="0"/>
              <w:rPr>
                <w:sz w:val="17"/>
                <w:szCs w:val="17"/>
                <w:color w:val="auto"/>
              </w:rPr>
            </w:pPr>
          </w:p>
        </w:tc>
        <w:tc>
          <w:tcPr>
            <w:tcW w:w="10000" w:type="dxa"/>
            <w:vAlign w:val="bottom"/>
            <w:gridSpan w:val="18"/>
          </w:tcPr>
          <w:p>
            <w:pPr>
              <w:ind w:left="20"/>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Letter of Transmittal.</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Times New Roman" w:cs="Times New Roman" w:eastAsia="Times New Roman" w:hAnsi="Times New Roman"/>
                <w:sz w:val="18"/>
                <w:szCs w:val="18"/>
                <w:color w:val="0000EE"/>
                <w:w w:val="97"/>
              </w:rPr>
            </w:pPr>
            <w:hyperlink r:id="rId23">
              <w:r>
                <w:rPr>
                  <w:rFonts w:ascii="Times New Roman" w:cs="Times New Roman" w:eastAsia="Times New Roman" w:hAnsi="Times New Roman"/>
                  <w:sz w:val="18"/>
                  <w:szCs w:val="18"/>
                  <w:color w:val="0000EE"/>
                  <w:w w:val="97"/>
                </w:rPr>
                <w:t>(a)(1)(C)*</w:t>
              </w:r>
            </w:hyperlink>
          </w:p>
        </w:tc>
        <w:tc>
          <w:tcPr>
            <w:tcW w:w="480" w:type="dxa"/>
            <w:vAlign w:val="bottom"/>
            <w:gridSpan w:val="4"/>
          </w:tcPr>
          <w:p>
            <w:pPr>
              <w:spacing w:after="0"/>
              <w:rPr>
                <w:sz w:val="17"/>
                <w:szCs w:val="17"/>
                <w:color w:val="auto"/>
              </w:rPr>
            </w:pPr>
          </w:p>
        </w:tc>
        <w:tc>
          <w:tcPr>
            <w:tcW w:w="10000" w:type="dxa"/>
            <w:vAlign w:val="bottom"/>
            <w:gridSpan w:val="18"/>
          </w:tcPr>
          <w:p>
            <w:pPr>
              <w:ind w:left="20"/>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Letter to Brokers, Dealers, Commercial Banks, Trust Companies and Other Nominees.</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r:id="rId24">
              <w:r>
                <w:rPr>
                  <w:rFonts w:ascii="Times New Roman" w:cs="Times New Roman" w:eastAsia="Times New Roman" w:hAnsi="Times New Roman"/>
                  <w:sz w:val="18"/>
                  <w:szCs w:val="18"/>
                  <w:color w:val="0000EE"/>
                  <w:w w:val="95"/>
                </w:rPr>
                <w:t>(a)(1)(D)*</w:t>
              </w:r>
            </w:hyperlink>
          </w:p>
        </w:tc>
        <w:tc>
          <w:tcPr>
            <w:tcW w:w="20" w:type="dxa"/>
            <w:vAlign w:val="bottom"/>
            <w:tcBorders>
              <w:bottom w:val="single" w:sz="8" w:color="0000EE"/>
            </w:tcBorders>
          </w:tcPr>
          <w:p>
            <w:pPr>
              <w:spacing w:after="0"/>
              <w:rPr>
                <w:sz w:val="17"/>
                <w:szCs w:val="17"/>
                <w:color w:val="auto"/>
              </w:rPr>
            </w:pPr>
          </w:p>
        </w:tc>
        <w:tc>
          <w:tcPr>
            <w:tcW w:w="460" w:type="dxa"/>
            <w:vAlign w:val="bottom"/>
            <w:gridSpan w:val="3"/>
          </w:tcPr>
          <w:p>
            <w:pPr>
              <w:spacing w:after="0"/>
              <w:rPr>
                <w:sz w:val="17"/>
                <w:szCs w:val="17"/>
                <w:color w:val="auto"/>
              </w:rPr>
            </w:pPr>
          </w:p>
        </w:tc>
        <w:tc>
          <w:tcPr>
            <w:tcW w:w="7620" w:type="dxa"/>
            <w:vAlign w:val="bottom"/>
            <w:tcBorders>
              <w:bottom w:val="single" w:sz="8" w:color="0000EE"/>
            </w:tcBorders>
            <w:gridSpan w:val="10"/>
          </w:tcPr>
          <w:p>
            <w:pPr>
              <w:ind w:left="20"/>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Letter to Clients for Use by Brokers, Dealers, Commercial Banks, Trust Companies and Other Nominees.</w:t>
              </w:r>
            </w:hyperlink>
          </w:p>
        </w:tc>
        <w:tc>
          <w:tcPr>
            <w:tcW w:w="2380" w:type="dxa"/>
            <w:vAlign w:val="bottom"/>
            <w:gridSpan w:val="8"/>
          </w:tcPr>
          <w:p>
            <w:pPr>
              <w:spacing w:after="0"/>
              <w:rPr>
                <w:sz w:val="17"/>
                <w:szCs w:val="17"/>
                <w:color w:val="auto"/>
              </w:rPr>
            </w:pPr>
          </w:p>
        </w:tc>
      </w:tr>
      <w:tr>
        <w:trPr>
          <w:trHeight w:val="196"/>
        </w:trPr>
        <w:tc>
          <w:tcPr>
            <w:tcW w:w="7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5">
              <w:r>
                <w:rPr>
                  <w:rFonts w:ascii="Times New Roman" w:cs="Times New Roman" w:eastAsia="Times New Roman" w:hAnsi="Times New Roman"/>
                  <w:sz w:val="18"/>
                  <w:szCs w:val="18"/>
                  <w:color w:val="0000EE"/>
                  <w:w w:val="98"/>
                </w:rPr>
                <w:t>(a)(1)(E)*</w:t>
              </w:r>
            </w:hyperlink>
          </w:p>
        </w:tc>
        <w:tc>
          <w:tcPr>
            <w:tcW w:w="480" w:type="dxa"/>
            <w:vAlign w:val="bottom"/>
            <w:gridSpan w:val="4"/>
          </w:tcPr>
          <w:p>
            <w:pPr>
              <w:spacing w:after="0"/>
              <w:rPr>
                <w:sz w:val="17"/>
                <w:szCs w:val="17"/>
                <w:color w:val="auto"/>
              </w:rPr>
            </w:pPr>
          </w:p>
        </w:tc>
        <w:tc>
          <w:tcPr>
            <w:tcW w:w="5640" w:type="dxa"/>
            <w:vAlign w:val="bottom"/>
            <w:tcBorders>
              <w:bottom w:val="single" w:sz="8" w:color="0000EE"/>
            </w:tcBorders>
            <w:gridSpan w:val="6"/>
          </w:tcPr>
          <w:p>
            <w:pPr>
              <w:ind w:left="20"/>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 xml:space="preserve">Summary Advertisement as published in </w:t>
              </w:r>
              <w:r>
                <w:rPr>
                  <w:rFonts w:ascii="Times New Roman" w:cs="Times New Roman" w:eastAsia="Times New Roman" w:hAnsi="Times New Roman"/>
                  <w:sz w:val="18"/>
                  <w:szCs w:val="18"/>
                  <w:i w:val="1"/>
                  <w:iCs w:val="1"/>
                  <w:color w:val="0000EE"/>
                  <w:w w:val="99"/>
                </w:rPr>
                <w:t>The New York Times</w:t>
              </w:r>
              <w:r>
                <w:rPr>
                  <w:rFonts w:ascii="Times New Roman" w:cs="Times New Roman" w:eastAsia="Times New Roman" w:hAnsi="Times New Roman"/>
                  <w:sz w:val="18"/>
                  <w:szCs w:val="18"/>
                  <w:color w:val="0000EE"/>
                  <w:w w:val="99"/>
                </w:rPr>
                <w:t xml:space="preserve"> on May 2, 2022</w:t>
              </w:r>
            </w:hyperlink>
          </w:p>
        </w:tc>
        <w:tc>
          <w:tcPr>
            <w:tcW w:w="4360" w:type="dxa"/>
            <w:vAlign w:val="bottom"/>
            <w:gridSpan w:val="12"/>
          </w:tcPr>
          <w:p>
            <w:pPr>
              <w:spacing w:after="0"/>
              <w:rPr>
                <w:sz w:val="17"/>
                <w:szCs w:val="17"/>
                <w:color w:val="auto"/>
              </w:rPr>
            </w:pPr>
          </w:p>
        </w:tc>
      </w:tr>
      <w:tr>
        <w:trPr>
          <w:trHeight w:val="196"/>
        </w:trPr>
        <w:tc>
          <w:tcPr>
            <w:tcW w:w="1240" w:type="dxa"/>
            <w:vAlign w:val="bottom"/>
            <w:gridSpan w:val="7"/>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(a)(1)(F)*</w:t>
              </w:r>
            </w:hyperlink>
          </w:p>
        </w:tc>
        <w:tc>
          <w:tcPr>
            <w:tcW w:w="10000" w:type="dxa"/>
            <w:vAlign w:val="bottom"/>
            <w:gridSpan w:val="18"/>
          </w:tcPr>
          <w:p>
            <w:pPr>
              <w:ind w:left="20"/>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Joint Press Release issued by Regeneron Pharmaceuticals, Inc. and Checkmate Pharmaceuticals, Inc. on April 19, 2022 (incorporated by</w:t>
              </w:r>
            </w:hyperlink>
          </w:p>
        </w:tc>
      </w:tr>
      <w:tr>
        <w:trPr>
          <w:trHeight w:val="196"/>
        </w:trPr>
        <w:tc>
          <w:tcPr>
            <w:tcW w:w="5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Borders>
              <w:top w:val="single" w:sz="8" w:color="0000EE"/>
              <w:bottom w:val="single" w:sz="8" w:color="0000EE"/>
            </w:tcBorders>
            <w:gridSpan w:val="12"/>
          </w:tcPr>
          <w:p>
            <w:pPr>
              <w:ind w:left="20"/>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reference to Exhibit 99.1 to the Schedule TO-C filed by Regeneron Pharmaceuticals, Inc. with the U.S. Securities and Exchange</w:t>
              </w:r>
            </w:hyperlink>
          </w:p>
        </w:tc>
        <w:tc>
          <w:tcPr>
            <w:tcW w:w="600" w:type="dxa"/>
            <w:vAlign w:val="bottom"/>
            <w:tcBorders>
              <w:top w:val="single" w:sz="8" w:color="0000EE"/>
            </w:tcBorders>
            <w:gridSpan w:val="3"/>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8"/>
          </w:tcPr>
          <w:p>
            <w:pPr>
              <w:ind w:left="20"/>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Commission on April 19, 2022).</w:t>
              </w:r>
            </w:hyperlink>
          </w:p>
        </w:tc>
      </w:tr>
      <w:tr>
        <w:trPr>
          <w:trHeight w:val="20"/>
        </w:trPr>
        <w:tc>
          <w:tcPr>
            <w:tcW w:w="5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(a)(1)(G)*</w:t>
              </w:r>
            </w:hyperlink>
          </w:p>
        </w:tc>
        <w:tc>
          <w:tcPr>
            <w:tcW w:w="460" w:type="dxa"/>
            <w:vAlign w:val="bottom"/>
            <w:gridSpan w:val="3"/>
          </w:tcPr>
          <w:p>
            <w:pPr>
              <w:spacing w:after="0"/>
              <w:rPr>
                <w:sz w:val="17"/>
                <w:szCs w:val="17"/>
                <w:color w:val="auto"/>
              </w:rPr>
            </w:pPr>
          </w:p>
        </w:tc>
        <w:tc>
          <w:tcPr>
            <w:tcW w:w="9000" w:type="dxa"/>
            <w:vAlign w:val="bottom"/>
            <w:tcBorders>
              <w:bottom w:val="single" w:sz="8" w:color="0000EE"/>
            </w:tcBorders>
            <w:gridSpan w:val="11"/>
          </w:tcPr>
          <w:p>
            <w:pPr>
              <w:ind w:left="20"/>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Social Media Posts from April 19, 2022 (incorporated by reference to Exhibit 99.2 to the Schedule TO-C filed by Regeneron</w:t>
              </w:r>
            </w:hyperlink>
          </w:p>
        </w:tc>
        <w:tc>
          <w:tcPr>
            <w:tcW w:w="1000" w:type="dxa"/>
            <w:vAlign w:val="bottom"/>
            <w:gridSpan w:val="7"/>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8"/>
          </w:tcPr>
          <w:p>
            <w:pPr>
              <w:ind w:left="20"/>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Pharmaceuticals, Inc. with the U.S. Securities and Exchange Commission on April 19, 2022).</w:t>
              </w:r>
            </w:hyperlink>
          </w:p>
        </w:tc>
      </w:tr>
      <w:tr>
        <w:trPr>
          <w:trHeight w:val="196"/>
        </w:trPr>
        <w:tc>
          <w:tcPr>
            <w:tcW w:w="12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(a)(5)(A)**</w:t>
            </w:r>
          </w:p>
        </w:tc>
        <w:tc>
          <w:tcPr>
            <w:tcW w:w="6740" w:type="dxa"/>
            <w:vAlign w:val="bottom"/>
            <w:tcBorders>
              <w:top w:val="single" w:sz="8" w:color="0000EE"/>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EE"/>
              </w:rPr>
              <w:t>Press Release dated May 31, 2022.</w:t>
            </w:r>
          </w:p>
        </w:tc>
        <w:tc>
          <w:tcPr>
            <w:tcW w:w="3260" w:type="dxa"/>
            <w:vAlign w:val="bottom"/>
            <w:gridSpan w:val="10"/>
          </w:tcPr>
          <w:p>
            <w:pPr>
              <w:spacing w:after="0"/>
              <w:rPr>
                <w:sz w:val="17"/>
                <w:szCs w:val="17"/>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r:id="rId28">
              <w:r>
                <w:rPr>
                  <w:rFonts w:ascii="Times New Roman" w:cs="Times New Roman" w:eastAsia="Times New Roman" w:hAnsi="Times New Roman"/>
                  <w:sz w:val="18"/>
                  <w:szCs w:val="18"/>
                  <w:color w:val="0000EE"/>
                  <w:w w:val="97"/>
                </w:rPr>
                <w:t>(d)(1)*</w:t>
              </w:r>
            </w:hyperlink>
          </w:p>
        </w:tc>
        <w:tc>
          <w:tcPr>
            <w:tcW w:w="320" w:type="dxa"/>
            <w:vAlign w:val="bottom"/>
            <w:gridSpan w:val="4"/>
          </w:tcPr>
          <w:p>
            <w:pPr>
              <w:spacing w:after="0"/>
              <w:rPr>
                <w:sz w:val="17"/>
                <w:szCs w:val="17"/>
                <w:color w:val="auto"/>
              </w:rPr>
            </w:pPr>
          </w:p>
        </w:tc>
        <w:tc>
          <w:tcPr>
            <w:tcW w:w="400" w:type="dxa"/>
            <w:vAlign w:val="bottom"/>
            <w:gridSpan w:val="2"/>
          </w:tcPr>
          <w:p>
            <w:pPr>
              <w:spacing w:after="0"/>
              <w:rPr>
                <w:sz w:val="17"/>
                <w:szCs w:val="17"/>
                <w:color w:val="auto"/>
              </w:rPr>
            </w:pPr>
          </w:p>
        </w:tc>
        <w:tc>
          <w:tcPr>
            <w:tcW w:w="10000" w:type="dxa"/>
            <w:vAlign w:val="bottom"/>
            <w:gridSpan w:val="18"/>
          </w:tcPr>
          <w:p>
            <w:pPr>
              <w:ind w:left="20"/>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Agreement and Plan of Merger among Checkmate Pharmaceuticals, Inc., Regeneron Pharmaceuticals, Inc., and Scandinavian Acquisition</w:t>
              </w:r>
            </w:hyperlink>
          </w:p>
        </w:tc>
      </w:tr>
      <w:tr>
        <w:trPr>
          <w:trHeight w:val="196"/>
        </w:trPr>
        <w:tc>
          <w:tcPr>
            <w:tcW w:w="5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40" w:type="dxa"/>
            <w:vAlign w:val="bottom"/>
            <w:tcBorders>
              <w:top w:val="single" w:sz="8" w:color="0000EE"/>
              <w:bottom w:val="single" w:sz="8" w:color="0000EE"/>
            </w:tcBorders>
            <w:gridSpan w:val="15"/>
          </w:tcPr>
          <w:p>
            <w:pPr>
              <w:ind w:left="20"/>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Sub, Inc., dated April 18, 2022 (incorporated by reference to Exhibit 2.1 to the Form 8-K filed by Checkmate Pharmaceuticals, Inc. with</w:t>
              </w:r>
            </w:hyperlink>
          </w:p>
        </w:tc>
        <w:tc>
          <w:tcPr>
            <w:tcW w:w="80" w:type="dxa"/>
            <w:vAlign w:val="bottom"/>
            <w:tcBorders>
              <w:top w:val="single" w:sz="8" w:color="0000EE"/>
            </w:tcBorders>
          </w:tcPr>
          <w:p>
            <w:pPr>
              <w:spacing w:after="0"/>
              <w:rPr>
                <w:sz w:val="17"/>
                <w:szCs w:val="17"/>
                <w:color w:val="auto"/>
              </w:rPr>
            </w:pPr>
          </w:p>
        </w:tc>
        <w:tc>
          <w:tcPr>
            <w:tcW w:w="80" w:type="dxa"/>
            <w:vAlign w:val="bottom"/>
            <w:gridSpan w:val="2"/>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0" w:type="dxa"/>
            <w:vAlign w:val="bottom"/>
            <w:tcBorders>
              <w:bottom w:val="single" w:sz="8" w:color="0000EE"/>
            </w:tcBorders>
            <w:gridSpan w:val="5"/>
          </w:tcPr>
          <w:p>
            <w:pPr>
              <w:ind w:left="20"/>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the U.S. Securities and Exchange Commission on April 19, 2022).</w:t>
              </w:r>
            </w:hyperlink>
          </w:p>
        </w:tc>
        <w:tc>
          <w:tcPr>
            <w:tcW w:w="5200" w:type="dxa"/>
            <w:vAlign w:val="bottom"/>
            <w:gridSpan w:val="13"/>
          </w:tcPr>
          <w:p>
            <w:pPr>
              <w:spacing w:after="0"/>
              <w:rPr>
                <w:sz w:val="17"/>
                <w:szCs w:val="17"/>
                <w:color w:val="auto"/>
              </w:rPr>
            </w:pPr>
          </w:p>
        </w:tc>
      </w:tr>
      <w:tr>
        <w:trPr>
          <w:trHeight w:val="196"/>
        </w:trPr>
        <w:tc>
          <w:tcPr>
            <w:tcW w:w="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29">
              <w:r>
                <w:rPr>
                  <w:rFonts w:ascii="Times New Roman" w:cs="Times New Roman" w:eastAsia="Times New Roman" w:hAnsi="Times New Roman"/>
                  <w:sz w:val="18"/>
                  <w:szCs w:val="18"/>
                  <w:color w:val="0000EE"/>
                  <w:w w:val="97"/>
                </w:rPr>
                <w:t>(d)(2)*</w:t>
              </w:r>
            </w:hyperlink>
          </w:p>
        </w:tc>
        <w:tc>
          <w:tcPr>
            <w:tcW w:w="720" w:type="dxa"/>
            <w:vAlign w:val="bottom"/>
            <w:gridSpan w:val="6"/>
          </w:tcPr>
          <w:p>
            <w:pPr>
              <w:spacing w:after="0"/>
              <w:rPr>
                <w:sz w:val="17"/>
                <w:szCs w:val="17"/>
                <w:color w:val="auto"/>
              </w:rPr>
            </w:pPr>
          </w:p>
        </w:tc>
        <w:tc>
          <w:tcPr>
            <w:tcW w:w="9420" w:type="dxa"/>
            <w:vAlign w:val="bottom"/>
            <w:tcBorders>
              <w:bottom w:val="single" w:sz="8" w:color="0000EE"/>
            </w:tcBorders>
            <w:gridSpan w:val="13"/>
          </w:tcPr>
          <w:p>
            <w:pPr>
              <w:ind w:left="20"/>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Confidentiality Agreement dated March 22, 2022, between Checkmate Pharmaceuticals, Inc. and Regeneron Pharmaceuticals, Inc.</w:t>
              </w:r>
            </w:hyperlink>
          </w:p>
        </w:tc>
        <w:tc>
          <w:tcPr>
            <w:tcW w:w="580" w:type="dxa"/>
            <w:vAlign w:val="bottom"/>
            <w:gridSpan w:val="5"/>
          </w:tcPr>
          <w:p>
            <w:pPr>
              <w:spacing w:after="0"/>
              <w:rPr>
                <w:sz w:val="17"/>
                <w:szCs w:val="17"/>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r:id="rId30">
              <w:r>
                <w:rPr>
                  <w:rFonts w:ascii="Times New Roman" w:cs="Times New Roman" w:eastAsia="Times New Roman" w:hAnsi="Times New Roman"/>
                  <w:sz w:val="18"/>
                  <w:szCs w:val="18"/>
                  <w:color w:val="0000EE"/>
                  <w:w w:val="97"/>
                </w:rPr>
                <w:t>(d)(3)*</w:t>
              </w:r>
            </w:hyperlink>
          </w:p>
        </w:tc>
        <w:tc>
          <w:tcPr>
            <w:tcW w:w="720" w:type="dxa"/>
            <w:vAlign w:val="bottom"/>
            <w:gridSpan w:val="6"/>
          </w:tcPr>
          <w:p>
            <w:pPr>
              <w:spacing w:after="0"/>
              <w:rPr>
                <w:sz w:val="17"/>
                <w:szCs w:val="17"/>
                <w:color w:val="auto"/>
              </w:rPr>
            </w:pPr>
          </w:p>
        </w:tc>
        <w:tc>
          <w:tcPr>
            <w:tcW w:w="10000" w:type="dxa"/>
            <w:vAlign w:val="bottom"/>
            <w:gridSpan w:val="18"/>
          </w:tcPr>
          <w:p>
            <w:pPr>
              <w:ind w:left="20"/>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Tender and Support Agreement, dated as of April 18, 2022, by and among Regeneron Pharmaceuticals, Inc., Scandinavian Acquisition</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0" w:type="dxa"/>
            <w:vAlign w:val="bottom"/>
            <w:gridSpan w:val="9"/>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Borders>
              <w:bottom w:val="single" w:sz="8" w:color="0000EE"/>
            </w:tcBorders>
            <w:gridSpan w:val="17"/>
          </w:tcPr>
          <w:p>
            <w:pPr>
              <w:ind w:left="20"/>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Sub, Inc. and certain Stockholders of Checkmate Pharmaceuticals, Inc.(incorporated by reference to Exhibit 99.1 to the Form 8-K filed by</w:t>
              </w:r>
            </w:hyperlink>
          </w:p>
        </w:tc>
        <w:tc>
          <w:tcPr>
            <w:tcW w:w="4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8"/>
          </w:tcPr>
          <w:p>
            <w:pPr>
              <w:ind w:left="20"/>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Checkmate Pharmaceuticals, Inc. with the U.S. Securities and Exchange Commission on April 19, 2022).</w:t>
              </w:r>
            </w:hyperlink>
          </w:p>
        </w:tc>
      </w:tr>
      <w:tr>
        <w:trPr>
          <w:trHeight w:val="20"/>
        </w:trPr>
        <w:tc>
          <w:tcPr>
            <w:tcW w:w="1240" w:type="dxa"/>
            <w:vAlign w:val="bottom"/>
            <w:gridSpan w:val="7"/>
          </w:tcPr>
          <w:p>
            <w:pPr>
              <w:spacing w:after="0" w:line="20" w:lineRule="exact"/>
              <w:rPr>
                <w:sz w:val="1"/>
                <w:szCs w:val="1"/>
                <w:color w:val="auto"/>
              </w:rPr>
            </w:pPr>
          </w:p>
        </w:tc>
        <w:tc>
          <w:tcPr>
            <w:tcW w:w="7600" w:type="dxa"/>
            <w:vAlign w:val="bottom"/>
            <w:gridSpan w:val="9"/>
            <w:shd w:val="clear" w:color="auto" w:fill="0000EE"/>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r:id="rId31">
              <w:r>
                <w:rPr>
                  <w:rFonts w:ascii="Times New Roman" w:cs="Times New Roman" w:eastAsia="Times New Roman" w:hAnsi="Times New Roman"/>
                  <w:sz w:val="18"/>
                  <w:szCs w:val="18"/>
                  <w:color w:val="0000EE"/>
                  <w:w w:val="97"/>
                </w:rPr>
                <w:t>(d)(4)*</w:t>
              </w:r>
            </w:hyperlink>
          </w:p>
        </w:tc>
        <w:tc>
          <w:tcPr>
            <w:tcW w:w="720" w:type="dxa"/>
            <w:vAlign w:val="bottom"/>
            <w:gridSpan w:val="6"/>
          </w:tcPr>
          <w:p>
            <w:pPr>
              <w:spacing w:after="0"/>
              <w:rPr>
                <w:sz w:val="17"/>
                <w:szCs w:val="17"/>
                <w:color w:val="auto"/>
              </w:rPr>
            </w:pPr>
          </w:p>
        </w:tc>
        <w:tc>
          <w:tcPr>
            <w:tcW w:w="10000" w:type="dxa"/>
            <w:vAlign w:val="bottom"/>
            <w:gridSpan w:val="18"/>
          </w:tcPr>
          <w:p>
            <w:pPr>
              <w:ind w:left="20"/>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Exclusivity Agreement, dated March 22, 2022, by and between Regeneron Pharmaceuticals, Inc. and Checkmate Pharmaceuticals, Inc.</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 w:lineRule="exact"/>
        <w:rPr>
          <w:sz w:val="20"/>
          <w:szCs w:val="20"/>
          <w:color w:val="auto"/>
        </w:rPr>
      </w:pPr>
    </w:p>
    <w:p>
      <w:pPr>
        <w:ind w:left="1260" w:hanging="1252"/>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7" w:lineRule="exact"/>
        <w:rPr>
          <w:rFonts w:ascii="Times New Roman" w:cs="Times New Roman" w:eastAsia="Times New Roman" w:hAnsi="Times New Roman"/>
          <w:sz w:val="18"/>
          <w:szCs w:val="18"/>
          <w:color w:val="auto"/>
        </w:rPr>
      </w:pPr>
    </w:p>
    <w:p>
      <w:pPr>
        <w:ind w:left="1260" w:hanging="1252"/>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9" w:lineRule="exact"/>
        <w:rPr>
          <w:sz w:val="20"/>
          <w:szCs w:val="20"/>
          <w:color w:val="auto"/>
        </w:rPr>
      </w:pPr>
    </w:p>
    <w:p>
      <w:pPr>
        <w:spacing w:after="0"/>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107*</w:t>
      </w:r>
      <w:r>
        <w:rPr>
          <w:sz w:val="20"/>
          <w:szCs w:val="20"/>
          <w:color w:val="auto"/>
        </w:rPr>
        <w:tab/>
      </w:r>
      <w:hyperlink r:id="rId32">
        <w:r>
          <w:rPr>
            <w:rFonts w:ascii="Times New Roman" w:cs="Times New Roman" w:eastAsia="Times New Roman" w:hAnsi="Times New Roman"/>
            <w:sz w:val="18"/>
            <w:szCs w:val="18"/>
            <w:u w:val="single" w:color="auto"/>
            <w:color w:val="0000EE"/>
          </w:rPr>
          <w:t>Filing fee table</w:t>
        </w:r>
      </w:hyperlink>
    </w:p>
    <w:p>
      <w:pPr>
        <w:spacing w:after="0" w:line="9" w:lineRule="exact"/>
        <w:rPr>
          <w:sz w:val="20"/>
          <w:szCs w:val="20"/>
          <w:color w:val="auto"/>
        </w:rPr>
      </w:pPr>
    </w:p>
    <w:p>
      <w:pPr>
        <w:ind w:left="640" w:hanging="632"/>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1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8"/>
          <w:szCs w:val="18"/>
          <w:b w:val="1"/>
          <w:bCs w:val="1"/>
          <w:i w:val="1"/>
          <w:iCs w:val="1"/>
          <w:color w:val="auto"/>
        </w:rPr>
        <w:t>Information Required by Schedule 13E-3.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of their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31, 2022</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SCANDINAVIAN ACQUISITION SUB, INC.</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Nouhad Husseini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Nouhad Husseini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J. LaRosa</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J. LaRosa</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(a)(5)(A)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920240"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192024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Completes Acquisition of Checkmate Pharmaceuticals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strengthens Regeneron’s innovative portfolio of immuno-oncology candidates and diversified approach to cancer treatment</w:t>
      </w:r>
    </w:p>
    <w:p>
      <w:pPr>
        <w:spacing w:after="0" w:line="225"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Tarrytown, N.Y., May 31, 2022 </w:t>
      </w:r>
      <w:r>
        <w:rPr>
          <w:rFonts w:ascii="Times New Roman" w:cs="Times New Roman" w:eastAsia="Times New Roman" w:hAnsi="Times New Roman"/>
          <w:sz w:val="18"/>
          <w:szCs w:val="18"/>
          <w:color w:val="auto"/>
        </w:rPr>
        <w:t>– Regeneron Pharmaceuticals, Inc. (NASDAQ:</w:t>
      </w:r>
      <w:r>
        <w:rPr>
          <w:rFonts w:ascii="Times New Roman" w:cs="Times New Roman" w:eastAsia="Times New Roman" w:hAnsi="Times New Roman"/>
          <w:sz w:val="18"/>
          <w:szCs w:val="18"/>
          <w:b w:val="1"/>
          <w:bCs w:val="1"/>
          <w:color w:val="auto"/>
        </w:rPr>
        <w:t xml:space="preserve"> REGN</w:t>
      </w:r>
      <w:r>
        <w:rPr>
          <w:rFonts w:ascii="Times New Roman" w:cs="Times New Roman" w:eastAsia="Times New Roman" w:hAnsi="Times New Roman"/>
          <w:sz w:val="18"/>
          <w:szCs w:val="18"/>
          <w:color w:val="auto"/>
        </w:rPr>
        <w:t>) today announced that it has successfully acquired Checkmate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Pharmaceuticals, Inc., deepening its commitment to immuno-oncology and adding a new modality to the company’s portfolio of potential combination-ready approaches for difficult-to-treat cancers.</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Checkmate's lead investigational candidate, vidutolimod, is an advanced generation CpG-A oligodeoxynucleotide Toll-like receptor 9 (TLR9) agonist delivered in a virus-like particle (VLP) and has demonstrated clinical responses as a monotherapy in patients with PD-1 refractory melanoma.</w:t>
      </w:r>
    </w:p>
    <w:p>
      <w:pPr>
        <w:spacing w:after="0" w:line="162"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“As we continue to deepen and expand our efforts in immuno-oncology, the acquisition of Checkmate adds a potentially best-in-class clinical asset, as well as a promising underlying technology platform in the VLP delivery system,” said Leonard S. Schleifer, M.D., Ph.D., President and Chief Executive Officer of Regeneron. “Our increasingly diverse portfolio enables strategic flexibility and creativity as we advance monotherapy and combination candidates for</w:t>
      </w:r>
    </w:p>
    <w:p>
      <w:pPr>
        <w:spacing w:after="0" w:line="1" w:lineRule="exact"/>
        <w:rPr>
          <w:sz w:val="20"/>
          <w:szCs w:val="20"/>
          <w:color w:val="auto"/>
        </w:rPr>
      </w:pPr>
    </w:p>
    <w:p>
      <w:pPr>
        <w:ind w:right="140"/>
        <w:spacing w:after="0" w:line="209" w:lineRule="auto"/>
        <w:rPr>
          <w:sz w:val="20"/>
          <w:szCs w:val="20"/>
          <w:color w:val="auto"/>
        </w:rPr>
      </w:pPr>
      <w:r>
        <w:rPr>
          <w:rFonts w:ascii="Times New Roman" w:cs="Times New Roman" w:eastAsia="Times New Roman" w:hAnsi="Times New Roman"/>
          <w:sz w:val="18"/>
          <w:szCs w:val="18"/>
          <w:color w:val="auto"/>
        </w:rPr>
        <w:t>difficult-to-treat cancers. With Libtayo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(cemiplimab) as our anti-PD-1 backbone and a differentiated scientific approach, Regeneron is well positioned to make meaningful progress for people with cancer.”</w:t>
      </w:r>
    </w:p>
    <w:p>
      <w:pPr>
        <w:spacing w:after="0" w:line="20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tender offer by Regeneron for shares of Checkmate expired one minute after 11:59 p.m., Eastern Time, on Friday, May 27, 2022. Broadridge Corporate Issuer Solutions, Inc., the depository and paying agent for the tender offer, advised Regeneron that as of the tender offer expiration, a total of 18,471,314 shares had been validly tendered and not validly withdrawn, representing approximately 83.8% of the outstanding shares. All of the conditions of the offer have been satisfied, and Regeneron has paid $10.50 per share (without interest) for all shares that were validly tendered, which is the same price as in the tender offer. Following its acceptance of the tendered shares, Regeneron completed its acquisition of Checkmate through a second step merger of Scandinavian Acquisition Sub, Inc. with and into Checkmate. As a result of the acquisition, Checkmate common stock have ceased to be traded on the Nasdaq Global Market.</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Regeneron anticipates accounting for this transaction as an asset acquisition. Consequently, the total acquisition cost allocated to the acquired in-process research and development is expected to be expensed in the second quarter of 2022 and will be included in non-GAAP financial results. At this time, there is no change to Regeneron’s 2022 GAAP and non-GAAP financial guidance as a result of this transaction.</w:t>
      </w:r>
    </w:p>
    <w:p>
      <w:pPr>
        <w:spacing w:after="0" w:line="3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Wachtell, Lipton, Rosen &amp; Katz is serving as legal advisor to Regeneron. Centerview Partners LLC served as financial advisor and Goodwin Procter LLP served as legal counsel to Checkmate.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Regeneron</w:t>
      </w:r>
    </w:p>
    <w:p>
      <w:pPr>
        <w:spacing w:after="0" w:line="225"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color w:val="auto"/>
        </w:rPr>
        <w:t xml:space="preserve">Regeneron (NASDAQ: </w:t>
      </w:r>
      <w:r>
        <w:rPr>
          <w:rFonts w:ascii="Times New Roman" w:cs="Times New Roman" w:eastAsia="Times New Roman" w:hAnsi="Times New Roman"/>
          <w:sz w:val="18"/>
          <w:szCs w:val="18"/>
          <w:b w:val="1"/>
          <w:bCs w:val="1"/>
          <w:color w:val="auto"/>
        </w:rPr>
        <w:t>REGN</w:t>
      </w:r>
      <w:r>
        <w:rPr>
          <w:rFonts w:ascii="Times New Roman" w:cs="Times New Roman" w:eastAsia="Times New Roman" w:hAnsi="Times New Roman"/>
          <w:sz w:val="18"/>
          <w:szCs w:val="18"/>
          <w:color w:val="auto"/>
        </w:rPr>
        <w:t>) is a leading biotechnology company that invents life-transforming medicines for people with serious diseases. Founded and led for nearly 35 years by physician-scientists, our unique ability to repeatedly and consistently translate science into medicine has led to nine FDA-approved treatments and numerous product candidates in development, almost all of which were homegrown in our laboratories. Our medicines and pipeline are designed to help patients with eye diseases, allergic and inflammatory diseases, cancer, cardiovascular and metabolic diseases, pain, hematologic conditions, infectious diseases and rare diseases.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Regeneron is accelerating and improving the traditional drug development process through our proprietary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technologies, such</w:t>
      </w:r>
    </w:p>
    <w:p>
      <w:pPr>
        <w:ind w:right="400"/>
        <w:spacing w:after="0" w:line="218" w:lineRule="auto"/>
        <w:rPr>
          <w:sz w:val="20"/>
          <w:szCs w:val="20"/>
          <w:color w:val="auto"/>
        </w:rPr>
      </w:pPr>
      <w:r>
        <w:rPr>
          <w:rFonts w:ascii="Times New Roman" w:cs="Times New Roman" w:eastAsia="Times New Roman" w:hAnsi="Times New Roman"/>
          <w:sz w:val="17"/>
          <w:szCs w:val="17"/>
          <w:color w:val="auto"/>
        </w:rPr>
        <w:t xml:space="preserve">as </w:t>
      </w:r>
      <w:r>
        <w:rPr>
          <w:rFonts w:ascii="Times New Roman" w:cs="Times New Roman" w:eastAsia="Times New Roman" w:hAnsi="Times New Roman"/>
          <w:sz w:val="17"/>
          <w:szCs w:val="17"/>
          <w:i w:val="1"/>
          <w:iCs w:val="1"/>
          <w:color w:val="auto"/>
        </w:rPr>
        <w:t>VelocImmune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which uses unique genetically humanized mice to produce optimized fully human antibodies and bispecific antibodies, and through ambitious research initiatives such as the Regeneron Genetics Center, which is conducting one of the largest genetics sequencing efforts in the world.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about the company, please visit www.regeneron.com or follow @Regeneron on Twitter.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920240" cy="282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920240" cy="282575"/>
                    </a:xfrm>
                    <a:prstGeom prst="rect">
                      <a:avLst/>
                    </a:prstGeom>
                    <a:noFill/>
                  </pic:spPr>
                </pic:pic>
              </a:graphicData>
            </a:graphic>
          </wp:anchor>
        </w:drawing>
        <w:t>Forward-Looking Statements and Use of Digital Media</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Risks that may cause these forward-looking statements to be inaccurate include, without limitation: risks related to Regeneron's ability to realize the anticipated benefits of the acquisition (the “Acquisition”) of Checkmate Pharmaceuticals, Inc. ("Checkmate") discussed in this press release, including the possibility that the expected benefits from the Acquisition will not be realized or will not be realized within the expected time period and that Regeneron and Checkmate will not be integrated successfully; the effects of the Acquisition on relationships with employees, other business partners, or governmental entities; unknown liabilities; the risk of litigation and/or regulatory actions related to the Acquisition;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chains, net product sales of products marketed or otherwise commercialized by Regeneron and/or its collaborators or licensees (collectively, "Regeneron's Products"), and the global economy; the nature, timing, and possible success and therapeutic applications of Regeneron's Products, product candidates being developed by Regeneron and/or its collaborators or licensees (collectively, "Regeneron's Product Candidates"), and research and clinical programs now underway or planned, including</w:t>
      </w:r>
    </w:p>
    <w:p>
      <w:pPr>
        <w:spacing w:after="0" w:line="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i w:val="1"/>
          <w:iCs w:val="1"/>
          <w:color w:val="auto"/>
        </w:rPr>
        <w:t>without limitation Libtayo</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(cemiplimab) and vidutolimod; the extent to which the results from the research and development programs conducted by Regeneron and/or its collaborators or licensees may be replicated in other studies and/or lead to advancement of product candidates to clinical trials, therapeutic applications, or regulatory approval; the potential of the virus-like particle delivery technology discussed in this press release; uncertainty of the utilization, market acceptance, and commercial success of Regeneron's Products and Regeneron's Product Candidates and the impact of studies (whether conducted by Regeneron or others and whether mandated or voluntary) on any of the foregoing or any potential regulatory approval of Regeneron's Products and Regeneron's Product Candidates (such as vidutolimod); the likelihood, timing, and scope of possible regulatory approval and commercial launch of Regeneron's Product Candidates (such as vidutolimod) and new indications for Regeneron's Products; the ability of Regeneron's collaborators, licensees, suppliers, or other third parties (as applicable) to perform manufacturing, filling, finishing, packaging, labeling, distribution, and other steps related to Regeneron's Products and Regeneron's Product Candidates; the ability of Regeneron and/or its collaborators to manufacture and manage supply chains for multiple products and product candidates; safety issues resulting from the administration of Regeneron's Products and Regeneron's Product Candidates (such as Libtayo and vidutolimod) in patients, including serious complications or side effects in connection with the use of Regeneron's Products and Regeneron's Product Candidates in clinical trials; determinations by regulatory and administrative governmental authorities which may delay or restrict Regeneron's ability to continue to develop or commercialize Regeneron's Products and Regeneron's Product Candidates, including without limitation Libtayo and vidutolimod; ongoing regulatory obligations and oversight impacting Regeneron's Products, research and clinical programs, and business, including those relating to patient privacy; the availability and extent of reimbursement of Regeneron's Products from third-party payers, including private payer healthcare and insurance programs, health maintenance organizations, pharmacy benefit management companies, and government programs such as Medicare and Medicaid; coverage and reimbursement determinations by such payers and new policies and procedures adopted by such payers; competing drugs and product candidates that may be superior to, or more cost effective than, Regeneron's Products and Regeneron's Product Candidates; unanticipated expenses; the costs of developing, producing, and selling products; the ability of Regeneron to meet any of its financial projections or guidance and changes to the assumptions underlying those projections or guidance; the potential for any license, collaboration, or supply agreement, including Regeneron's agreements with Sanofi, Bayer, and Teva Pharmaceutical Industries Ltd. (or their respective affiliated companies, as applicable) to be cancelled or terminated; and risks associated with intellectual property of other parties and pending or future litigation relating thereto (including without limitation the patent litigation and other related proceedings relating to EYLEA</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(aflibercept) Injection, Dupixent</w:t>
      </w:r>
      <w:r>
        <w:rPr>
          <w:rFonts w:ascii="Times New Roman" w:cs="Times New Roman" w:eastAsia="Times New Roman" w:hAnsi="Times New Roman"/>
          <w:sz w:val="28"/>
          <w:szCs w:val="28"/>
          <w:i w:val="1"/>
          <w:iCs w:val="1"/>
          <w:color w:val="auto"/>
          <w:vertAlign w:val="superscript"/>
        </w:rPr>
        <w:t>®</w:t>
      </w:r>
    </w:p>
    <w:p>
      <w:pPr>
        <w:spacing w:after="0" w:line="212"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i w:val="1"/>
          <w:iCs w:val="1"/>
          <w:color w:val="auto"/>
        </w:rPr>
        <w:t>(dupilumab), Praluent</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(alirocumab), and REGEN-COV</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(casirivimab and imdevimab)), other litigation and other proceedings and government investigations relating to the Company and/or its operations, the ultimate outcome of any such proceedings and investigations, and the impact any of the foregoing may have on Regeneron's business, prospects, operating results, and financial condition . A more complete description of these and other material risks can be found in Regeneron's filings with the U.S. Securities and Exchange Commission, including its Form 10-K for the year ended December 31, 2021 and its Form 10-Q for the quarterly period ended March 31, 2022.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Alexandra Bowie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+1 914-847-3407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Alexandra.bowie@regeneron.com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Vesna Tosic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+1 914-847-5443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vesna.tosic@regeneron.com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o"/>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1)"/>
      <w:numFmt w:val="lowerLetter"/>
      <w:start w:val="3"/>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1)"/>
      <w:numFmt w:val="lowerLetter"/>
      <w:start w:val="4"/>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2"/>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3"/>
    </w:lvl>
  </w:abstractNum>
  <w:abstractNum w:abstractNumId="17">
    <w:nsid w:val="3F2DBA31"/>
    <w:multiLevelType w:val="hybridMultilevel"/>
    <w:lvl w:ilvl="0">
      <w:lvlJc w:val="left"/>
      <w:lvlText w:val="(%1)"/>
      <w:numFmt w:val="lowerLetter"/>
      <w:start w:val="7"/>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jpe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jpeg"/><Relationship Id="rId39" Type="http://schemas.openxmlformats.org/officeDocument/2006/relationships/image" Target="media/image20.png"/><Relationship Id="rId21" Type="http://schemas.openxmlformats.org/officeDocument/2006/relationships/hyperlink" Target="https://www.sec.gov/Archives/edgar/data/872589/000110465922054147/tm2213969d1_ex99-a1a.htm" TargetMode="External"/><Relationship Id="rId22" Type="http://schemas.openxmlformats.org/officeDocument/2006/relationships/hyperlink" Target="https://www.sec.gov/Archives/edgar/data/872589/000110465922054147/tm2213969d1_ex99-a1b.htm" TargetMode="External"/><Relationship Id="rId23" Type="http://schemas.openxmlformats.org/officeDocument/2006/relationships/hyperlink" Target="https://www.sec.gov/Archives/edgar/data/872589/000110465922054147/tm2213969d1_ex99-a1c.htm" TargetMode="External"/><Relationship Id="rId24" Type="http://schemas.openxmlformats.org/officeDocument/2006/relationships/hyperlink" Target="https://www.sec.gov/Archives/edgar/data/872589/000110465922054147/tm2213969d1_ex99-a1d.htm" TargetMode="External"/><Relationship Id="rId25" Type="http://schemas.openxmlformats.org/officeDocument/2006/relationships/hyperlink" Target="https://www.sec.gov/Archives/edgar/data/872589/000110465922054147/tm2213969d2_ex99-a1e.htm" TargetMode="External"/><Relationship Id="rId26" Type="http://schemas.openxmlformats.org/officeDocument/2006/relationships/hyperlink" Target="https://www.sec.gov/Archives/edgar/data/872589/000110465922047376/tm2213041d1_ex99-1.htm" TargetMode="External"/><Relationship Id="rId27" Type="http://schemas.openxmlformats.org/officeDocument/2006/relationships/hyperlink" Target="https://www.sec.gov/Archives/edgar/data/872589/000110465922047376/tm2213041d1_ex99-2.htm" TargetMode="External"/><Relationship Id="rId28" Type="http://schemas.openxmlformats.org/officeDocument/2006/relationships/hyperlink" Target="https://www.sec.gov/Archives/edgar/data/0001651431/000119312522109610/d345620dex21.htm" TargetMode="External"/><Relationship Id="rId29" Type="http://schemas.openxmlformats.org/officeDocument/2006/relationships/hyperlink" Target="https://www.sec.gov/Archives/edgar/data/872589/000110465922054147/tm2213969d2_ex99-d2.htm" TargetMode="External"/><Relationship Id="rId30" Type="http://schemas.openxmlformats.org/officeDocument/2006/relationships/hyperlink" Target="https://www.sec.gov/Archives/edgar/data/0001651431/000119312522109610/d345620dex991.htm" TargetMode="External"/><Relationship Id="rId31" Type="http://schemas.openxmlformats.org/officeDocument/2006/relationships/hyperlink" Target="https://www.sec.gov/Archives/edgar/data/872589/000110465922054147/tm2213969d2_ex99-d4.htm" TargetMode="External"/><Relationship Id="rId32" Type="http://schemas.openxmlformats.org/officeDocument/2006/relationships/hyperlink" Target="https://www.sec.gov/Archives/edgar/data/872589/000110465922054147/tm2213969d2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2022-05-31T08:09:51Z</dcterms:created>
  <dcterms:modified xsi:type="dcterms:W3CDTF">2022-05-31T08:09:51Z</dcterms:modified>
</cp:coreProperties>
</file>