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and Exchange Act of 1934</w:t>
      </w:r>
    </w:p>
    <w:p>
      <w:pPr>
        <w:spacing w:after="0" w:line="185" w:lineRule="exact"/>
        <w:rPr>
          <w:sz w:val="20"/>
          <w:szCs w:val="20"/>
          <w:color w:val="auto"/>
        </w:rPr>
      </w:pPr>
    </w:p>
    <w:p>
      <w:pPr>
        <w:ind w:left="2640"/>
        <w:spacing w:after="0"/>
        <w:tabs>
          <w:tab w:leader="none" w:pos="7300" w:val="left"/>
        </w:tabs>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r>
        <w:rPr>
          <w:sz w:val="20"/>
          <w:szCs w:val="20"/>
          <w:color w:val="auto"/>
        </w:rPr>
        <w:tab/>
      </w:r>
      <w:r>
        <w:rPr>
          <w:rFonts w:ascii="Times New Roman" w:cs="Times New Roman" w:eastAsia="Times New Roman" w:hAnsi="Times New Roman"/>
          <w:sz w:val="17"/>
          <w:szCs w:val="17"/>
          <w:b w:val="1"/>
          <w:bCs w:val="1"/>
          <w:color w:val="auto"/>
        </w:rPr>
        <w:t>November 12, 2004</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310515</wp:posOffset>
            </wp:positionV>
            <wp:extent cx="50857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5715" cy="889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5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3420" w:type="dxa"/>
            <w:vAlign w:val="bottom"/>
          </w:tcPr>
          <w:p>
            <w:pPr>
              <w:spacing w:after="0"/>
              <w:rPr>
                <w:sz w:val="20"/>
                <w:szCs w:val="20"/>
                <w:color w:val="auto"/>
              </w:rPr>
            </w:pPr>
          </w:p>
        </w:tc>
      </w:tr>
      <w:tr>
        <w:trPr>
          <w:trHeight w:val="432"/>
        </w:trPr>
        <w:tc>
          <w:tcPr>
            <w:tcW w:w="2260" w:type="dxa"/>
            <w:vAlign w:val="bottom"/>
            <w:tcBorders>
              <w:bottom w:val="single" w:sz="8" w:color="808080"/>
            </w:tcBorders>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1180" w:type="dxa"/>
            <w:vAlign w:val="bottom"/>
            <w:tcBorders>
              <w:bottom w:val="single" w:sz="8" w:color="808080"/>
            </w:tcBorders>
          </w:tcPr>
          <w:p>
            <w:pPr>
              <w:spacing w:after="0"/>
              <w:rPr>
                <w:sz w:val="24"/>
                <w:szCs w:val="24"/>
                <w:color w:val="auto"/>
              </w:rPr>
            </w:pPr>
          </w:p>
        </w:tc>
        <w:tc>
          <w:tcPr>
            <w:tcW w:w="580" w:type="dxa"/>
            <w:vAlign w:val="bottom"/>
          </w:tcPr>
          <w:p>
            <w:pPr>
              <w:spacing w:after="0"/>
              <w:rPr>
                <w:sz w:val="24"/>
                <w:szCs w:val="24"/>
                <w:color w:val="auto"/>
              </w:rPr>
            </w:pPr>
          </w:p>
        </w:tc>
        <w:tc>
          <w:tcPr>
            <w:tcW w:w="342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000-19034</w:t>
            </w:r>
          </w:p>
        </w:tc>
        <w:tc>
          <w:tcPr>
            <w:tcW w:w="560" w:type="dxa"/>
            <w:vAlign w:val="bottom"/>
          </w:tcPr>
          <w:p>
            <w:pPr>
              <w:spacing w:after="0"/>
              <w:rPr>
                <w:sz w:val="24"/>
                <w:szCs w:val="24"/>
                <w:color w:val="auto"/>
              </w:rPr>
            </w:pPr>
          </w:p>
        </w:tc>
        <w:tc>
          <w:tcPr>
            <w:tcW w:w="3420" w:type="dxa"/>
            <w:vAlign w:val="bottom"/>
            <w:tcBorders>
              <w:bottom w:val="single" w:sz="8" w:color="808080"/>
            </w:tcBorders>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133444607</w:t>
            </w:r>
          </w:p>
        </w:tc>
      </w:tr>
      <w:tr>
        <w:trPr>
          <w:trHeight w:val="218"/>
        </w:trPr>
        <w:tc>
          <w:tcPr>
            <w:tcW w:w="226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(State or other</w:t>
            </w: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9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16"/>
        </w:trPr>
        <w:tc>
          <w:tcPr>
            <w:tcW w:w="22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rPr>
              <w:t>jurisdiction of</w:t>
            </w: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234"/>
        </w:trPr>
        <w:tc>
          <w:tcPr>
            <w:tcW w:w="226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incorporation)</w:t>
            </w:r>
          </w:p>
        </w:tc>
        <w:tc>
          <w:tcPr>
            <w:tcW w:w="1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432"/>
        </w:trPr>
        <w:tc>
          <w:tcPr>
            <w:tcW w:w="8000" w:type="dxa"/>
            <w:vAlign w:val="bottom"/>
            <w:tcBorders>
              <w:bottom w:val="single" w:sz="8" w:color="808080"/>
            </w:tcBorders>
            <w:gridSpan w:val="5"/>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777 Old Saw Mill River Road, Tarrytown, New York</w:t>
            </w:r>
          </w:p>
        </w:tc>
        <w:tc>
          <w:tcPr>
            <w:tcW w:w="3420" w:type="dxa"/>
            <w:vAlign w:val="bottom"/>
            <w:tcBorders>
              <w:bottom w:val="single" w:sz="8" w:color="808080"/>
            </w:tcBorders>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10591-6707</w:t>
            </w:r>
          </w:p>
        </w:tc>
      </w:tr>
      <w:tr>
        <w:trPr>
          <w:trHeight w:val="237"/>
        </w:trPr>
        <w:tc>
          <w:tcPr>
            <w:tcW w:w="2260" w:type="dxa"/>
            <w:vAlign w:val="bottom"/>
          </w:tcPr>
          <w:p>
            <w:pPr>
              <w:spacing w:after="0"/>
              <w:rPr>
                <w:sz w:val="20"/>
                <w:szCs w:val="20"/>
                <w:color w:val="auto"/>
              </w:rPr>
            </w:pPr>
          </w:p>
        </w:tc>
        <w:tc>
          <w:tcPr>
            <w:tcW w:w="5740" w:type="dxa"/>
            <w:vAlign w:val="bottom"/>
            <w:gridSpan w:val="4"/>
          </w:tcPr>
          <w:p>
            <w:pPr>
              <w:jc w:val="center"/>
              <w:ind w:right="282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92"/>
        </w:trPr>
        <w:tc>
          <w:tcPr>
            <w:tcW w:w="2260" w:type="dxa"/>
            <w:vAlign w:val="bottom"/>
          </w:tcPr>
          <w:p>
            <w:pPr>
              <w:spacing w:after="0"/>
              <w:rPr>
                <w:sz w:val="24"/>
                <w:szCs w:val="24"/>
                <w:color w:val="auto"/>
              </w:rPr>
            </w:pPr>
          </w:p>
        </w:tc>
        <w:tc>
          <w:tcPr>
            <w:tcW w:w="5180" w:type="dxa"/>
            <w:vAlign w:val="bottom"/>
            <w:gridSpan w:val="3"/>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(914) 347-7000</w:t>
            </w: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111760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8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registrant under any of the following provisions:</w:t>
      </w:r>
    </w:p>
    <w:p>
      <w:pPr>
        <w:spacing w:after="0" w:line="351" w:lineRule="exact"/>
        <w:rPr>
          <w:sz w:val="20"/>
          <w:szCs w:val="20"/>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547370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p>
      <w:pPr>
        <w:ind w:left="3980"/>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211" w:lineRule="exact"/>
        <w:rPr>
          <w:sz w:val="20"/>
          <w:szCs w:val="20"/>
          <w:color w:val="auto"/>
        </w:rPr>
      </w:pPr>
    </w:p>
    <w:p>
      <w:pPr>
        <w:ind w:left="320" w:right="1999"/>
        <w:spacing w:after="0" w:line="242" w:lineRule="auto"/>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Item 5.03 Amendment to Articles of Incorporation or Bylaws; Change in Fiscal Year</w:t>
        </w:r>
      </w:hyperlink>
      <w:r>
        <w:rPr>
          <w:rFonts w:ascii="Times New Roman" w:cs="Times New Roman" w:eastAsia="Times New Roman" w:hAnsi="Times New Roman"/>
          <w:sz w:val="22"/>
          <w:szCs w:val="22"/>
          <w:u w:val="single" w:color="auto"/>
          <w:color w:val="0000EE"/>
        </w:rPr>
        <w:t xml:space="preserve"> </w:t>
      </w:r>
      <w:hyperlink w:anchor="page4">
        <w:r>
          <w:rPr>
            <w:rFonts w:ascii="Times New Roman" w:cs="Times New Roman" w:eastAsia="Times New Roman" w:hAnsi="Times New Roman"/>
            <w:sz w:val="22"/>
            <w:szCs w:val="22"/>
            <w:u w:val="single" w:color="auto"/>
            <w:color w:val="0000EE"/>
          </w:rPr>
          <w:t>Item 9.01 Financial Statements and Exhibits</w:t>
        </w:r>
      </w:hyperlink>
    </w:p>
    <w:p>
      <w:pPr>
        <w:spacing w:after="0" w:line="230" w:lineRule="auto"/>
        <w:rPr>
          <w:rFonts w:ascii="Times New Roman" w:cs="Times New Roman" w:eastAsia="Times New Roman" w:hAnsi="Times New Roman"/>
          <w:sz w:val="22"/>
          <w:szCs w:val="22"/>
          <w:u w:val="single" w:color="auto"/>
          <w:color w:val="0000EE"/>
        </w:rPr>
      </w:pPr>
      <w:hyperlink w:anchor="page5">
        <w:r>
          <w:rPr>
            <w:rFonts w:ascii="Times New Roman" w:cs="Times New Roman" w:eastAsia="Times New Roman" w:hAnsi="Times New Roman"/>
            <w:sz w:val="22"/>
            <w:szCs w:val="22"/>
            <w:u w:val="single" w:color="auto"/>
            <w:color w:val="0000EE"/>
          </w:rPr>
          <w:t>Signatures</w:t>
        </w:r>
      </w:hyperlink>
    </w:p>
    <w:p>
      <w:pPr>
        <w:spacing w:after="0" w:line="231" w:lineRule="auto"/>
        <w:rPr>
          <w:rFonts w:ascii="Times New Roman" w:cs="Times New Roman" w:eastAsia="Times New Roman" w:hAnsi="Times New Roman"/>
          <w:sz w:val="22"/>
          <w:szCs w:val="22"/>
          <w:u w:val="single" w:color="auto"/>
          <w:color w:val="0000EE"/>
        </w:rPr>
      </w:pPr>
      <w:hyperlink w:anchor="page6">
        <w:r>
          <w:rPr>
            <w:rFonts w:ascii="Times New Roman" w:cs="Times New Roman" w:eastAsia="Times New Roman" w:hAnsi="Times New Roman"/>
            <w:sz w:val="22"/>
            <w:szCs w:val="22"/>
            <w:u w:val="single" w:color="auto"/>
            <w:color w:val="0000EE"/>
          </w:rPr>
          <w:t>Exhibit Index</w:t>
        </w:r>
      </w:hyperlink>
    </w:p>
    <w:p>
      <w:pPr>
        <w:spacing w:after="0"/>
        <w:rPr>
          <w:sz w:val="20"/>
          <w:szCs w:val="20"/>
          <w:color w:val="auto"/>
        </w:rPr>
      </w:pPr>
      <w:r>
        <w:rPr>
          <w:rFonts w:ascii="Times New Roman" w:cs="Times New Roman" w:eastAsia="Times New Roman" w:hAnsi="Times New Roman"/>
          <w:sz w:val="22"/>
          <w:szCs w:val="22"/>
          <w:u w:val="single" w:color="auto"/>
          <w:color w:val="0000EE"/>
        </w:rPr>
        <w:t>EX-3.1 AMENDED TEXT OF ARTICLE I, SECTION 5 OF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08" w:right="1440"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 to Articles of Incorporation or Bylaws; Change in Fiscal Year</w:t>
      </w:r>
    </w:p>
    <w:p>
      <w:pPr>
        <w:spacing w:after="0" w:line="202" w:lineRule="exact"/>
        <w:rPr>
          <w:sz w:val="20"/>
          <w:szCs w:val="20"/>
          <w:color w:val="auto"/>
        </w:rPr>
      </w:pPr>
    </w:p>
    <w:p>
      <w:pPr>
        <w:ind w:left="360" w:right="20"/>
        <w:spacing w:after="0" w:line="255" w:lineRule="auto"/>
        <w:rPr>
          <w:sz w:val="20"/>
          <w:szCs w:val="20"/>
          <w:color w:val="auto"/>
        </w:rPr>
      </w:pPr>
      <w:r>
        <w:rPr>
          <w:rFonts w:ascii="Times New Roman" w:cs="Times New Roman" w:eastAsia="Times New Roman" w:hAnsi="Times New Roman"/>
          <w:sz w:val="18"/>
          <w:szCs w:val="18"/>
          <w:color w:val="auto"/>
        </w:rPr>
        <w:t>On November 12, 2004, the Company’s board of directors adopted an amendment to Article I, Section 5 of the Company’s By-Laws (the “By-Laws”) which sets forth the quorum requirements for meetings of shareholders. The amendment was adopted solely to conform the text of Section 5 of the By-Laws to the requirements of Section 608(a) of the New York Business Corporation Law (the “NYBCL”), which provides that the holders of a majority of the votes of shares issued and outstanding and entitled to vote shall constitute a quorum at a meeting of shareholders. Prior to the amendment, Section 5 of the By-Laws provided that, except as required by law or the By-Laws, the holders of record of at least a majority of the shares of stock issued and outstanding and entitled to vote constituted a quorum at all meetings of shareholders. The foregoing description of the amendment is qualified in its entirety by reference to the text of amended Article I, Section 5 of the By-Laws which is attached hereto as Exhibit 3.1 and incorporated herein by reference.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7" w:lineRule="exact"/>
        <w:rPr>
          <w:sz w:val="20"/>
          <w:szCs w:val="20"/>
          <w:color w:val="auto"/>
        </w:rPr>
      </w:pPr>
    </w:p>
    <w:p>
      <w:pPr>
        <w:ind w:left="480" w:hanging="247"/>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20" w:type="dxa"/>
            <w:vAlign w:val="bottom"/>
            <w:gridSpan w:val="2"/>
          </w:tcPr>
          <w:p>
            <w:pPr>
              <w:jc w:val="center"/>
              <w:ind w:left="199"/>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98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80" w:type="dxa"/>
            <w:vAlign w:val="bottom"/>
          </w:tcPr>
          <w:p>
            <w:pPr>
              <w:spacing w:after="0"/>
              <w:rPr>
                <w:sz w:val="16"/>
                <w:szCs w:val="16"/>
                <w:color w:val="auto"/>
              </w:rPr>
            </w:pPr>
          </w:p>
        </w:tc>
      </w:tr>
      <w:tr>
        <w:trPr>
          <w:trHeight w:val="51"/>
        </w:trPr>
        <w:tc>
          <w:tcPr>
            <w:tcW w:w="30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420" w:type="dxa"/>
            <w:vAlign w:val="bottom"/>
          </w:tcPr>
          <w:p>
            <w:pPr>
              <w:spacing w:after="0"/>
              <w:rPr>
                <w:sz w:val="4"/>
                <w:szCs w:val="4"/>
                <w:color w:val="auto"/>
              </w:rPr>
            </w:pPr>
          </w:p>
        </w:tc>
        <w:tc>
          <w:tcPr>
            <w:tcW w:w="940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r>
      <w:tr>
        <w:trPr>
          <w:trHeight w:val="291"/>
        </w:trPr>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3.1</w:t>
            </w:r>
          </w:p>
        </w:tc>
        <w:tc>
          <w:tcPr>
            <w:tcW w:w="9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Amended text of Article I, Section 5 of the Company’s By-Laws</w:t>
            </w:r>
          </w:p>
        </w:tc>
        <w:tc>
          <w:tcPr>
            <w:tcW w:w="280" w:type="dxa"/>
            <w:vAlign w:val="bottom"/>
          </w:tcPr>
          <w:p>
            <w:pPr>
              <w:spacing w:after="0"/>
              <w:rPr>
                <w:sz w:val="24"/>
                <w:szCs w:val="24"/>
                <w:color w:val="auto"/>
              </w:rPr>
            </w:pPr>
          </w:p>
        </w:tc>
      </w:tr>
      <w:tr>
        <w:trPr>
          <w:trHeight w:val="392"/>
        </w:trPr>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20" w:type="dxa"/>
            <w:vAlign w:val="bottom"/>
            <w:gridSpan w:val="2"/>
          </w:tcPr>
          <w:p>
            <w:pPr>
              <w:jc w:val="right"/>
              <w:ind w:right="538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4"/>
                <w:szCs w:val="24"/>
                <w:color w:val="auto"/>
              </w:rPr>
            </w:pPr>
          </w:p>
        </w:tc>
      </w:tr>
      <w:tr>
        <w:trPr>
          <w:trHeight w:val="226"/>
        </w:trPr>
        <w:tc>
          <w:tcPr>
            <w:tcW w:w="3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94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608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REGENERON PHARMACEUTICALS, INC.</w:t>
            </w:r>
          </w:p>
        </w:tc>
        <w:tc>
          <w:tcPr>
            <w:tcW w:w="1680" w:type="dxa"/>
            <w:vAlign w:val="bottom"/>
          </w:tcPr>
          <w:p>
            <w:pPr>
              <w:spacing w:after="0"/>
              <w:rPr>
                <w:sz w:val="20"/>
                <w:szCs w:val="20"/>
                <w:color w:val="auto"/>
              </w:rPr>
            </w:pP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12, 2004</w:t>
            </w:r>
          </w:p>
        </w:tc>
        <w:tc>
          <w:tcPr>
            <w:tcW w:w="608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By: /s/ Stuart Kolinski</w:t>
            </w:r>
          </w:p>
        </w:tc>
        <w:tc>
          <w:tcPr>
            <w:tcW w:w="1680" w:type="dxa"/>
            <w:vAlign w:val="bottom"/>
          </w:tcPr>
          <w:p>
            <w:pPr>
              <w:spacing w:after="0"/>
              <w:rPr>
                <w:sz w:val="24"/>
                <w:szCs w:val="24"/>
                <w:color w:val="auto"/>
              </w:rPr>
            </w:pPr>
          </w:p>
        </w:tc>
      </w:tr>
      <w:tr>
        <w:trPr>
          <w:trHeight w:val="191"/>
        </w:trPr>
        <w:tc>
          <w:tcPr>
            <w:tcW w:w="36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Stuart Kolinski</w:t>
            </w:r>
          </w:p>
        </w:tc>
        <w:tc>
          <w:tcPr>
            <w:tcW w:w="1680" w:type="dxa"/>
            <w:vAlign w:val="bottom"/>
          </w:tcPr>
          <w:p>
            <w:pPr>
              <w:spacing w:after="0"/>
              <w:rPr>
                <w:sz w:val="16"/>
                <w:szCs w:val="16"/>
                <w:color w:val="auto"/>
              </w:rPr>
            </w:pPr>
          </w:p>
        </w:tc>
      </w:tr>
      <w:tr>
        <w:trPr>
          <w:trHeight w:val="234"/>
        </w:trPr>
        <w:tc>
          <w:tcPr>
            <w:tcW w:w="36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General Counsel</w:t>
            </w:r>
          </w:p>
        </w:tc>
        <w:tc>
          <w:tcPr>
            <w:tcW w:w="1680" w:type="dxa"/>
            <w:vAlign w:val="bottom"/>
          </w:tcPr>
          <w:p>
            <w:pPr>
              <w:spacing w:after="0"/>
              <w:rPr>
                <w:sz w:val="20"/>
                <w:szCs w:val="20"/>
                <w:color w:val="auto"/>
              </w:rPr>
            </w:pPr>
          </w:p>
        </w:tc>
      </w:tr>
      <w:tr>
        <w:trPr>
          <w:trHeight w:val="621"/>
        </w:trPr>
        <w:tc>
          <w:tcPr>
            <w:tcW w:w="3660" w:type="dxa"/>
            <w:vAlign w:val="bottom"/>
          </w:tcPr>
          <w:p>
            <w:pPr>
              <w:spacing w:after="0"/>
              <w:rPr>
                <w:sz w:val="24"/>
                <w:szCs w:val="24"/>
                <w:color w:val="auto"/>
              </w:rPr>
            </w:pPr>
          </w:p>
        </w:tc>
        <w:tc>
          <w:tcPr>
            <w:tcW w:w="6080" w:type="dxa"/>
            <w:vAlign w:val="bottom"/>
            <w:gridSpan w:val="2"/>
          </w:tcPr>
          <w:p>
            <w:pPr>
              <w:jc w:val="right"/>
              <w:ind w:right="3890"/>
              <w:spacing w:after="0"/>
              <w:rPr>
                <w:sz w:val="20"/>
                <w:szCs w:val="20"/>
                <w:color w:val="auto"/>
              </w:rPr>
            </w:pPr>
            <w:r>
              <w:rPr>
                <w:rFonts w:ascii="Times New Roman" w:cs="Times New Roman" w:eastAsia="Times New Roman" w:hAnsi="Times New Roman"/>
                <w:sz w:val="18"/>
                <w:szCs w:val="18"/>
                <w:color w:val="auto"/>
              </w:rPr>
              <w:t>3</w:t>
            </w:r>
          </w:p>
        </w:tc>
        <w:tc>
          <w:tcPr>
            <w:tcW w:w="1680" w:type="dxa"/>
            <w:vAlign w:val="bottom"/>
          </w:tcPr>
          <w:p>
            <w:pPr>
              <w:spacing w:after="0"/>
              <w:rPr>
                <w:sz w:val="24"/>
                <w:szCs w:val="24"/>
                <w:color w:val="auto"/>
              </w:rPr>
            </w:pPr>
          </w:p>
        </w:tc>
      </w:tr>
      <w:tr>
        <w:trPr>
          <w:trHeight w:val="226"/>
        </w:trPr>
        <w:tc>
          <w:tcPr>
            <w:tcW w:w="366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right"/>
        <w:ind w:right="397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4"/>
          <w:szCs w:val="14"/>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Amended text of Article I, Section 5 of the Company’s By-laws</w:t>
      </w:r>
    </w:p>
    <w:p>
      <w:pPr>
        <w:spacing w:after="0" w:line="18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219"/>
          </w:cols>
          <w:pgMar w:left="240" w:top="415" w:right="1440" w:bottom="1440" w:gutter="0" w:footer="0" w:header="0"/>
        </w:sectPr>
      </w:pPr>
    </w:p>
    <w:bookmarkStart w:id="6" w:name="page7"/>
    <w:bookmarkEnd w:id="6"/>
    <w:p>
      <w:pPr>
        <w:ind w:left="10620"/>
        <w:spacing w:after="0"/>
        <w:rPr>
          <w:sz w:val="20"/>
          <w:szCs w:val="20"/>
          <w:color w:val="auto"/>
        </w:rPr>
      </w:pPr>
      <w:r>
        <w:rPr>
          <w:rFonts w:ascii="Times New Roman" w:cs="Times New Roman" w:eastAsia="Times New Roman" w:hAnsi="Times New Roman"/>
          <w:sz w:val="17"/>
          <w:szCs w:val="17"/>
          <w:color w:val="auto"/>
        </w:rPr>
        <w:t>Exhibit 3.1</w:t>
      </w:r>
    </w:p>
    <w:p>
      <w:pPr>
        <w:spacing w:after="0" w:line="206" w:lineRule="exact"/>
        <w:rPr>
          <w:sz w:val="20"/>
          <w:szCs w:val="20"/>
          <w:color w:val="auto"/>
        </w:rPr>
      </w:pPr>
    </w:p>
    <w:p>
      <w:pPr>
        <w:ind w:right="20" w:firstLine="225"/>
        <w:spacing w:after="0" w:line="262" w:lineRule="auto"/>
        <w:rPr>
          <w:sz w:val="20"/>
          <w:szCs w:val="20"/>
          <w:color w:val="auto"/>
        </w:rPr>
      </w:pPr>
      <w:r>
        <w:rPr>
          <w:rFonts w:ascii="Times New Roman" w:cs="Times New Roman" w:eastAsia="Times New Roman" w:hAnsi="Times New Roman"/>
          <w:sz w:val="18"/>
          <w:szCs w:val="18"/>
          <w:color w:val="auto"/>
        </w:rPr>
        <w:t xml:space="preserve">Section 5. Quorum. The holders of record of at least a majority </w:t>
      </w:r>
      <w:r>
        <w:rPr>
          <w:rFonts w:ascii="Times New Roman" w:cs="Times New Roman" w:eastAsia="Times New Roman" w:hAnsi="Times New Roman"/>
          <w:sz w:val="18"/>
          <w:szCs w:val="18"/>
          <w:b w:val="1"/>
          <w:bCs w:val="1"/>
          <w:color w:val="auto"/>
        </w:rPr>
        <w:t>of the votes</w:t>
      </w:r>
      <w:r>
        <w:rPr>
          <w:rFonts w:ascii="Times New Roman" w:cs="Times New Roman" w:eastAsia="Times New Roman" w:hAnsi="Times New Roman"/>
          <w:sz w:val="18"/>
          <w:szCs w:val="18"/>
          <w:color w:val="auto"/>
        </w:rPr>
        <w:t xml:space="preserve"> of shares of the stock of the corporation, issued and outstanding and entitled to vote, present in person or by proxy, shall, except as otherwise provided by law, </w:t>
      </w:r>
      <w:r>
        <w:rPr>
          <w:rFonts w:ascii="Times New Roman" w:cs="Times New Roman" w:eastAsia="Times New Roman" w:hAnsi="Times New Roman"/>
          <w:sz w:val="18"/>
          <w:szCs w:val="18"/>
          <w:b w:val="1"/>
          <w:bCs w:val="1"/>
          <w:color w:val="auto"/>
        </w:rPr>
        <w:t>the certificate of incorporation</w:t>
      </w:r>
      <w:r>
        <w:rPr>
          <w:rFonts w:ascii="Times New Roman" w:cs="Times New Roman" w:eastAsia="Times New Roman" w:hAnsi="Times New Roman"/>
          <w:sz w:val="18"/>
          <w:szCs w:val="18"/>
          <w:color w:val="auto"/>
        </w:rPr>
        <w:t xml:space="preserve"> or these By-Laws, constitute a quorum at all meetings of the shareholders; if there be no such quorum, the holders of a majority </w:t>
      </w:r>
      <w:r>
        <w:rPr>
          <w:rFonts w:ascii="Times New Roman" w:cs="Times New Roman" w:eastAsia="Times New Roman" w:hAnsi="Times New Roman"/>
          <w:sz w:val="18"/>
          <w:szCs w:val="18"/>
          <w:b w:val="1"/>
          <w:bCs w:val="1"/>
          <w:color w:val="auto"/>
        </w:rPr>
        <w:t>of the votes</w:t>
      </w:r>
      <w:r>
        <w:rPr>
          <w:rFonts w:ascii="Times New Roman" w:cs="Times New Roman" w:eastAsia="Times New Roman" w:hAnsi="Times New Roman"/>
          <w:sz w:val="18"/>
          <w:szCs w:val="18"/>
          <w:color w:val="auto"/>
        </w:rPr>
        <w:t xml:space="preserve"> of such shares so present or represented may adjourn the meeting from time to time until a quorum shall have been obtained.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2019-12-20T02:34:13Z</dcterms:created>
  <dcterms:modified xsi:type="dcterms:W3CDTF">2019-12-20T02:34:13Z</dcterms:modified>
</cp:coreProperties>
</file>