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319"/>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2319"/>
        <w:spacing w:after="0" w:line="238" w:lineRule="auto"/>
        <w:rPr>
          <w:sz w:val="20"/>
          <w:szCs w:val="20"/>
          <w:color w:val="auto"/>
        </w:rPr>
      </w:pPr>
      <w:r>
        <w:rPr>
          <w:rFonts w:ascii="Courier New" w:cs="Courier New" w:eastAsia="Courier New" w:hAnsi="Courier New"/>
          <w:sz w:val="18"/>
          <w:szCs w:val="18"/>
          <w:color w:val="auto"/>
        </w:rPr>
        <w:t>(Name of The Company)</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 (Par Value $ 0.001 Per Share)</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 10 7</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Chris Walther</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2199"/>
        <w:spacing w:after="0" w:line="238" w:lineRule="auto"/>
        <w:rPr>
          <w:sz w:val="20"/>
          <w:szCs w:val="20"/>
          <w:color w:val="auto"/>
        </w:rPr>
      </w:pPr>
      <w:r>
        <w:rPr>
          <w:rFonts w:ascii="Courier New" w:cs="Courier New" w:eastAsia="Courier New" w:hAnsi="Courier New"/>
          <w:sz w:val="18"/>
          <w:szCs w:val="18"/>
          <w:color w:val="auto"/>
        </w:rPr>
        <w:t>The Procter &amp; Gamble Company</w:t>
      </w:r>
    </w:p>
    <w:p>
      <w:pPr>
        <w:jc w:val="center"/>
        <w:ind w:right="2199"/>
        <w:spacing w:after="0"/>
        <w:rPr>
          <w:sz w:val="20"/>
          <w:szCs w:val="20"/>
          <w:color w:val="auto"/>
        </w:rPr>
      </w:pPr>
      <w:r>
        <w:rPr>
          <w:rFonts w:ascii="Courier New" w:cs="Courier New" w:eastAsia="Courier New" w:hAnsi="Courier New"/>
          <w:sz w:val="18"/>
          <w:szCs w:val="18"/>
          <w:color w:val="auto"/>
        </w:rPr>
        <w:t>One Procter &amp; Gamble Plaza</w:t>
      </w:r>
    </w:p>
    <w:p>
      <w:pPr>
        <w:ind w:left="2640"/>
        <w:spacing w:after="0" w:line="237" w:lineRule="auto"/>
        <w:rPr>
          <w:sz w:val="20"/>
          <w:szCs w:val="20"/>
          <w:color w:val="auto"/>
        </w:rPr>
      </w:pPr>
      <w:r>
        <w:rPr>
          <w:rFonts w:ascii="Courier New" w:cs="Courier New" w:eastAsia="Courier New" w:hAnsi="Courier New"/>
          <w:sz w:val="18"/>
          <w:szCs w:val="18"/>
          <w:color w:val="auto"/>
        </w:rPr>
        <w:t>Cincinnati, OH 45202-3315</w:t>
      </w:r>
    </w:p>
    <w:p>
      <w:pPr>
        <w:ind w:left="3280"/>
        <w:spacing w:after="0" w:line="238" w:lineRule="auto"/>
        <w:rPr>
          <w:sz w:val="20"/>
          <w:szCs w:val="20"/>
          <w:color w:val="auto"/>
        </w:rPr>
      </w:pPr>
      <w:r>
        <w:rPr>
          <w:rFonts w:ascii="Courier New" w:cs="Courier New" w:eastAsia="Courier New" w:hAnsi="Courier New"/>
          <w:sz w:val="18"/>
          <w:szCs w:val="18"/>
          <w:color w:val="auto"/>
        </w:rPr>
        <w:t>(513) 983-4463</w:t>
      </w:r>
    </w:p>
    <w:p>
      <w:pPr>
        <w:jc w:val="center"/>
        <w:ind w:right="2319"/>
        <w:spacing w:after="0"/>
        <w:rPr>
          <w:sz w:val="20"/>
          <w:szCs w:val="20"/>
          <w:color w:val="auto"/>
        </w:rPr>
      </w:pPr>
      <w:r>
        <w:rPr>
          <w:rFonts w:ascii="Courier New" w:cs="Courier New" w:eastAsia="Courier New" w:hAnsi="Courier New"/>
          <w:sz w:val="18"/>
          <w:szCs w:val="18"/>
          <w:color w:val="auto"/>
        </w:rPr>
        <w:t>(Name, Address and Telephone Number of Persons Authorized</w:t>
      </w:r>
    </w:p>
    <w:p>
      <w:pPr>
        <w:jc w:val="center"/>
        <w:ind w:right="219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June 10, 2003</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|_|.</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will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will not be deemed to be "filed" for the purpose of Section 18 of the Securities Exchange Act of 1934 ("Act") or otherwise subject to the liabilities of that section of the Act but will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 10 7</w:t>
      </w:r>
    </w:p>
    <w:p>
      <w:pPr>
        <w:spacing w:after="0" w:line="207" w:lineRule="exact"/>
        <w:rPr>
          <w:sz w:val="24"/>
          <w:szCs w:val="24"/>
          <w:color w:val="auto"/>
        </w:rPr>
      </w:pPr>
    </w:p>
    <w:p>
      <w:pPr>
        <w:ind w:left="860" w:right="1879" w:hanging="852"/>
        <w:spacing w:after="0" w:line="235" w:lineRule="auto"/>
        <w:tabs>
          <w:tab w:leader="none" w:pos="54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The Procter &amp; Gamble Company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Number 31-0411980</w:t>
      </w:r>
    </w:p>
    <w:p>
      <w:pPr>
        <w:spacing w:after="0" w:line="202"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280" w:hanging="429"/>
        <w:spacing w:after="0" w:line="238"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280" w:hanging="429"/>
        <w:spacing w:after="0" w:line="238"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2"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960" w:right="8099" w:hanging="952"/>
        <w:spacing w:after="0" w:line="470" w:lineRule="auto"/>
        <w:tabs>
          <w:tab w:leader="none" w:pos="53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ind w:left="540"/>
        <w:spacing w:after="0"/>
        <w:tabs>
          <w:tab w:leader="none" w:pos="726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532" w:type="dxa"/>
        <w:tblCellMar>
          <w:top w:w="0" w:type="dxa"/>
          <w:left w:w="0" w:type="dxa"/>
          <w:bottom w:w="0" w:type="dxa"/>
          <w:right w:w="0" w:type="dxa"/>
        </w:tblCellMar>
      </w:tblPr>
      <w:tr>
        <w:trPr>
          <w:trHeight w:val="204"/>
        </w:trPr>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Ohio</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7</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8</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940" w:type="dxa"/>
            <w:vAlign w:val="bottom"/>
          </w:tcPr>
          <w:p>
            <w:pPr>
              <w:spacing w:after="0"/>
              <w:rPr>
                <w:sz w:val="24"/>
                <w:szCs w:val="24"/>
                <w:color w:val="auto"/>
              </w:rPr>
            </w:pP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rPr>
              <w:t>573,630</w:t>
            </w:r>
          </w:p>
        </w:tc>
      </w:tr>
      <w:tr>
        <w:trPr>
          <w:trHeight w:val="405"/>
        </w:trPr>
        <w:tc>
          <w:tcPr>
            <w:tcW w:w="174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9</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24"/>
                <w:szCs w:val="24"/>
                <w:color w:val="auto"/>
              </w:rPr>
            </w:pP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rPr>
              <w:t>0</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10</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rPr>
              <w:t>573,630</w:t>
            </w:r>
          </w:p>
        </w:tc>
      </w:tr>
    </w:tbl>
    <w:p>
      <w:pPr>
        <w:spacing w:after="0" w:line="207" w:lineRule="exact"/>
        <w:rPr>
          <w:sz w:val="20"/>
          <w:szCs w:val="20"/>
          <w:color w:val="auto"/>
        </w:rPr>
      </w:pPr>
    </w:p>
    <w:p>
      <w:pPr>
        <w:ind w:left="3572" w:right="3359" w:hanging="3572"/>
        <w:spacing w:after="0" w:line="235" w:lineRule="auto"/>
        <w:tabs>
          <w:tab w:leader="none" w:pos="51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573,630</w:t>
      </w:r>
    </w:p>
    <w:p>
      <w:pPr>
        <w:spacing w:after="0" w:line="208" w:lineRule="exact"/>
        <w:rPr>
          <w:rFonts w:ascii="Courier New" w:cs="Courier New" w:eastAsia="Courier New" w:hAnsi="Courier New"/>
          <w:sz w:val="18"/>
          <w:szCs w:val="18"/>
          <w:color w:val="auto"/>
        </w:rPr>
      </w:pPr>
    </w:p>
    <w:p>
      <w:pPr>
        <w:ind w:left="3572" w:right="2419" w:hanging="3572"/>
        <w:spacing w:after="0" w:line="235" w:lineRule="auto"/>
        <w:tabs>
          <w:tab w:leader="none" w:pos="51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w:t>
      </w:r>
    </w:p>
    <w:p>
      <w:pPr>
        <w:spacing w:after="0" w:line="208" w:lineRule="exact"/>
        <w:rPr>
          <w:rFonts w:ascii="Courier New" w:cs="Courier New" w:eastAsia="Courier New" w:hAnsi="Courier New"/>
          <w:sz w:val="18"/>
          <w:szCs w:val="18"/>
          <w:color w:val="auto"/>
        </w:rPr>
      </w:pPr>
    </w:p>
    <w:p>
      <w:pPr>
        <w:ind w:left="532" w:right="4419" w:hanging="532"/>
        <w:spacing w:after="0" w:line="235" w:lineRule="auto"/>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1.1%</w:t>
      </w:r>
    </w:p>
    <w:p>
      <w:pPr>
        <w:spacing w:after="0" w:line="208" w:lineRule="exact"/>
        <w:rPr>
          <w:rFonts w:ascii="Courier New" w:cs="Courier New" w:eastAsia="Courier New" w:hAnsi="Courier New"/>
          <w:sz w:val="18"/>
          <w:szCs w:val="18"/>
          <w:color w:val="auto"/>
        </w:rPr>
      </w:pPr>
    </w:p>
    <w:p>
      <w:pPr>
        <w:ind w:left="532" w:right="7159" w:hanging="532"/>
        <w:spacing w:after="0" w:line="470" w:lineRule="auto"/>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1"/>
          </w:cols>
          <w:pgMar w:left="248"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 10 7</w:t>
      </w:r>
    </w:p>
    <w:p>
      <w:pPr>
        <w:spacing w:after="0" w:line="207" w:lineRule="exact"/>
        <w:rPr>
          <w:sz w:val="20"/>
          <w:szCs w:val="20"/>
          <w:color w:val="auto"/>
        </w:rPr>
      </w:pPr>
    </w:p>
    <w:p>
      <w:pPr>
        <w:ind w:left="860" w:right="1879" w:hanging="852"/>
        <w:spacing w:after="0" w:line="235"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Procter &amp; Gamble Pharmaceuticals, Inc.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Number 31-1209457</w:t>
      </w:r>
    </w:p>
    <w:p>
      <w:pPr>
        <w:spacing w:after="0" w:line="202"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280" w:hanging="429"/>
        <w:spacing w:after="0" w:line="238" w:lineRule="auto"/>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280" w:hanging="429"/>
        <w:spacing w:after="0" w:line="238" w:lineRule="auto"/>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2"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WC</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ind w:left="540"/>
        <w:spacing w:after="0"/>
        <w:tabs>
          <w:tab w:leader="none" w:pos="726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1280" w:right="5899" w:hanging="1272"/>
        <w:spacing w:after="0" w:line="470" w:lineRule="auto"/>
        <w:tabs>
          <w:tab w:leader="none" w:pos="5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Ohio</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7</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8</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940" w:type="dxa"/>
            <w:vAlign w:val="bottom"/>
          </w:tcPr>
          <w:p>
            <w:pPr>
              <w:spacing w:after="0"/>
              <w:rPr>
                <w:sz w:val="24"/>
                <w:szCs w:val="24"/>
                <w:color w:val="auto"/>
              </w:rPr>
            </w:pP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rPr>
              <w:t>573,630</w:t>
            </w:r>
          </w:p>
        </w:tc>
      </w:tr>
      <w:tr>
        <w:trPr>
          <w:trHeight w:val="405"/>
        </w:trPr>
        <w:tc>
          <w:tcPr>
            <w:tcW w:w="174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9</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24"/>
                <w:szCs w:val="24"/>
                <w:color w:val="auto"/>
              </w:rPr>
            </w:pP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rPr>
              <w:t>0</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940" w:type="dxa"/>
            <w:vAlign w:val="bottom"/>
          </w:tcPr>
          <w:p>
            <w:pPr>
              <w:ind w:left="460"/>
              <w:spacing w:after="0"/>
              <w:rPr>
                <w:sz w:val="20"/>
                <w:szCs w:val="20"/>
                <w:color w:val="auto"/>
              </w:rPr>
            </w:pPr>
            <w:r>
              <w:rPr>
                <w:rFonts w:ascii="Courier New" w:cs="Courier New" w:eastAsia="Courier New" w:hAnsi="Courier New"/>
                <w:sz w:val="18"/>
                <w:szCs w:val="18"/>
                <w:color w:val="auto"/>
              </w:rPr>
              <w:t>10</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rPr>
              <w:t>573,630</w:t>
            </w:r>
          </w:p>
        </w:tc>
      </w:tr>
    </w:tbl>
    <w:p>
      <w:pPr>
        <w:spacing w:after="0" w:line="207" w:lineRule="exact"/>
        <w:rPr>
          <w:sz w:val="20"/>
          <w:szCs w:val="20"/>
          <w:color w:val="auto"/>
        </w:rPr>
      </w:pPr>
    </w:p>
    <w:p>
      <w:pPr>
        <w:ind w:left="3580" w:right="3359" w:hanging="3572"/>
        <w:spacing w:after="0" w:line="235"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573,630</w:t>
      </w:r>
    </w:p>
    <w:p>
      <w:pPr>
        <w:spacing w:after="0" w:line="208" w:lineRule="exact"/>
        <w:rPr>
          <w:rFonts w:ascii="Courier New" w:cs="Courier New" w:eastAsia="Courier New" w:hAnsi="Courier New"/>
          <w:sz w:val="18"/>
          <w:szCs w:val="18"/>
          <w:color w:val="auto"/>
        </w:rPr>
      </w:pPr>
    </w:p>
    <w:p>
      <w:pPr>
        <w:ind w:left="3580" w:right="2419" w:hanging="3572"/>
        <w:spacing w:after="0" w:line="235" w:lineRule="auto"/>
        <w:tabs>
          <w:tab w:leader="none" w:pos="5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w:t>
      </w:r>
    </w:p>
    <w:p>
      <w:pPr>
        <w:spacing w:after="0" w:line="208" w:lineRule="exact"/>
        <w:rPr>
          <w:rFonts w:ascii="Courier New" w:cs="Courier New" w:eastAsia="Courier New" w:hAnsi="Courier New"/>
          <w:sz w:val="18"/>
          <w:szCs w:val="18"/>
          <w:color w:val="auto"/>
        </w:rPr>
      </w:pPr>
    </w:p>
    <w:p>
      <w:pPr>
        <w:ind w:left="540" w:right="441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1.1%</w:t>
      </w:r>
    </w:p>
    <w:p>
      <w:pPr>
        <w:spacing w:after="0" w:line="208"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 SECURITY AND ISSUER.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This Amendment No. 6 ("Amendment No. 6") to the Statement on Schedule 13D (the Statement as so amended, the "Statement") relates to the Common Stock, par value $.001 per share (the "Common Stock") of Regeneron Pharmaceuticals, Inc., a New York corporation (the "Company"). The principal executive offices of the Company are at 777 Old Saw Mill Road, Tarrytown, NY 10591.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hanging="429"/>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Procter &amp; Gamble Company</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Incorporation:  Ohio</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Manufacture and marketing of consumer</w:t>
      </w:r>
    </w:p>
    <w:p>
      <w:pPr>
        <w:ind w:left="3480"/>
        <w:spacing w:after="0"/>
        <w:rPr>
          <w:sz w:val="20"/>
          <w:szCs w:val="20"/>
          <w:color w:val="auto"/>
        </w:rPr>
      </w:pPr>
      <w:r>
        <w:rPr>
          <w:rFonts w:ascii="Courier New" w:cs="Courier New" w:eastAsia="Courier New" w:hAnsi="Courier New"/>
          <w:sz w:val="18"/>
          <w:szCs w:val="18"/>
          <w:color w:val="auto"/>
        </w:rPr>
        <w:t>products</w:t>
      </w:r>
    </w:p>
    <w:p>
      <w:pPr>
        <w:spacing w:after="0" w:line="3" w:lineRule="exact"/>
        <w:rPr>
          <w:sz w:val="20"/>
          <w:szCs w:val="20"/>
          <w:color w:val="auto"/>
        </w:rPr>
      </w:pPr>
    </w:p>
    <w:p>
      <w:pPr>
        <w:ind w:left="4640" w:right="2839" w:hanging="3370"/>
        <w:spacing w:after="0" w:line="268" w:lineRule="auto"/>
        <w:tabs>
          <w:tab w:leader="none" w:pos="462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One Procter &amp; Gamble Plaza Cincinnati, Ohio 45202</w:t>
      </w:r>
    </w:p>
    <w:p>
      <w:pPr>
        <w:ind w:left="1280"/>
        <w:spacing w:after="0" w:line="233" w:lineRule="auto"/>
        <w:tabs>
          <w:tab w:leader="none" w:pos="1980" w:val="left"/>
        </w:tabs>
        <w:rPr>
          <w:sz w:val="20"/>
          <w:szCs w:val="20"/>
          <w:color w:val="auto"/>
        </w:rPr>
      </w:pPr>
      <w:r>
        <w:rPr>
          <w:rFonts w:ascii="Courier New" w:cs="Courier New" w:eastAsia="Courier New" w:hAnsi="Courier New"/>
          <w:sz w:val="18"/>
          <w:szCs w:val="18"/>
          <w:color w:val="auto"/>
        </w:rPr>
        <w:t>Name:</w:t>
        <w:tab/>
        <w:t>Procter &amp; Gamble Pharmaceuticals, Inc.</w:t>
      </w:r>
    </w:p>
    <w:p>
      <w:pPr>
        <w:ind w:left="1280"/>
        <w:spacing w:after="0"/>
        <w:tabs>
          <w:tab w:leader="none" w:pos="388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Ohio</w:t>
      </w:r>
    </w:p>
    <w:p>
      <w:pPr>
        <w:spacing w:after="0" w:line="4" w:lineRule="exact"/>
        <w:rPr>
          <w:sz w:val="20"/>
          <w:szCs w:val="20"/>
          <w:color w:val="auto"/>
        </w:rPr>
      </w:pPr>
    </w:p>
    <w:p>
      <w:pPr>
        <w:ind w:left="3480" w:right="2199" w:hanging="2211"/>
        <w:spacing w:after="0" w:line="235" w:lineRule="auto"/>
        <w:tabs>
          <w:tab w:leader="none" w:pos="3460" w:val="left"/>
        </w:tabs>
        <w:rPr>
          <w:sz w:val="20"/>
          <w:szCs w:val="20"/>
          <w:color w:val="auto"/>
        </w:rPr>
      </w:pPr>
      <w:r>
        <w:rPr>
          <w:rFonts w:ascii="Courier New" w:cs="Courier New" w:eastAsia="Courier New" w:hAnsi="Courier New"/>
          <w:sz w:val="18"/>
          <w:szCs w:val="18"/>
          <w:color w:val="auto"/>
        </w:rPr>
        <w:t>Principal Business:</w:t>
        <w:tab/>
        <w:t>Manufacture and marketing of pharmaceutical products</w:t>
      </w:r>
    </w:p>
    <w:p>
      <w:pPr>
        <w:ind w:left="1280"/>
        <w:spacing w:after="0"/>
        <w:tabs>
          <w:tab w:leader="none" w:pos="462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same</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The Procter &amp; Gamble Company ("P&amp;G") and Procter &amp; Gamble Pharmaceuticals, Inc. ("P&amp;G Pharmaceuticals") are hereinafter referred to collectively as the "Reporting Persons".</w:t>
      </w:r>
    </w:p>
    <w:p>
      <w:pPr>
        <w:spacing w:after="0" w:line="203" w:lineRule="exact"/>
        <w:rPr>
          <w:sz w:val="20"/>
          <w:szCs w:val="20"/>
          <w:color w:val="auto"/>
        </w:rPr>
      </w:pPr>
    </w:p>
    <w:p>
      <w:pPr>
        <w:ind w:left="1580" w:hanging="41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hanging="415"/>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4(a) of the Statement is hereby amended as follows: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 November 20, 2001 and June 10, 2003, P&amp;G Pharmaceuticals</w:t>
      </w:r>
    </w:p>
    <w:p>
      <w:pPr>
        <w:spacing w:after="0" w:line="5"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conducted open market sales of the Company's Common Stock (the "Sales") on the dates and in the amounts set forth in Exhibit 1 hereto (the "Schedule of Sales").</w:t>
      </w:r>
    </w:p>
    <w:p>
      <w:pPr>
        <w:spacing w:after="0" w:line="203" w:lineRule="exact"/>
        <w:rPr>
          <w:sz w:val="20"/>
          <w:szCs w:val="20"/>
          <w:color w:val="auto"/>
        </w:rPr>
      </w:pPr>
    </w:p>
    <w:p>
      <w:pPr>
        <w:ind w:left="1160" w:hanging="415"/>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160" w:hanging="41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IN SECURITIES OF THE COMPANY.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745"/>
        <w:spacing w:after="0" w:line="271" w:lineRule="auto"/>
        <w:tabs>
          <w:tab w:leader="none" w:pos="115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the Sales, the Reporting Person beneficially owns 573,630 shares of Common Stock, representing 1.1% of the total shares of Common Stock based upon the total number shares of Common Stock outstanding reported in the Company's Form 10-Q filed on November 12, 2003. Because the Reporting Persons beneficially owns less than five percent of the total shares of Common Stock outstanding, this amendment constitutes the final amendment to the Statement with respect to the Reporting Persons.</w:t>
      </w:r>
    </w:p>
    <w:p>
      <w:pPr>
        <w:spacing w:after="0" w:line="187" w:lineRule="exact"/>
        <w:rPr>
          <w:rFonts w:ascii="Courier New" w:cs="Courier New" w:eastAsia="Courier New" w:hAnsi="Courier New"/>
          <w:sz w:val="16"/>
          <w:szCs w:val="16"/>
          <w:color w:val="auto"/>
        </w:rPr>
      </w:pPr>
    </w:p>
    <w:p>
      <w:pPr>
        <w:ind w:right="2319" w:firstLine="745"/>
        <w:spacing w:after="0" w:line="236" w:lineRule="auto"/>
        <w:tabs>
          <w:tab w:leader="none" w:pos="11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share the power to vote or direct the vote and to dispose or to direct the disposition of the shares of Common Stock beneficially owned by such Reporting Person as indicated above.</w:t>
      </w:r>
    </w:p>
    <w:p>
      <w:pPr>
        <w:sectPr>
          <w:pgSz w:w="11900" w:h="16838" w:orient="portrait"/>
          <w:cols w:equalWidth="0" w:num="1">
            <w:col w:w="10219"/>
          </w:cols>
          <w:pgMar w:left="240" w:top="717" w:right="1440" w:bottom="0" w:gutter="0" w:footer="0" w:header="0"/>
        </w:sectPr>
      </w:pPr>
    </w:p>
    <w:bookmarkStart w:id="4" w:name="page5"/>
    <w:bookmarkEnd w:id="4"/>
    <w:p>
      <w:pPr>
        <w:ind w:left="1160" w:hanging="415"/>
        <w:spacing w:after="0"/>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4(a) for information responsive to this item.</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2319" w:firstLine="745"/>
        <w:spacing w:after="0" w:line="237" w:lineRule="auto"/>
        <w:tabs>
          <w:tab w:leader="none" w:pos="115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ceased to be the beneficial owners of five percent of the Company's Common Stock on August 23, 2002. As such, following the date of the filing of this Amendment No. 6, the Reporting Persons will no longer report their ownership interest in the Common Stock of the Company unless and until the Reporting Persons would be required to do so pursuant to Rule 13d-1(a).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9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CONTRACTS, ARRANGEMENTS, UNDERSTANDINGS OR RELATIONSHIPS</w:t>
            </w:r>
          </w:p>
        </w:tc>
      </w:tr>
      <w:tr>
        <w:trPr>
          <w:trHeight w:val="203"/>
        </w:trPr>
        <w:tc>
          <w:tcPr>
            <w:tcW w:w="800" w:type="dxa"/>
            <w:vAlign w:val="bottom"/>
          </w:tcPr>
          <w:p>
            <w:pPr>
              <w:spacing w:after="0"/>
              <w:rPr>
                <w:sz w:val="17"/>
                <w:szCs w:val="17"/>
                <w:color w:val="auto"/>
              </w:rPr>
            </w:pP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WITH RESPECT TO SECURITIES OF THE</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800" w:type="dxa"/>
            <w:vAlign w:val="bottom"/>
          </w:tcPr>
          <w:p>
            <w:pPr>
              <w:spacing w:after="0"/>
              <w:rPr>
                <w:sz w:val="17"/>
                <w:szCs w:val="17"/>
                <w:color w:val="auto"/>
              </w:rPr>
            </w:pPr>
          </w:p>
        </w:tc>
        <w:tc>
          <w:tcPr>
            <w:tcW w:w="5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800" w:type="dxa"/>
            <w:vAlign w:val="bottom"/>
          </w:tcPr>
          <w:p>
            <w:pPr>
              <w:spacing w:after="0"/>
              <w:rPr>
                <w:sz w:val="17"/>
                <w:szCs w:val="17"/>
                <w:color w:val="auto"/>
              </w:rPr>
            </w:pP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applicable</w:t>
            </w:r>
          </w:p>
        </w:tc>
        <w:tc>
          <w:tcPr>
            <w:tcW w:w="236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w w:val="98"/>
              </w:rPr>
              <w:t>MATERIAL TO BE FILED AS EXHIBITS.</w:t>
            </w:r>
          </w:p>
        </w:tc>
        <w:tc>
          <w:tcPr>
            <w:tcW w:w="236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t>
            </w:r>
          </w:p>
        </w:tc>
        <w:tc>
          <w:tcPr>
            <w:tcW w:w="236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w w:val="98"/>
              </w:rPr>
              <w:t>The following documents are filed</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as Exhibits:</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1: Schedule of Sales</w:t>
            </w:r>
          </w:p>
        </w:tc>
        <w:tc>
          <w:tcPr>
            <w:tcW w:w="23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2004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 Walther</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Chris Walther</w:t>
      </w:r>
    </w:p>
    <w:p>
      <w:pPr>
        <w:ind w:left="2540"/>
        <w:spacing w:after="0" w:line="237" w:lineRule="auto"/>
        <w:tabs>
          <w:tab w:leader="none" w:pos="3360" w:val="left"/>
        </w:tabs>
        <w:rPr>
          <w:sz w:val="20"/>
          <w:szCs w:val="20"/>
          <w:color w:val="auto"/>
        </w:rPr>
      </w:pPr>
      <w:r>
        <w:rPr>
          <w:rFonts w:ascii="Courier New" w:cs="Courier New" w:eastAsia="Courier New" w:hAnsi="Courier New"/>
          <w:sz w:val="18"/>
          <w:szCs w:val="18"/>
          <w:color w:val="auto"/>
        </w:rPr>
        <w:t>Title:</w:t>
        <w:tab/>
        <w:t>Assistant Secretary</w:t>
      </w:r>
    </w:p>
    <w:p>
      <w:pPr>
        <w:spacing w:after="0" w:line="200" w:lineRule="exact"/>
        <w:rPr>
          <w:sz w:val="20"/>
          <w:szCs w:val="20"/>
          <w:color w:val="auto"/>
        </w:rPr>
      </w:pPr>
    </w:p>
    <w:p>
      <w:pPr>
        <w:spacing w:after="0" w:line="210" w:lineRule="exact"/>
        <w:rPr>
          <w:sz w:val="20"/>
          <w:szCs w:val="20"/>
          <w:color w:val="auto"/>
        </w:rPr>
      </w:pPr>
    </w:p>
    <w:p>
      <w:pPr>
        <w:ind w:right="23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2004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 Walther</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Chris Walther</w:t>
      </w:r>
    </w:p>
    <w:p>
      <w:pPr>
        <w:ind w:left="2540"/>
        <w:spacing w:after="0" w:line="237" w:lineRule="auto"/>
        <w:tabs>
          <w:tab w:leader="none" w:pos="3360" w:val="left"/>
        </w:tabs>
        <w:rPr>
          <w:sz w:val="20"/>
          <w:szCs w:val="20"/>
          <w:color w:val="auto"/>
        </w:rPr>
      </w:pPr>
      <w:r>
        <w:rPr>
          <w:rFonts w:ascii="Courier New" w:cs="Courier New" w:eastAsia="Courier New" w:hAnsi="Courier New"/>
          <w:sz w:val="18"/>
          <w:szCs w:val="18"/>
          <w:color w:val="auto"/>
        </w:rPr>
        <w:t>Title:</w:t>
        <w:tab/>
        <w:t>Assistant Secretary</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336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Schedule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Date of Sale</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rPr>
              <w:t>Number of shares sold</w:t>
            </w:r>
          </w:p>
        </w:tc>
        <w:tc>
          <w:tcPr>
            <w:tcW w:w="6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Price per Share ($)   Where and How Transaction Effected</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w:t>
            </w:r>
          </w:p>
        </w:tc>
        <w:tc>
          <w:tcPr>
            <w:tcW w:w="2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April 16,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40,000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24.12</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April, 17, 2002</w:t>
            </w:r>
          </w:p>
        </w:tc>
        <w:tc>
          <w:tcPr>
            <w:tcW w:w="2900" w:type="dxa"/>
            <w:vAlign w:val="bottom"/>
          </w:tcPr>
          <w:p>
            <w:pPr>
              <w:ind w:left="1260"/>
              <w:spacing w:after="0"/>
              <w:rPr>
                <w:sz w:val="20"/>
                <w:szCs w:val="20"/>
                <w:color w:val="auto"/>
              </w:rPr>
            </w:pPr>
            <w:r>
              <w:rPr>
                <w:rFonts w:ascii="Courier New" w:cs="Courier New" w:eastAsia="Courier New" w:hAnsi="Courier New"/>
                <w:sz w:val="18"/>
                <w:szCs w:val="18"/>
                <w:color w:val="auto"/>
              </w:rPr>
              <w:t>3,000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24.18</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April 19,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10,500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24.00</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July 31,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50,000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17.56</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August 9,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36,000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17.02</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August 15,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61,500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17.09</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August 16,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44,500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17.01</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August 22,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100,000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17.36</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August 23,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58,500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17.00</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October 3, 2002</w:t>
            </w:r>
          </w:p>
        </w:tc>
        <w:tc>
          <w:tcPr>
            <w:tcW w:w="2900" w:type="dxa"/>
            <w:vAlign w:val="bottom"/>
          </w:tcPr>
          <w:p>
            <w:pPr>
              <w:ind w:left="1260"/>
              <w:spacing w:after="0"/>
              <w:rPr>
                <w:sz w:val="20"/>
                <w:szCs w:val="20"/>
                <w:color w:val="auto"/>
              </w:rPr>
            </w:pPr>
            <w:r>
              <w:rPr>
                <w:rFonts w:ascii="Courier New" w:cs="Courier New" w:eastAsia="Courier New" w:hAnsi="Courier New"/>
                <w:sz w:val="18"/>
                <w:szCs w:val="18"/>
                <w:color w:val="auto"/>
              </w:rPr>
              <w:t>3,650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15.03</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December 10, 2002</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40,000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20.42</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June 4, 2003</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183,300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14.52</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June 5, 2003</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275,500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15.10</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June 6, 2003</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243,550</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15.94</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June 9, 2003</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571,667</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16.11</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June 10, 2003</w:t>
            </w:r>
          </w:p>
        </w:tc>
        <w:tc>
          <w:tcPr>
            <w:tcW w:w="2900" w:type="dxa"/>
            <w:vAlign w:val="bottom"/>
          </w:tcPr>
          <w:p>
            <w:pPr>
              <w:ind w:left="1160"/>
              <w:spacing w:after="0"/>
              <w:rPr>
                <w:sz w:val="20"/>
                <w:szCs w:val="20"/>
                <w:color w:val="auto"/>
              </w:rPr>
            </w:pPr>
            <w:r>
              <w:rPr>
                <w:rFonts w:ascii="Courier New" w:cs="Courier New" w:eastAsia="Courier New" w:hAnsi="Courier New"/>
                <w:sz w:val="18"/>
                <w:szCs w:val="18"/>
                <w:color w:val="auto"/>
              </w:rPr>
              <w:t>367,208</w:t>
            </w:r>
          </w:p>
        </w:tc>
        <w:tc>
          <w:tcPr>
            <w:tcW w:w="23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16.26</w:t>
            </w:r>
          </w:p>
        </w:tc>
        <w:tc>
          <w:tcPr>
            <w:tcW w:w="3800" w:type="dxa"/>
            <w:vAlign w:val="bottom"/>
          </w:tcPr>
          <w:p>
            <w:pPr>
              <w:ind w:left="120"/>
              <w:spacing w:after="0"/>
              <w:rPr>
                <w:sz w:val="20"/>
                <w:szCs w:val="20"/>
                <w:color w:val="auto"/>
              </w:rPr>
            </w:pPr>
            <w:r>
              <w:rPr>
                <w:rFonts w:ascii="Courier New" w:cs="Courier New" w:eastAsia="Courier New" w:hAnsi="Courier New"/>
                <w:sz w:val="18"/>
                <w:szCs w:val="18"/>
                <w:color w:val="auto"/>
              </w:rPr>
              <w:t>Dealer Transaction on the NASDAQ</w:t>
            </w:r>
          </w:p>
        </w:tc>
      </w:tr>
    </w:tbl>
    <w:p>
      <w:pPr>
        <w:spacing w:after="0" w:line="1" w:lineRule="exact"/>
        <w:rPr>
          <w:sz w:val="20"/>
          <w:szCs w:val="20"/>
          <w:color w:val="auto"/>
        </w:rPr>
      </w:pPr>
    </w:p>
    <w:sectPr>
      <w:pgSz w:w="11900" w:h="16838" w:orient="portrait"/>
      <w:cols w:equalWidth="0" w:num="1">
        <w:col w:w="11280"/>
      </w:cols>
      <w:pgMar w:left="240" w:top="7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bullet"/>
      <w:start w:val="1"/>
    </w:lvl>
  </w:abstractNum>
  <w:abstractNum w:abstractNumId="1">
    <w:nsid w:val="216231B"/>
    <w:multiLevelType w:val="hybridMultilevel"/>
    <w:lvl w:ilvl="0">
      <w:lvlJc w:val="left"/>
      <w:lvlText w:val="2"/>
      <w:numFmt w:val="bullet"/>
      <w:start w:val="1"/>
    </w:lvl>
    <w:lvl w:ilvl="1">
      <w:lvlJc w:val="left"/>
      <w:lvlText w:val="(%2)"/>
      <w:numFmt w:val="lowerLetter"/>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4"/>
      <w:numFmt w:val="bullet"/>
      <w:start w:val="1"/>
    </w:lvl>
  </w:abstractNum>
  <w:abstractNum w:abstractNumId="4">
    <w:nsid w:val="66EF438D"/>
    <w:multiLevelType w:val="hybridMultilevel"/>
    <w:lvl w:ilvl="0">
      <w:lvlJc w:val="left"/>
      <w:lvlText w:val="5"/>
      <w:numFmt w:val="bullet"/>
      <w:start w:val="1"/>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2"/>
      <w:numFmt w:val="bullet"/>
      <w:start w:val="1"/>
    </w:lvl>
    <w:lvl w:ilvl="1">
      <w:lvlJc w:val="left"/>
      <w:lvlText w:val="(%2)"/>
      <w:numFmt w:val="lowerLetter"/>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4"/>
      <w:numFmt w:val="bullet"/>
      <w:start w:val="1"/>
    </w:lvl>
  </w:abstractNum>
  <w:abstractNum w:abstractNumId="10">
    <w:nsid w:val="1BEFD79F"/>
    <w:multiLevelType w:val="hybridMultilevel"/>
    <w:lvl w:ilvl="0">
      <w:lvlJc w:val="left"/>
      <w:lvlText w:val="5"/>
      <w:numFmt w:val="bullet"/>
      <w:start w:val="1"/>
    </w:lvl>
  </w:abstractNum>
  <w:abstractNum w:abstractNumId="11">
    <w:nsid w:val="41A7C4C9"/>
    <w:multiLevelType w:val="hybridMultilevel"/>
    <w:lvl w:ilvl="0">
      <w:lvlJc w:val="left"/>
      <w:lvlText w:val="6"/>
      <w:numFmt w:val="bullet"/>
      <w:start w:val="1"/>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2019-12-19T23:59:54Z</dcterms:created>
  <dcterms:modified xsi:type="dcterms:W3CDTF">2019-12-19T23:59:54Z</dcterms:modified>
</cp:coreProperties>
</file>