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18262d1_8k.htm"/>
      <w:bookmarkStart w:id="1" w:name="kstm2518262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06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June 18, 2025 (</w:t>
      </w:r>
      <w:bookmarkStart w:id="3" w:name="xdx_90E_edei--DocumentPeriodEndDate_c202"/>
      <w:bookmarkEnd w:id="3"/>
      <w:r>
        <w:rPr>
          <w:rFonts w:ascii="Times New Roman;Times;Serif" w:hAnsi="Times New Roman;Times;Serif"/>
          <w:b/>
          <w:i w:val="false"/>
          <w:caps w:val="false"/>
          <w:smallCaps w:val="false"/>
          <w:sz w:val="20"/>
        </w:rPr>
        <w:t>June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5"/>
      <w:bookmarkEnd w:id="4"/>
      <w:r>
        <w:rPr>
          <w:rFonts w:ascii="Times New Roman;Times;Serif" w:hAnsi="Times New Roman;Times;Serif"/>
          <w:b/>
          <w:i w:val="false"/>
          <w:caps w:val="false"/>
          <w:smallCaps w:val="false"/>
          <w:sz w:val="36"/>
        </w:rPr>
        <w:t>REGENERON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New York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475"/>
        <w:gridCol w:w="60"/>
        <w:gridCol w:w="1565"/>
      </w:tblGrid>
      <w:tr>
        <w:trPr/>
        <w:tc>
          <w:tcPr>
            <w:tcW w:w="4475" w:type="dxa"/>
            <w:tcBorders/>
            <w:vAlign w:val="center"/>
          </w:tcPr>
          <w:p>
            <w:pPr>
              <w:pStyle w:val="TableContents"/>
              <w:bidi w:val="0"/>
              <w:spacing w:before="0" w:after="283"/>
              <w:jc w:val="center"/>
              <w:rPr>
                <w:b/>
                <w:i w:val="false"/>
                <w:caps w:val="false"/>
                <w:smallCaps w:val="false"/>
                <w:sz w:val="20"/>
              </w:rPr>
            </w:pPr>
            <w:bookmarkStart w:id="6" w:name="xdx_902_edei--EntityFileNumber_c20250613"/>
            <w:bookmarkEnd w:id="6"/>
            <w:r>
              <w:rPr>
                <w:b/>
                <w:i w:val="false"/>
                <w:caps w:val="false"/>
                <w:smallCaps w:val="false"/>
                <w:sz w:val="20"/>
              </w:rPr>
              <w:t>000-19034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7" w:name="xdx_908_edei--EntityTaxIdentificationNum"/>
            <w:bookmarkEnd w:id="7"/>
            <w:r>
              <w:rPr>
                <w:b/>
                <w:i w:val="false"/>
                <w:caps w:val="false"/>
                <w:smallCaps w:val="false"/>
                <w:sz w:val="20"/>
              </w:rPr>
              <w:t>13-3444607</w:t>
            </w:r>
          </w:p>
        </w:tc>
      </w:tr>
      <w:tr>
        <w:trPr/>
        <w:tc>
          <w:tcPr>
            <w:tcW w:w="44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475"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b/>
                <w:i w:val="false"/>
                <w:caps w:val="false"/>
                <w:smallCaps w:val="false"/>
                <w:sz w:val="20"/>
              </w:rPr>
            </w:pPr>
            <w:bookmarkStart w:id="8" w:name="xdx_90E_edei--EntityAddressAddressLine1_"/>
            <w:bookmarkEnd w:id="8"/>
            <w:r>
              <w:rPr>
                <w:b/>
                <w:i w:val="false"/>
                <w:caps w:val="false"/>
                <w:smallCaps w:val="false"/>
                <w:sz w:val="20"/>
              </w:rPr>
              <w:t xml:space="preserve">777 Old Saw Mill River Road, </w:t>
            </w:r>
            <w:bookmarkStart w:id="9" w:name="xdx_901_edei--EntityAddressCityOrTown_c2"/>
            <w:bookmarkEnd w:id="9"/>
            <w:r>
              <w:rPr>
                <w:b/>
                <w:i w:val="false"/>
                <w:caps w:val="false"/>
                <w:smallCaps w:val="false"/>
                <w:sz w:val="20"/>
              </w:rPr>
              <w:t xml:space="preserve">Tarrytown, </w:t>
            </w:r>
            <w:bookmarkStart w:id="10" w:name="xdx_906_edei--EntityAddressStateOrProvin"/>
            <w:bookmarkEnd w:id="10"/>
            <w:r>
              <w:rPr>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11" w:name="xdx_908_edei--EntityAddressPostalZipCode"/>
            <w:bookmarkEnd w:id="11"/>
            <w:r>
              <w:rPr>
                <w:b/>
                <w:i w:val="false"/>
                <w:caps w:val="false"/>
                <w:smallCaps w:val="false"/>
                <w:sz w:val="20"/>
              </w:rPr>
              <w:t>10591-6707</w:t>
            </w:r>
          </w:p>
        </w:tc>
      </w:tr>
      <w:tr>
        <w:trPr/>
        <w:tc>
          <w:tcPr>
            <w:tcW w:w="447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6_edei--CityAreaCode_c20250613__20"/>
      <w:bookmarkEnd w:id="12"/>
      <w:r>
        <w:rPr>
          <w:rFonts w:ascii="Times New Roman;Times;Serif" w:hAnsi="Times New Roman;Times;Serif"/>
          <w:b/>
          <w:i w:val="false"/>
          <w:caps w:val="false"/>
          <w:smallCaps w:val="false"/>
          <w:sz w:val="20"/>
        </w:rPr>
        <w:t xml:space="preserve">914) </w:t>
      </w:r>
      <w:bookmarkStart w:id="13" w:name="xdx_90B_edei--LocalPhoneNumber_c20250613"/>
      <w:bookmarkEnd w:id="13"/>
      <w:r>
        <w:rPr>
          <w:rFonts w:ascii="Times New Roman;Times;Serif" w:hAnsi="Times New Roman;Times;Serif"/>
          <w:b/>
          <w:i w:val="false"/>
          <w:caps w:val="false"/>
          <w:smallCaps w:val="false"/>
          <w:sz w:val="20"/>
        </w:rPr>
        <w:t>847-7000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5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5" w:name="xdx_90C_edei--SolicitingMaterial_c202506"/>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6" w:name="xdx_908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7" w:name="xdx_90F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28" w:type="dxa"/>
          <w:left w:w="0" w:type="dxa"/>
          <w:bottom w:w="28" w:type="dxa"/>
          <w:right w:w="108" w:type="dxa"/>
        </w:tblCellMar>
      </w:tblPr>
      <w:tblGrid>
        <w:gridCol w:w="3620"/>
        <w:gridCol w:w="1535"/>
        <w:gridCol w:w="3590"/>
      </w:tblGrid>
      <w:tr>
        <w:trPr/>
        <w:tc>
          <w:tcPr>
            <w:tcW w:w="36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i w:val="false"/>
                <w:caps w:val="false"/>
                <w:smallCaps w:val="false"/>
                <w:sz w:val="20"/>
              </w:rPr>
            </w:pPr>
            <w:bookmarkStart w:id="18" w:name="xdx_907_edei--Security12bTitle_c20250613"/>
            <w:bookmarkEnd w:id="18"/>
            <w:r>
              <w:rPr>
                <w:i w:val="false"/>
                <w:caps w:val="false"/>
                <w:smallCaps w:val="false"/>
                <w:sz w:val="20"/>
              </w:rPr>
              <w:t>Common Stock – par value $0.001 per share</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19" w:name="xdx_90A_edei--TradingSymbol_c20250613__2"/>
            <w:bookmarkEnd w:id="19"/>
            <w:r>
              <w:rPr>
                <w:i w:val="false"/>
                <w:caps w:val="false"/>
                <w:smallCaps w:val="false"/>
                <w:sz w:val="20"/>
              </w:rPr>
              <w:t>REGN</w:t>
            </w:r>
          </w:p>
        </w:tc>
        <w:tc>
          <w:tcPr>
            <w:tcW w:w="3590"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20" w:name="xdx_903_edei--SecurityExchangeName_c2025"/>
            <w:bookmarkEnd w:id="20"/>
            <w:r>
              <w:rPr>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02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Meeting of Shareholders of Regeneron Pharmaceuticals, Inc. (“</w:t>
      </w:r>
      <w:r>
        <w:rPr>
          <w:rFonts w:ascii="Times New Roman;Times;Serif" w:hAnsi="Times New Roman;Times;Serif"/>
          <w:b w:val="false"/>
          <w:i w:val="false"/>
          <w:caps w:val="false"/>
          <w:smallCaps w:val="false"/>
          <w:sz w:val="20"/>
          <w:u w:val="single"/>
        </w:rPr>
        <w:t>Regeneron</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on June 13, 2025, Regeneron’s shareholders voted on the matters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1 – Election of Directors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nominees for Class I directors were elected to serve until the 2028 Annual Meeting of Shareholders and until their successors are duly elected and qualified based upon the following votes:</w:t>
      </w:r>
    </w:p>
    <w:p>
      <w:pPr>
        <w:pStyle w:val="TextBody"/>
        <w:bidi w:val="0"/>
        <w:spacing w:before="0" w:after="0"/>
        <w:ind w:left="0" w:right="0" w:firstLine="36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2990"/>
        <w:gridCol w:w="60"/>
        <w:gridCol w:w="1055"/>
        <w:gridCol w:w="60"/>
        <w:gridCol w:w="950"/>
        <w:gridCol w:w="60"/>
        <w:gridCol w:w="695"/>
        <w:gridCol w:w="60"/>
        <w:gridCol w:w="1565"/>
      </w:tblGrid>
      <w:tr>
        <w:trPr/>
        <w:tc>
          <w:tcPr>
            <w:tcW w:w="29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Nominee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2990" w:type="dxa"/>
            <w:tcBorders/>
            <w:shd w:fill="CCEC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Bonnie L. Bassler, Ph.D.</w:t>
            </w:r>
          </w:p>
        </w:tc>
        <w:tc>
          <w:tcPr>
            <w:tcW w:w="60" w:type="dxa"/>
            <w:tcBorders/>
            <w:shd w:fill="CCECFF" w:val="clear"/>
            <w:tcMar>
              <w:bottom w:w="0" w:type="dxa"/>
            </w:tcMar>
            <w:vAlign w:val="center"/>
          </w:tcPr>
          <w:p>
            <w:pPr>
              <w:pStyle w:val="TableContents"/>
              <w:bidi w:val="0"/>
              <w:spacing w:before="0" w:after="283"/>
              <w:jc w:val="left"/>
              <w:rPr/>
            </w:pPr>
            <w:r>
              <w:rPr/>
              <w:t> </w:t>
            </w:r>
          </w:p>
        </w:tc>
        <w:tc>
          <w:tcPr>
            <w:tcW w:w="1055"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87,348,630</w:t>
            </w:r>
          </w:p>
        </w:tc>
        <w:tc>
          <w:tcPr>
            <w:tcW w:w="60" w:type="dxa"/>
            <w:tcBorders/>
            <w:shd w:fill="CCECFF" w:val="clear"/>
            <w:tcMar>
              <w:bottom w:w="0" w:type="dxa"/>
            </w:tcMar>
            <w:vAlign w:val="center"/>
          </w:tcPr>
          <w:p>
            <w:pPr>
              <w:pStyle w:val="TableContents"/>
              <w:bidi w:val="0"/>
              <w:spacing w:before="0" w:after="283"/>
              <w:jc w:val="left"/>
              <w:rPr/>
            </w:pPr>
            <w:r>
              <w:rPr/>
              <w:t> </w:t>
            </w:r>
          </w:p>
        </w:tc>
        <w:tc>
          <w:tcPr>
            <w:tcW w:w="950"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18,594,454</w:t>
            </w:r>
          </w:p>
        </w:tc>
        <w:tc>
          <w:tcPr>
            <w:tcW w:w="60" w:type="dxa"/>
            <w:tcBorders/>
            <w:shd w:fill="CCECFF" w:val="clear"/>
            <w:tcMar>
              <w:bottom w:w="0" w:type="dxa"/>
            </w:tcMar>
            <w:vAlign w:val="center"/>
          </w:tcPr>
          <w:p>
            <w:pPr>
              <w:pStyle w:val="TableContents"/>
              <w:bidi w:val="0"/>
              <w:spacing w:before="0" w:after="283"/>
              <w:jc w:val="left"/>
              <w:rPr/>
            </w:pPr>
            <w:r>
              <w:rPr/>
              <w:t> </w:t>
            </w:r>
          </w:p>
        </w:tc>
        <w:tc>
          <w:tcPr>
            <w:tcW w:w="695"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51,195</w:t>
            </w:r>
          </w:p>
        </w:tc>
        <w:tc>
          <w:tcPr>
            <w:tcW w:w="60" w:type="dxa"/>
            <w:tcBorders/>
            <w:shd w:fill="CCECFF" w:val="clear"/>
            <w:tcMar>
              <w:bottom w:w="0" w:type="dxa"/>
            </w:tcMar>
            <w:vAlign w:val="center"/>
          </w:tcPr>
          <w:p>
            <w:pPr>
              <w:pStyle w:val="TableContents"/>
              <w:bidi w:val="0"/>
              <w:spacing w:before="0" w:after="283"/>
              <w:jc w:val="left"/>
              <w:rPr/>
            </w:pPr>
            <w:r>
              <w:rPr/>
              <w:t> </w:t>
            </w:r>
          </w:p>
        </w:tc>
        <w:tc>
          <w:tcPr>
            <w:tcW w:w="1565"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r>
        <w:trPr/>
        <w:tc>
          <w:tcPr>
            <w:tcW w:w="29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S. Brown, M.D.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77,025,558</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28,913,874</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54,847</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r>
        <w:trPr/>
        <w:tc>
          <w:tcPr>
            <w:tcW w:w="2990" w:type="dxa"/>
            <w:tcBorders/>
            <w:shd w:fill="CCEC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Leonard S. Schleifer, M.D., Ph.D.</w:t>
            </w:r>
          </w:p>
        </w:tc>
        <w:tc>
          <w:tcPr>
            <w:tcW w:w="60" w:type="dxa"/>
            <w:tcBorders/>
            <w:shd w:fill="CCECFF" w:val="clear"/>
            <w:tcMar>
              <w:bottom w:w="0" w:type="dxa"/>
            </w:tcMar>
            <w:vAlign w:val="center"/>
          </w:tcPr>
          <w:p>
            <w:pPr>
              <w:pStyle w:val="TableContents"/>
              <w:bidi w:val="0"/>
              <w:spacing w:before="0" w:after="283"/>
              <w:jc w:val="left"/>
              <w:rPr/>
            </w:pPr>
            <w:r>
              <w:rPr/>
              <w:t> </w:t>
            </w:r>
          </w:p>
        </w:tc>
        <w:tc>
          <w:tcPr>
            <w:tcW w:w="1055"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99,271,439</w:t>
            </w:r>
          </w:p>
        </w:tc>
        <w:tc>
          <w:tcPr>
            <w:tcW w:w="60" w:type="dxa"/>
            <w:tcBorders/>
            <w:shd w:fill="CCECFF" w:val="clear"/>
            <w:tcMar>
              <w:bottom w:w="0" w:type="dxa"/>
            </w:tcMar>
            <w:vAlign w:val="center"/>
          </w:tcPr>
          <w:p>
            <w:pPr>
              <w:pStyle w:val="TableContents"/>
              <w:bidi w:val="0"/>
              <w:spacing w:before="0" w:after="283"/>
              <w:jc w:val="left"/>
              <w:rPr/>
            </w:pPr>
            <w:r>
              <w:rPr/>
              <w:t> </w:t>
            </w:r>
          </w:p>
        </w:tc>
        <w:tc>
          <w:tcPr>
            <w:tcW w:w="950"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6,672,701</w:t>
            </w:r>
          </w:p>
        </w:tc>
        <w:tc>
          <w:tcPr>
            <w:tcW w:w="60" w:type="dxa"/>
            <w:tcBorders/>
            <w:shd w:fill="CCECFF" w:val="clear"/>
            <w:tcMar>
              <w:bottom w:w="0" w:type="dxa"/>
            </w:tcMar>
            <w:vAlign w:val="center"/>
          </w:tcPr>
          <w:p>
            <w:pPr>
              <w:pStyle w:val="TableContents"/>
              <w:bidi w:val="0"/>
              <w:spacing w:before="0" w:after="283"/>
              <w:jc w:val="left"/>
              <w:rPr/>
            </w:pPr>
            <w:r>
              <w:rPr/>
              <w:t> </w:t>
            </w:r>
          </w:p>
        </w:tc>
        <w:tc>
          <w:tcPr>
            <w:tcW w:w="695"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50,139</w:t>
            </w:r>
          </w:p>
        </w:tc>
        <w:tc>
          <w:tcPr>
            <w:tcW w:w="60" w:type="dxa"/>
            <w:tcBorders/>
            <w:shd w:fill="CCECFF" w:val="clear"/>
            <w:tcMar>
              <w:bottom w:w="0" w:type="dxa"/>
            </w:tcMar>
            <w:vAlign w:val="center"/>
          </w:tcPr>
          <w:p>
            <w:pPr>
              <w:pStyle w:val="TableContents"/>
              <w:bidi w:val="0"/>
              <w:spacing w:before="0" w:after="283"/>
              <w:jc w:val="left"/>
              <w:rPr/>
            </w:pPr>
            <w:r>
              <w:rPr/>
              <w:t> </w:t>
            </w:r>
          </w:p>
        </w:tc>
        <w:tc>
          <w:tcPr>
            <w:tcW w:w="1565" w:type="dxa"/>
            <w:tcBorders/>
            <w:shd w:fill="CCEC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r>
        <w:trPr/>
        <w:tc>
          <w:tcPr>
            <w:tcW w:w="29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D. Yancopoulos, M.D., Ph.D.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101,367,161</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4,089,290</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537,828</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2 – Ratification of Appointment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ratify the appointment of PricewaterhouseCoopers LLP as the Company’s independent registered public accounting firm for the fiscal year ending December 31, 2025 was approved based upon the following votes:</w:t>
      </w:r>
    </w:p>
    <w:p>
      <w:pPr>
        <w:pStyle w:val="TextBody"/>
        <w:bidi w:val="0"/>
        <w:spacing w:before="0" w:after="0"/>
        <w:ind w:left="0" w:right="0" w:firstLine="36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815"/>
        <w:gridCol w:w="1070"/>
      </w:tblGrid>
      <w:tr>
        <w:trPr/>
        <w:tc>
          <w:tcPr>
            <w:tcW w:w="815"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1070"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105,462,255</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  </w:t>
            </w:r>
          </w:p>
        </w:tc>
        <w:tc>
          <w:tcPr>
            <w:tcW w:w="10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6,078,716</w:t>
            </w:r>
          </w:p>
        </w:tc>
      </w:tr>
      <w:tr>
        <w:trPr/>
        <w:tc>
          <w:tcPr>
            <w:tcW w:w="815"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1070"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54,956</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3 – Advisory Vote on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to approve, on an advisory basis, the compensation of the Company’s named executive officers as disclosed in the Company’s definitive proxy statement on Schedule 14A filed April 29, 2025 was approved based upon the following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610"/>
        <w:gridCol w:w="965"/>
      </w:tblGrid>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98,781,758</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7,100,590</w:t>
            </w:r>
          </w:p>
        </w:tc>
      </w:tr>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111,931</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 – Amendment to the Company’s Certificate of Incorporation to Declassify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amend the Company’s Certificate of Incorporation to declassify the board of directors was approved based upon the following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610"/>
        <w:gridCol w:w="965"/>
      </w:tblGrid>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85,711,231</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20,226,748</w:t>
            </w:r>
          </w:p>
        </w:tc>
      </w:tr>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56,300</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5 – Two Amendments to the Company’s Certificate of Incorporation to Eliminate Supermajority Vote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5(a) – Amendment to Article IV, Section 2(e)(8) of the Company’s Certificate of Incorporation Relating to the Mandatory Conversion of Class A Stock to Common Stock upon a Transfer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amend Article IV, Section 2(e)(8) of the Company’s Certificate of Incorporation, which required the affirmative vote of holders of the majority of the shares of Class A stock, par value $0.001 per share (“</w:t>
      </w:r>
      <w:r>
        <w:rPr>
          <w:rFonts w:ascii="Times New Roman;Times;Serif" w:hAnsi="Times New Roman;Times;Serif"/>
          <w:b w:val="false"/>
          <w:i w:val="false"/>
          <w:caps w:val="false"/>
          <w:smallCaps w:val="false"/>
          <w:sz w:val="20"/>
          <w:u w:val="single"/>
        </w:rPr>
        <w:t>Class A stock</w:t>
      </w:r>
      <w:r>
        <w:rPr>
          <w:rFonts w:ascii="Times New Roman;Times;Serif" w:hAnsi="Times New Roman;Times;Serif"/>
          <w:b w:val="false"/>
          <w:i w:val="false"/>
          <w:caps w:val="false"/>
          <w:smallCaps w:val="false"/>
          <w:sz w:val="20"/>
        </w:rPr>
        <w:t>”), outstanding, and the affirmative vote of holders of two-thirds of the shares of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outstanding, each voting separately as a class, was not approved based upon the following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Class A Stock</w:t>
      </w:r>
    </w:p>
    <w:p>
      <w:pPr>
        <w:pStyle w:val="TextBody"/>
        <w:bidi w:val="0"/>
        <w:spacing w:before="0" w:after="0"/>
        <w:ind w:left="2160" w:right="0" w:hanging="216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815"/>
        <w:gridCol w:w="965"/>
      </w:tblGrid>
      <w:tr>
        <w:trPr/>
        <w:tc>
          <w:tcPr>
            <w:tcW w:w="815"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18,081,400</w:t>
            </w:r>
          </w:p>
        </w:tc>
      </w:tr>
      <w:tr>
        <w:trPr/>
        <w:tc>
          <w:tcPr>
            <w:tcW w:w="815"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bidi w:val="0"/>
        <w:spacing w:before="0" w:after="0"/>
        <w:ind w:left="2160" w:right="0" w:hanging="216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610"/>
        <w:gridCol w:w="965"/>
      </w:tblGrid>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85,490,681</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2,279,384</w:t>
            </w:r>
          </w:p>
        </w:tc>
      </w:tr>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142,814</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5(b) – Amendment to Article VI of the Company’s Certificate of Incorporation Relating to the Removal of Directors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amend Article VI of the Company’s Certificate of Incorporation, which required the affirmative vote of at least 80% of the outstanding shares of all classes of capital stock entitled to vote in the election of directors, with holders of common stock and Class A stock voting together as a single class and holders of Class A stock entitled to ten votes per share, was not approved based upon the following votes:</w:t>
      </w:r>
    </w:p>
    <w:p>
      <w:pPr>
        <w:pStyle w:val="TextBody"/>
        <w:bidi w:val="0"/>
        <w:spacing w:before="0" w:after="0"/>
        <w:ind w:left="0" w:right="0" w:firstLine="36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610"/>
        <w:gridCol w:w="965"/>
      </w:tblGrid>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85,490,182</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20,360,243</w:t>
            </w:r>
          </w:p>
        </w:tc>
      </w:tr>
      <w:tr>
        <w:trPr/>
        <w:tc>
          <w:tcPr>
            <w:tcW w:w="1610"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965" w:type="dxa"/>
            <w:tcBorders/>
            <w:shd w:fill="CCEC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143,854</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5,601,648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75"/>
        <w:gridCol w:w="5015"/>
      </w:tblGrid>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b/>
              </w:rPr>
            </w:pPr>
            <w:r>
              <w:rPr>
                <w:b/>
              </w:rPr>
              <w:t>REGENERON PHARMACEUTICALS, INC.   </w:t>
            </w:r>
          </w:p>
        </w:tc>
      </w:tr>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J. LaRosa</w:t>
            </w:r>
          </w:p>
        </w:tc>
      </w:tr>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J. LaRosa</w:t>
            </w:r>
          </w:p>
        </w:tc>
      </w:tr>
      <w:tr>
        <w:trPr/>
        <w:tc>
          <w:tcPr>
            <w:tcW w:w="75"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r>
        <w:trPr/>
        <w:tc>
          <w:tcPr>
            <w:tcW w:w="50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865</Words>
  <Characters>4915</Characters>
  <CharactersWithSpaces>5772</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