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13, 2020 (January 13, 2020)</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5640" w:type="dxa"/>
            <w:vAlign w:val="bottom"/>
          </w:tcPr>
          <w:p>
            <w:pPr>
              <w:jc w:val="center"/>
              <w:ind w:right="1543"/>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83"/>
              <w:spacing w:after="0"/>
              <w:rPr>
                <w:sz w:val="20"/>
                <w:szCs w:val="20"/>
                <w:color w:val="auto"/>
              </w:rPr>
            </w:pPr>
            <w:r>
              <w:rPr>
                <w:rFonts w:ascii="Arial" w:cs="Arial" w:eastAsia="Arial" w:hAnsi="Arial"/>
                <w:sz w:val="18"/>
                <w:szCs w:val="18"/>
                <w:b w:val="1"/>
                <w:bCs w:val="1"/>
                <w:color w:val="auto"/>
                <w:w w:val="91"/>
              </w:rPr>
              <w:t>13-3444607</w:t>
            </w:r>
          </w:p>
        </w:tc>
      </w:tr>
      <w:tr>
        <w:trPr>
          <w:trHeight w:val="163"/>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(Commission</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8"/>
              </w:rPr>
              <w:t>File Number)</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Identification No.)</w:t>
            </w:r>
          </w:p>
        </w:tc>
      </w:tr>
      <w:tr>
        <w:trPr>
          <w:trHeight w:val="474"/>
        </w:trPr>
        <w:tc>
          <w:tcPr>
            <w:tcW w:w="5640" w:type="dxa"/>
            <w:vAlign w:val="bottom"/>
          </w:tcPr>
          <w:p>
            <w:pPr>
              <w:jc w:val="center"/>
              <w:ind w:right="1523"/>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right"/>
              <w:ind w:right="63"/>
              <w:spacing w:after="0"/>
              <w:rPr>
                <w:sz w:val="20"/>
                <w:szCs w:val="20"/>
                <w:color w:val="auto"/>
              </w:rPr>
            </w:pPr>
            <w:r>
              <w:rPr>
                <w:rFonts w:ascii="Arial" w:cs="Arial" w:eastAsia="Arial" w:hAnsi="Arial"/>
                <w:sz w:val="18"/>
                <w:szCs w:val="18"/>
                <w:b w:val="1"/>
                <w:bCs w:val="1"/>
                <w:color w:val="auto"/>
              </w:rPr>
              <w:t>10591-6707</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17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13, 2020, at the 38th Annual J.P. Morgan Healthcare Conference in San Francisco, California (the “</w:t>
      </w:r>
      <w:r>
        <w:rPr>
          <w:rFonts w:ascii="Arial" w:cs="Arial" w:eastAsia="Arial" w:hAnsi="Arial"/>
          <w:sz w:val="17"/>
          <w:szCs w:val="17"/>
          <w:u w:val="single" w:color="auto"/>
          <w:color w:val="auto"/>
        </w:rPr>
        <w:t>2020 J.P. Morgan Healthcare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Conference</w:t>
      </w:r>
      <w:r>
        <w:rPr>
          <w:rFonts w:ascii="Arial" w:cs="Arial" w:eastAsia="Arial" w:hAnsi="Arial"/>
          <w:sz w:val="17"/>
          <w:szCs w:val="17"/>
          <w:color w:val="auto"/>
        </w:rPr>
        <w:t>”), Leonard S. Schleifer, M.D., Ph.D., President and Chief Executive Officer of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w:t>
      </w:r>
    </w:p>
    <w:p>
      <w:pPr>
        <w:spacing w:after="0" w:line="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George D. Yancopoulos, M.D., Ph.D., President and Chief Scientific Officer of Regeneron, are providing a corporate update. The presentation includes information regarding the Company’s preliminary (unaudited) U.S. net product sales of EYLEA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(aflibercept) Injection of approximately $4.64 billion for the full year 2019 (based on preliminary (unaudited) fourth quarter 2019 U.S. net product sales of EYLEA of approximately $1.22 billion).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2.02 of this Current Report on Form 8-K is incorporated by reference herein.</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On January 13, 2020, at the 2020 J.P. Morgan Healthcare Conference, Leonard S. Schleifer, M.D., Ph.D., President and Chief Executive Officer of Regeneron, and George D. Yancopoulos, M.D., Ph.D., President and Chief Scientific Officer of Regeneron, are providing a corporate update. A copy of the presentation is furnished as Exhibit 99.1 to this Current Report on Form 8-K and is incorporated by reference in this Item 7.01.</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information included in Item 2.02 and the information included or incorporated in Item 7.01 of this Current Report on Form 8-K,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hanging="809"/>
        <w:spacing w:after="0" w:line="264"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Presentation by Leonard S. Schleifer, M.D., Ph.D., President and Chief Executive Officer of Regeneron Pharmaceuticals, Inc., and George 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Yancopoulos, M.D., Ph.D., President and Chief Scientific Officer of Regeneron Pharmaceuticals, Inc., at the 38th Annual J.P. Morgan Healthcare</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Conference.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REGENERON PHARMACEUTICALS, INC.</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J. LaRosa</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1129665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026" w:right="71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4056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05638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73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4282440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56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05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4282440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047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047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2020-01-13T08:18:01Z</dcterms:created>
  <dcterms:modified xsi:type="dcterms:W3CDTF">2020-01-13T08:18:01Z</dcterms:modified>
</cp:coreProperties>
</file>