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April 9, 2014 (April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000-19034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13-3444607</w:t>
      </w:r>
    </w:p>
    <w:p>
      <w:pPr>
        <w:spacing w:after="0" w:line="31" w:lineRule="exact"/>
        <w:rPr>
          <w:sz w:val="24"/>
          <w:szCs w:val="24"/>
          <w:color w:val="auto"/>
        </w:rPr>
      </w:pPr>
    </w:p>
    <w:p>
      <w:pPr>
        <w:sectPr>
          <w:pgSz w:w="11900" w:h="16838" w:orient="portrait"/>
          <w:cols w:equalWidth="0" w:num="3">
            <w:col w:w="4780" w:space="720"/>
            <w:col w:w="3000" w:space="720"/>
            <w:col w:w="2080"/>
          </w:cols>
          <w:pgMar w:left="240" w:top="368" w:right="359" w:bottom="1440" w:gutter="0" w:footer="0" w:header="0"/>
          <w:type w:val="continuous"/>
        </w:sectPr>
      </w:pPr>
    </w:p>
    <w:p>
      <w:pPr>
        <w:spacing w:after="0" w:line="12" w:lineRule="exact"/>
        <w:rPr>
          <w:sz w:val="24"/>
          <w:szCs w:val="24"/>
          <w:color w:val="auto"/>
        </w:rPr>
      </w:pPr>
    </w:p>
    <w:p>
      <w:pPr>
        <w:jc w:val="center"/>
        <w:ind w:right="860"/>
        <w:spacing w:after="0"/>
        <w:rPr>
          <w:sz w:val="20"/>
          <w:szCs w:val="20"/>
          <w:color w:val="auto"/>
        </w:rPr>
      </w:pPr>
      <w:r>
        <w:rPr>
          <w:rFonts w:ascii="Arial" w:cs="Arial" w:eastAsia="Arial" w:hAnsi="Arial"/>
          <w:sz w:val="13"/>
          <w:szCs w:val="13"/>
          <w:b w:val="1"/>
          <w:bCs w:val="1"/>
          <w:color w:val="auto"/>
        </w:rPr>
        <w:t>(State or other jurisdiction</w:t>
      </w:r>
    </w:p>
    <w:p>
      <w:pPr>
        <w:jc w:val="center"/>
        <w:ind w:right="8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920" w:space="720"/>
            <w:col w:w="2200"/>
          </w:cols>
          <w:pgMar w:left="240" w:top="368" w:right="359" w:bottom="1440" w:gutter="0" w:footer="0" w:header="0"/>
          <w:type w:val="continuous"/>
        </w:sectPr>
      </w:pPr>
    </w:p>
    <w:p>
      <w:pPr>
        <w:spacing w:after="0" w:line="33"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777 Old Saw Mill River Road, Tarrytown, New York</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10591-6707</w:t>
      </w:r>
    </w:p>
    <w:p>
      <w:pPr>
        <w:spacing w:after="0" w:line="50" w:lineRule="exact"/>
        <w:rPr>
          <w:sz w:val="24"/>
          <w:szCs w:val="24"/>
          <w:color w:val="auto"/>
        </w:rPr>
      </w:pPr>
    </w:p>
    <w:p>
      <w:pPr>
        <w:sectPr>
          <w:pgSz w:w="11900" w:h="16838" w:orient="portrait"/>
          <w:cols w:equalWidth="0" w:num="2">
            <w:col w:w="7500" w:space="720"/>
            <w:col w:w="30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1040" w:right="2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April 4, 2014, Eric M. Shooter, Ph.D., retired from his position as a member of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Dr. Shooter’s intention to retire was previously reported in the Company’s Current Report on Form 8-K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February 5, 2014.</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Also on April 4, 2014, the Board elected Robert A. Ingram to the Board as a Class I director. Mr. Ingram has also been appointed to serve on the Compensation Committee of the Board. In accordance with the requirements of the New York Business Corporation Law, Mr. Ingram will hold office until the 2014 Annual Shareholder Meeting of the Company, which is expected to be held on June 13, 2014.</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Ingram’s election to the Board followed his designation by Sanofi (as defined below) as its designee and the exercise of Sanofi’s right to designate a member of the Board in accordance with the Amended and Restated Investor Agreement, dated as of January 11, 2014, by and among Sanofi, sanofi-aventis US LLC, Aventis Pharmaceuticals Inc., sanofi-aventis Amerique du Nord (collectively, “</w:t>
      </w:r>
      <w:r>
        <w:rPr>
          <w:rFonts w:ascii="Arial" w:cs="Arial" w:eastAsia="Arial" w:hAnsi="Arial"/>
          <w:sz w:val="18"/>
          <w:szCs w:val="18"/>
          <w:u w:val="single" w:color="auto"/>
          <w:color w:val="auto"/>
        </w:rPr>
        <w:t>Sanofi</w:t>
      </w:r>
      <w:r>
        <w:rPr>
          <w:rFonts w:ascii="Arial" w:cs="Arial" w:eastAsia="Arial" w:hAnsi="Arial"/>
          <w:sz w:val="18"/>
          <w:szCs w:val="18"/>
          <w:color w:val="auto"/>
        </w:rPr>
        <w:t>”) and the Company (previously filed as Exhibit 10.1 to the Company’s Current Report on Form 8-K filed with the SEC on January 13, 2014).</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Mr. Ingram will receive compensation from the Company for his service as a director in accordance with the Company’s compensation practices for non-employee directors, including an annual retainer of $55,000 and an annual $10,000 Compensation Committee retainer. On the day of his appointment, Mr. Ingram was granted an option to purchase 20,000 shares of the Company’s common stock, $0.001 par value per share, under the Company Second Amended and Restated 2000 Long-Term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and will be eligible for annual awards to non-employee directors under the Plan.</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April 9, 2014</w:t>
            </w:r>
          </w:p>
        </w:tc>
        <w:tc>
          <w:tcPr>
            <w:tcW w:w="7920" w:type="dxa"/>
            <w:vAlign w:val="bottom"/>
            <w:gridSpan w:val="2"/>
          </w:tcPr>
          <w:p>
            <w:pPr>
              <w:ind w:left="208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500" w:type="dxa"/>
            <w:vAlign w:val="bottom"/>
          </w:tcPr>
          <w:p>
            <w:pPr>
              <w:spacing w:after="0"/>
              <w:rPr>
                <w:sz w:val="24"/>
                <w:szCs w:val="24"/>
                <w:color w:val="auto"/>
              </w:rPr>
            </w:pPr>
          </w:p>
        </w:tc>
        <w:tc>
          <w:tcPr>
            <w:tcW w:w="278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09"/>
        </w:trPr>
        <w:tc>
          <w:tcPr>
            <w:tcW w:w="3500" w:type="dxa"/>
            <w:vAlign w:val="bottom"/>
          </w:tcPr>
          <w:p>
            <w:pPr>
              <w:spacing w:after="0"/>
              <w:rPr>
                <w:sz w:val="18"/>
                <w:szCs w:val="18"/>
                <w:color w:val="auto"/>
              </w:rPr>
            </w:pPr>
          </w:p>
        </w:tc>
        <w:tc>
          <w:tcPr>
            <w:tcW w:w="2780" w:type="dxa"/>
            <w:vAlign w:val="bottom"/>
          </w:tcPr>
          <w:p>
            <w:pPr>
              <w:ind w:left="208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30"/>
        </w:trPr>
        <w:tc>
          <w:tcPr>
            <w:tcW w:w="3500" w:type="dxa"/>
            <w:vAlign w:val="bottom"/>
          </w:tcPr>
          <w:p>
            <w:pPr>
              <w:spacing w:after="0"/>
              <w:rPr>
                <w:sz w:val="20"/>
                <w:szCs w:val="20"/>
                <w:color w:val="auto"/>
              </w:rPr>
            </w:pPr>
          </w:p>
        </w:tc>
        <w:tc>
          <w:tcPr>
            <w:tcW w:w="2780" w:type="dxa"/>
            <w:vAlign w:val="bottom"/>
          </w:tcPr>
          <w:p>
            <w:pPr>
              <w:ind w:left="20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2019-12-06T04:31:58Z</dcterms:created>
  <dcterms:modified xsi:type="dcterms:W3CDTF">2019-12-06T04:31:58Z</dcterms:modified>
</cp:coreProperties>
</file>