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 2016 (January 28,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4"/>
          <w:szCs w:val="24"/>
          <w:color w:val="auto"/>
        </w:rPr>
      </w:pPr>
    </w:p>
    <w:p>
      <w:pPr>
        <w:ind w:firstLine="324"/>
        <w:spacing w:after="0" w:line="273" w:lineRule="auto"/>
        <w:rPr>
          <w:sz w:val="20"/>
          <w:szCs w:val="20"/>
          <w:color w:val="auto"/>
        </w:rPr>
      </w:pPr>
      <w:r>
        <w:rPr>
          <w:rFonts w:ascii="Arial" w:cs="Arial" w:eastAsia="Arial" w:hAnsi="Arial"/>
          <w:sz w:val="17"/>
          <w:szCs w:val="17"/>
          <w:color w:val="auto"/>
        </w:rPr>
        <w:t>On January 28, 2016,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based upon the recommendation of the Corporate Governance and Compliance Committee of the Board, approved an amendment to Regeneron’s By-Laws providing for majority voting in uncontested director elections (the “</w:t>
      </w:r>
      <w:r>
        <w:rPr>
          <w:rFonts w:ascii="Arial" w:cs="Arial" w:eastAsia="Arial" w:hAnsi="Arial"/>
          <w:sz w:val="17"/>
          <w:szCs w:val="17"/>
          <w:u w:val="single" w:color="auto"/>
          <w:color w:val="auto"/>
        </w:rPr>
        <w:t>Amendment</w:t>
      </w:r>
      <w:r>
        <w:rPr>
          <w:rFonts w:ascii="Arial" w:cs="Arial" w:eastAsia="Arial" w:hAnsi="Arial"/>
          <w:sz w:val="17"/>
          <w:szCs w:val="17"/>
          <w:color w:val="auto"/>
        </w:rPr>
        <w:t>”). As amended by the Amendment, the By-Laws provide that a director nominee shall be elected to the Board if the votes cast for such nominee’s election exceed the votes cast against such nominee’s election, provided that directors shall be elected by a plurality of the votes cast at any meeting of shareholders for which a shareholder has validly nominated a person for election to the Board in compliance with the advance notice requirements for director nominees proposed by shareholders set forth in the By-Laws.</w:t>
      </w:r>
    </w:p>
    <w:p>
      <w:pPr>
        <w:spacing w:after="0" w:line="178" w:lineRule="exact"/>
        <w:rPr>
          <w:sz w:val="24"/>
          <w:szCs w:val="24"/>
          <w:color w:val="auto"/>
        </w:rPr>
      </w:pPr>
    </w:p>
    <w:p>
      <w:pPr>
        <w:ind w:right="280" w:firstLine="324"/>
        <w:spacing w:after="0" w:line="277" w:lineRule="auto"/>
        <w:rPr>
          <w:sz w:val="20"/>
          <w:szCs w:val="20"/>
          <w:color w:val="auto"/>
        </w:rPr>
      </w:pPr>
      <w:r>
        <w:rPr>
          <w:rFonts w:ascii="Arial" w:cs="Arial" w:eastAsia="Arial" w:hAnsi="Arial"/>
          <w:sz w:val="18"/>
          <w:szCs w:val="18"/>
          <w:color w:val="auto"/>
        </w:rPr>
        <w:t>The foregoing summary of the Amendment is qualified in its entirety by the full text of the Amendment, which is attached as Exhibit 3.2 hereto and is incorporated herein by reference.</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By-Laws effective January 28,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544" w:right="239" w:bottom="0" w:gutter="0" w:footer="0" w:header="0"/>
        </w:sectPr>
      </w:pPr>
    </w:p>
    <w:bookmarkStart w:id="1" w:name="page2"/>
    <w:bookmarkEnd w:id="1"/>
    <w:p>
      <w:pPr>
        <w:ind w:left="584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00" w:type="dxa"/>
            <w:vAlign w:val="bottom"/>
            <w:gridSpan w:val="2"/>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to the By-Laws effective January 28, 2016.</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REGENERON PHARMACEUTICALS, INC.</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By-Laws of Regeneron Pharmaceuticals, Inc., as amended through November 9, 2007 and currently in effect (the “</w:t>
      </w:r>
      <w:r>
        <w:rPr>
          <w:rFonts w:ascii="Arial" w:cs="Arial" w:eastAsia="Arial" w:hAnsi="Arial"/>
          <w:sz w:val="18"/>
          <w:szCs w:val="18"/>
          <w:u w:val="single" w:color="auto"/>
          <w:color w:val="auto"/>
        </w:rPr>
        <w:t>By-Laws</w:t>
      </w:r>
      <w:r>
        <w:rPr>
          <w:rFonts w:ascii="Arial" w:cs="Arial" w:eastAsia="Arial" w:hAnsi="Arial"/>
          <w:sz w:val="18"/>
          <w:szCs w:val="18"/>
          <w:color w:val="auto"/>
        </w:rPr>
        <w:t>”), hereby amends the By-Laws as follows:</w:t>
      </w:r>
    </w:p>
    <w:p>
      <w:pPr>
        <w:spacing w:after="0" w:line="170"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first paragraph of Section 7 of Article I of the By-Laws is hereby amended and restated in its entirety as follows:</w:t>
      </w:r>
    </w:p>
    <w:p>
      <w:pPr>
        <w:spacing w:after="0" w:line="225"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Other than with respect to the election of directors and except as otherwise provided by statute, the Certificate of Incorporation, or these By-Laws, all action shall be determined by a majority of the votes cast at such meeting. Except as provided in Section 1 of Article II of these By-Laws in connection with filling vacancies in the Board of Directors, a nominee for director shall be elected to the Board of Directors if the votes cast for such nominee’s election exceed the votes cast against such nominee’s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directors shall be elected by a plurality of the votes cast at any meeting of shareholders for which (i) the Secretary of the Corporation receives a notice that a shareholder has nominated a person for election to the Board of Directors in compliance with the advance notice requirements for director nominees proposed by shareholders set forth in Section 2 of Article II of these By-Laws and (ii) such nomination has not been withdrawn by such shareholder on or prior to the seventh (7</w:t>
      </w:r>
      <w:r>
        <w:rPr>
          <w:rFonts w:ascii="Arial" w:cs="Arial" w:eastAsia="Arial" w:hAnsi="Arial"/>
          <w:sz w:val="22"/>
          <w:szCs w:val="22"/>
          <w:color w:val="auto"/>
          <w:vertAlign w:val="superscript"/>
        </w:rPr>
        <w:t>th</w:t>
      </w:r>
      <w:r>
        <w:rPr>
          <w:rFonts w:ascii="Arial" w:cs="Arial" w:eastAsia="Arial" w:hAnsi="Arial"/>
          <w:sz w:val="17"/>
          <w:szCs w:val="17"/>
          <w:color w:val="auto"/>
        </w:rPr>
        <w:t>) day preceding the date the Corporation is scheduled to mail or otherwise disseminate its notice of meeting for such meeting to the shareholders. Each proxy to vote shall be in writing and signed by the shareholder or by his duly authorized attorney.</w:t>
      </w:r>
    </w:p>
    <w:p>
      <w:pPr>
        <w:spacing w:after="0" w:line="18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is effective as of January 28, 2016.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amended by this Amendment, the By-Laws shall remain in full force and effect.</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Joseph J. LaRosa</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2019-12-06T00:45:28Z</dcterms:created>
  <dcterms:modified xsi:type="dcterms:W3CDTF">2019-12-06T00:45:28Z</dcterms:modified>
</cp:coreProperties>
</file>