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-235585</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-631825</wp:posOffset>
            </wp:positionV>
            <wp:extent cx="58420" cy="645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7045960" cy="5529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52958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Schenkein David P</w:t>
        </w:r>
      </w:hyperlink>
    </w:p>
    <w:p>
      <w:pPr>
        <w:spacing w:after="0" w:line="29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(Last)</w:t>
            </w:r>
          </w:p>
        </w:tc>
        <w:tc>
          <w:tcPr>
            <w:tcW w:w="900" w:type="dxa"/>
            <w:vAlign w:val="bottom"/>
          </w:tcPr>
          <w:p>
            <w:pPr>
              <w:ind w:left="8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36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777 OLD SAW MILL RIVER ROAD</w:t>
            </w:r>
          </w:p>
        </w:tc>
      </w:tr>
      <w:tr>
        <w:trPr>
          <w:trHeight w:val="203"/>
        </w:trPr>
        <w:tc>
          <w:tcPr>
            <w:tcW w:w="20" w:type="dxa"/>
            <w:vAlign w:val="bottom"/>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900" w:type="dxa"/>
            <w:vAlign w:val="bottom"/>
            <w:tcBorders>
              <w:bottom w:val="single" w:sz="8" w:color="9A9A9A"/>
            </w:tcBorders>
          </w:tcPr>
          <w:p>
            <w:pPr>
              <w:spacing w:after="0"/>
              <w:rPr>
                <w:sz w:val="17"/>
                <w:szCs w:val="17"/>
                <w:color w:val="auto"/>
              </w:rPr>
            </w:pPr>
          </w:p>
        </w:tc>
        <w:tc>
          <w:tcPr>
            <w:tcW w:w="1600" w:type="dxa"/>
            <w:vAlign w:val="bottom"/>
            <w:tcBorders>
              <w:bottom w:val="single" w:sz="8" w:color="9A9A9A"/>
            </w:tcBorders>
          </w:tcPr>
          <w:p>
            <w:pPr>
              <w:spacing w:after="0"/>
              <w:rPr>
                <w:sz w:val="17"/>
                <w:szCs w:val="17"/>
                <w:color w:val="auto"/>
              </w:rPr>
            </w:pPr>
          </w:p>
        </w:tc>
      </w:tr>
      <w:tr>
        <w:trPr>
          <w:trHeight w:val="263"/>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TARRYTOWN</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10591</w:t>
            </w:r>
          </w:p>
        </w:tc>
      </w:tr>
      <w:tr>
        <w:trPr>
          <w:trHeight w:val="151"/>
        </w:trPr>
        <w:tc>
          <w:tcPr>
            <w:tcW w:w="2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3"/>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3420" w:type="dxa"/>
            <w:vAlign w:val="bottom"/>
            <w:tcBorders>
              <w:bottom w:val="single" w:sz="8" w:color="0000EE"/>
            </w:tcBorders>
            <w:gridSpan w:val="3"/>
          </w:tcPr>
          <w:p>
            <w:pPr>
              <w:spacing w:after="0" w:line="208" w:lineRule="exact"/>
              <w:rPr>
                <w:rFonts w:ascii="Times New Roman" w:cs="Times New Roman" w:eastAsia="Times New Roman" w:hAnsi="Times New Roman"/>
                <w:sz w:val="21"/>
                <w:szCs w:val="21"/>
                <w:color w:val="0000EE"/>
                <w:w w:val="99"/>
              </w:rPr>
            </w:pPr>
            <w:hyperlink r:id="rId13">
              <w:r>
                <w:rPr>
                  <w:rFonts w:ascii="Times New Roman" w:cs="Times New Roman" w:eastAsia="Times New Roman" w:hAnsi="Times New Roman"/>
                  <w:sz w:val="21"/>
                  <w:szCs w:val="21"/>
                  <w:color w:val="0000EE"/>
                  <w:w w:val="99"/>
                </w:rPr>
                <w:t>REGENERON PHARMACEUTICALS,</w:t>
              </w:r>
            </w:hyperlink>
          </w:p>
        </w:tc>
        <w:tc>
          <w:tcPr>
            <w:tcW w:w="360" w:type="dxa"/>
            <w:vAlign w:val="bottom"/>
          </w:tcPr>
          <w:p>
            <w:pPr>
              <w:spacing w:after="0"/>
              <w:rPr>
                <w:sz w:val="18"/>
                <w:szCs w:val="18"/>
                <w:color w:val="auto"/>
              </w:rPr>
            </w:pP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840" w:type="dxa"/>
            <w:vAlign w:val="bottom"/>
            <w:gridSpan w:val="5"/>
            <w:vMerge w:val="restart"/>
          </w:tcPr>
          <w:p>
            <w:pPr>
              <w:ind w:left="60"/>
              <w:spacing w:after="0" w:line="221"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REGN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180" w:type="dxa"/>
            <w:vAlign w:val="bottom"/>
          </w:tcPr>
          <w:p>
            <w:pPr>
              <w:spacing w:after="0"/>
              <w:rPr>
                <w:sz w:val="13"/>
                <w:szCs w:val="13"/>
                <w:color w:val="auto"/>
              </w:rPr>
            </w:pPr>
          </w:p>
        </w:tc>
        <w:tc>
          <w:tcPr>
            <w:tcW w:w="300" w:type="dxa"/>
            <w:vAlign w:val="bottom"/>
            <w:vMerge w:val="restart"/>
          </w:tcPr>
          <w:p>
            <w:pPr>
              <w:ind w:left="60"/>
              <w:spacing w:after="0" w:line="193" w:lineRule="exact"/>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2"/>
        </w:trPr>
        <w:tc>
          <w:tcPr>
            <w:tcW w:w="3840" w:type="dxa"/>
            <w:vAlign w:val="bottom"/>
            <w:gridSpan w:val="5"/>
            <w:vMerge w:val="continue"/>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7"/>
        </w:trPr>
        <w:tc>
          <w:tcPr>
            <w:tcW w:w="60" w:type="dxa"/>
            <w:vAlign w:val="bottom"/>
            <w:tcBorders>
              <w:bottom w:val="single" w:sz="8" w:color="2C2C2C"/>
            </w:tcBorders>
          </w:tcPr>
          <w:p>
            <w:pPr>
              <w:spacing w:after="0"/>
              <w:rPr>
                <w:sz w:val="6"/>
                <w:szCs w:val="6"/>
                <w:color w:val="auto"/>
              </w:rPr>
            </w:pPr>
          </w:p>
        </w:tc>
        <w:tc>
          <w:tcPr>
            <w:tcW w:w="140" w:type="dxa"/>
            <w:vAlign w:val="bottom"/>
            <w:tcBorders>
              <w:top w:val="single" w:sz="8" w:color="0000EE"/>
              <w:bottom w:val="single" w:sz="8" w:color="2C2C2C"/>
            </w:tcBorders>
          </w:tcPr>
          <w:p>
            <w:pPr>
              <w:spacing w:after="0"/>
              <w:rPr>
                <w:sz w:val="6"/>
                <w:szCs w:val="6"/>
                <w:color w:val="auto"/>
              </w:rPr>
            </w:pPr>
          </w:p>
        </w:tc>
        <w:tc>
          <w:tcPr>
            <w:tcW w:w="280" w:type="dxa"/>
            <w:vAlign w:val="bottom"/>
            <w:tcBorders>
              <w:top w:val="single" w:sz="8" w:color="0000EE"/>
              <w:bottom w:val="single" w:sz="8" w:color="2C2C2C"/>
            </w:tcBorders>
          </w:tcPr>
          <w:p>
            <w:pPr>
              <w:spacing w:after="0"/>
              <w:rPr>
                <w:sz w:val="6"/>
                <w:szCs w:val="6"/>
                <w:color w:val="auto"/>
              </w:rPr>
            </w:pPr>
          </w:p>
        </w:tc>
        <w:tc>
          <w:tcPr>
            <w:tcW w:w="30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
        </w:trPr>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3"/>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34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01/02/2024</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0"/>
        </w:trPr>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3100" w:type="dxa"/>
            <w:vAlign w:val="bottom"/>
            <w:tcBorders>
              <w:bottom w:val="single" w:sz="8" w:color="2C2C2C"/>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3"/>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6"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7" w:lineRule="exact"/>
        <w:rPr>
          <w:sz w:val="20"/>
          <w:szCs w:val="20"/>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5" w:lineRule="exact"/>
        <w:rPr>
          <w:sz w:val="20"/>
          <w:szCs w:val="20"/>
          <w:color w:val="auto"/>
        </w:rPr>
      </w:pPr>
    </w:p>
    <w:p>
      <w:pPr>
        <w:ind w:left="320" w:right="580"/>
        <w:spacing w:after="0" w:line="25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0"/>
          <w:szCs w:val="20"/>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20"/>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01/02/2024</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42</w:t>
            </w:r>
          </w:p>
        </w:tc>
        <w:tc>
          <w:tcPr>
            <w:tcW w:w="66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0.0</w:t>
            </w:r>
          </w:p>
        </w:tc>
        <w:tc>
          <w:tcPr>
            <w:tcW w:w="1320" w:type="dxa"/>
            <w:vAlign w:val="bottom"/>
            <w:tcBorders>
              <w:bottom w:val="single" w:sz="8" w:color="2C2C2C"/>
            </w:tcBorders>
            <w:gridSpan w:val="3"/>
          </w:tcPr>
          <w:p>
            <w:pPr>
              <w:ind w:left="580"/>
              <w:spacing w:after="0"/>
              <w:rPr>
                <w:sz w:val="20"/>
                <w:szCs w:val="20"/>
                <w:color w:val="auto"/>
              </w:rPr>
            </w:pPr>
            <w:r>
              <w:rPr>
                <w:rFonts w:ascii="Times New Roman" w:cs="Times New Roman" w:eastAsia="Times New Roman" w:hAnsi="Times New Roman"/>
                <w:sz w:val="17"/>
                <w:szCs w:val="17"/>
                <w:color w:val="0000FF"/>
              </w:rPr>
              <w:t>282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80" w:type="dxa"/>
            <w:vAlign w:val="bottom"/>
            <w:gridSpan w:val="11"/>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888.34</w:t>
            </w:r>
          </w:p>
        </w:tc>
        <w:tc>
          <w:tcPr>
            <w:tcW w:w="110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01/02/2024</w:t>
            </w:r>
          </w:p>
        </w:tc>
        <w:tc>
          <w:tcPr>
            <w:tcW w:w="1080" w:type="dxa"/>
            <w:vAlign w:val="bottom"/>
          </w:tcPr>
          <w:p>
            <w:pPr>
              <w:spacing w:after="0"/>
              <w:rPr>
                <w:sz w:val="12"/>
                <w:szCs w:val="12"/>
                <w:color w:val="auto"/>
              </w:rPr>
            </w:pPr>
          </w:p>
        </w:tc>
        <w:tc>
          <w:tcPr>
            <w:tcW w:w="6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2"/>
                <w:szCs w:val="12"/>
                <w:color w:val="auto"/>
              </w:rPr>
            </w:pPr>
          </w:p>
        </w:tc>
        <w:tc>
          <w:tcPr>
            <w:tcW w:w="7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508</w:t>
            </w:r>
          </w:p>
        </w:tc>
        <w:tc>
          <w:tcPr>
            <w:tcW w:w="7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01/02/2034</w:t>
            </w:r>
          </w:p>
        </w:tc>
        <w:tc>
          <w:tcPr>
            <w:tcW w:w="660" w:type="dxa"/>
            <w:vAlign w:val="bottom"/>
          </w:tcPr>
          <w:p>
            <w:pPr>
              <w:ind w:left="4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508</w:t>
            </w:r>
          </w:p>
        </w:tc>
        <w:tc>
          <w:tcPr>
            <w:tcW w:w="40" w:type="dxa"/>
            <w:vAlign w:val="bottom"/>
          </w:tcPr>
          <w:p>
            <w:pPr>
              <w:spacing w:after="0"/>
              <w:rPr>
                <w:sz w:val="12"/>
                <w:szCs w:val="12"/>
                <w:color w:val="auto"/>
              </w:rPr>
            </w:pPr>
          </w:p>
        </w:tc>
        <w:tc>
          <w:tcPr>
            <w:tcW w:w="720" w:type="dxa"/>
            <w:vAlign w:val="bottom"/>
            <w:gridSpan w:val="2"/>
            <w:vMerge w:val="restart"/>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0.0</w:t>
            </w:r>
          </w:p>
        </w:tc>
        <w:tc>
          <w:tcPr>
            <w:tcW w:w="60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508</w:t>
            </w:r>
          </w:p>
        </w:tc>
        <w:tc>
          <w:tcPr>
            <w:tcW w:w="280" w:type="dxa"/>
            <w:vAlign w:val="bottom"/>
          </w:tcPr>
          <w:p>
            <w:pPr>
              <w:spacing w:after="0"/>
              <w:rPr>
                <w:sz w:val="12"/>
                <w:szCs w:val="12"/>
                <w:color w:val="auto"/>
              </w:rPr>
            </w:pP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line="229" w:lineRule="auto"/>
        <w:rPr>
          <w:sz w:val="20"/>
          <w:szCs w:val="20"/>
          <w:color w:val="auto"/>
        </w:rPr>
      </w:pPr>
      <w:r>
        <w:rPr>
          <w:rFonts w:ascii="Times New Roman" w:cs="Times New Roman" w:eastAsia="Times New Roman" w:hAnsi="Times New Roman"/>
          <w:sz w:val="13"/>
          <w:szCs w:val="13"/>
          <w:color w:val="0000FF"/>
        </w:rPr>
        <w:t>(right to</w:t>
      </w:r>
    </w:p>
    <w:p>
      <w:pPr>
        <w:spacing w:after="0" w:line="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an acquisition of time-based vesting restricted stock units each representing a contingent right to receive one share of the Issuer's common stock.</w:t>
      </w:r>
    </w:p>
    <w:p>
      <w:pPr>
        <w:spacing w:after="0" w:line="45" w:lineRule="exact"/>
        <w:rPr>
          <w:rFonts w:ascii="Times New Roman" w:cs="Times New Roman" w:eastAsia="Times New Roman" w:hAnsi="Times New Roman"/>
          <w:sz w:val="13"/>
          <w:szCs w:val="13"/>
          <w:color w:val="008000"/>
        </w:rPr>
      </w:pPr>
    </w:p>
    <w:p>
      <w:pPr>
        <w:ind w:left="40" w:right="36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the date of the Issuer's first annual meeting of shareholders following the date of grant, a portion of these stock options equal to the portion of one year that has passed from the date of grant shall then become exercisable, and the remainder shall become exercisable on the first anniversary of the date of grant.</w:t>
      </w:r>
    </w:p>
    <w:p>
      <w:pPr>
        <w:spacing w:after="0" w:line="2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7"/>
              </w:rPr>
              <w:t>/s/**David P. Schenkein</w:t>
            </w:r>
          </w:p>
        </w:tc>
        <w:tc>
          <w:tcPr>
            <w:tcW w:w="54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8"/>
              </w:rPr>
              <w:t>01/04/2024</w:t>
            </w: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3" w:lineRule="auto"/>
        <w:tabs>
          <w:tab w:leader="none" w:pos="177"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78200"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2024-01-04T15:24:13Z</dcterms:created>
  <dcterms:modified xsi:type="dcterms:W3CDTF">2024-01-04T15:24:13Z</dcterms:modified>
</cp:coreProperties>
</file>