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834.55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Disposition/acquisition made pursuant to a plan intended to comply with Rule 10b5-1(c) adopted on February 16, 2023.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 Marion McCourt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09/05/2023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2023-09-06T15:11:50Z</dcterms:created>
  <dcterms:modified xsi:type="dcterms:W3CDTF">2023-09-06T15:11:50Z</dcterms:modified>
</cp:coreProperties>
</file>