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-29210</wp:posOffset>
            </wp:positionV>
            <wp:extent cx="274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5,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7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QVT Financial LP</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11-3694008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660" w:hanging="308"/>
        <w:spacing w:after="0"/>
        <w:tabs>
          <w:tab w:leader="none" w:pos="1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7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3,913,636</w:t>
            </w:r>
          </w:p>
        </w:tc>
        <w:tc>
          <w:tcPr>
            <w:tcW w:w="0" w:type="dxa"/>
            <w:vAlign w:val="bottom"/>
          </w:tcPr>
          <w:p>
            <w:pPr>
              <w:spacing w:after="0"/>
              <w:rPr>
                <w:sz w:val="1"/>
                <w:szCs w:val="1"/>
                <w:color w:val="auto"/>
              </w:rPr>
            </w:pPr>
          </w:p>
        </w:tc>
      </w:tr>
      <w:tr>
        <w:trPr>
          <w:trHeight w:val="222"/>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060" w:type="dxa"/>
            <w:vAlign w:val="bottom"/>
            <w:vMerge w:val="restart"/>
          </w:tcPr>
          <w:p>
            <w:pPr>
              <w:jc w:val="center"/>
              <w:ind w:right="92"/>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3,913,636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3,913,636</w:t>
      </w:r>
    </w:p>
    <w:p>
      <w:pPr>
        <w:spacing w:after="0" w:line="22" w:lineRule="exact"/>
        <w:rPr>
          <w:sz w:val="20"/>
          <w:szCs w:val="20"/>
          <w:color w:val="auto"/>
        </w:rPr>
      </w:pPr>
    </w:p>
    <w:p>
      <w:pPr>
        <w:spacing w:after="0" w:line="241" w:lineRule="exact"/>
        <w:tabs>
          <w:tab w:leader="none" w:pos="360" w:val="left"/>
          <w:tab w:leader="none" w:pos="10720" w:val="left"/>
        </w:tabs>
        <w:rPr>
          <w:sz w:val="20"/>
          <w:szCs w:val="20"/>
          <w:color w:val="auto"/>
        </w:rPr>
      </w:pPr>
      <w:r>
        <w:rPr>
          <w:rFonts w:ascii="Arial" w:cs="Arial" w:eastAsia="Arial" w:hAnsi="Arial"/>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 pages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QVT Financial GP LLC</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11-3694007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660" w:hanging="308"/>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7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3,913,636</w:t>
            </w:r>
          </w:p>
        </w:tc>
        <w:tc>
          <w:tcPr>
            <w:tcW w:w="0" w:type="dxa"/>
            <w:vAlign w:val="bottom"/>
          </w:tcPr>
          <w:p>
            <w:pPr>
              <w:spacing w:after="0"/>
              <w:rPr>
                <w:sz w:val="1"/>
                <w:szCs w:val="1"/>
                <w:color w:val="auto"/>
              </w:rPr>
            </w:pPr>
          </w:p>
        </w:tc>
      </w:tr>
      <w:tr>
        <w:trPr>
          <w:trHeight w:val="222"/>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2"/>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060" w:type="dxa"/>
            <w:vAlign w:val="bottom"/>
            <w:vMerge w:val="restart"/>
          </w:tcPr>
          <w:p>
            <w:pPr>
              <w:jc w:val="center"/>
              <w:ind w:right="92"/>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3,913,636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3,913,636</w:t>
      </w:r>
    </w:p>
    <w:p>
      <w:pPr>
        <w:spacing w:after="0" w:line="22" w:lineRule="exact"/>
        <w:rPr>
          <w:sz w:val="20"/>
          <w:szCs w:val="20"/>
          <w:color w:val="auto"/>
        </w:rPr>
      </w:pPr>
    </w:p>
    <w:p>
      <w:pPr>
        <w:spacing w:after="0" w:line="241" w:lineRule="exact"/>
        <w:tabs>
          <w:tab w:leader="none" w:pos="360" w:val="left"/>
          <w:tab w:leader="none" w:pos="10720" w:val="left"/>
        </w:tabs>
        <w:rPr>
          <w:sz w:val="20"/>
          <w:szCs w:val="20"/>
          <w:color w:val="auto"/>
        </w:rPr>
      </w:pPr>
      <w:r>
        <w:rPr>
          <w:rFonts w:ascii="Arial" w:cs="Arial" w:eastAsia="Arial" w:hAnsi="Arial"/>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 pages</w:t>
      </w:r>
    </w:p>
    <w:p>
      <w:pPr>
        <w:sectPr>
          <w:pgSz w:w="11900" w:h="16838" w:orient="portrait"/>
          <w:cols w:equalWidth="0" w:num="1">
            <w:col w:w="11420"/>
          </w:cols>
          <w:pgMar w:left="240" w:top="2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00" w:type="dxa"/>
            <w:vAlign w:val="bottom"/>
          </w:tcPr>
          <w:p>
            <w:pPr>
              <w:ind w:left="220"/>
              <w:spacing w:after="0"/>
              <w:rPr>
                <w:sz w:val="20"/>
                <w:szCs w:val="20"/>
                <w:color w:val="auto"/>
              </w:rPr>
            </w:pPr>
            <w:r>
              <w:rPr>
                <w:rFonts w:ascii="Arial" w:cs="Arial" w:eastAsia="Arial" w:hAnsi="Arial"/>
                <w:sz w:val="18"/>
                <w:szCs w:val="18"/>
                <w:color w:val="auto"/>
              </w:rPr>
              <w:t>Name of Issuer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Regeneron Pharmaceuticals, Inc. (the “Issuer”)</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00" w:type="dxa"/>
            <w:vAlign w:val="bottom"/>
          </w:tcPr>
          <w:p>
            <w:pPr>
              <w:ind w:left="220"/>
              <w:spacing w:after="0"/>
              <w:rPr>
                <w:sz w:val="20"/>
                <w:szCs w:val="20"/>
                <w:color w:val="auto"/>
              </w:rPr>
            </w:pPr>
            <w:r>
              <w:rPr>
                <w:rFonts w:ascii="Arial" w:cs="Arial" w:eastAsia="Arial" w:hAnsi="Arial"/>
                <w:sz w:val="18"/>
                <w:szCs w:val="18"/>
                <w:color w:val="auto"/>
              </w:rPr>
              <w:t>Address of Issuer’s Principal Executive Offices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The address of the Issuer’s principal executive offices is: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777 Old Saw Mill River Road, Tarrytown, New York 10591, United States</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00" w:type="dxa"/>
            <w:vAlign w:val="bottom"/>
          </w:tcPr>
          <w:p>
            <w:pPr>
              <w:ind w:left="220"/>
              <w:spacing w:after="0"/>
              <w:rPr>
                <w:sz w:val="20"/>
                <w:szCs w:val="20"/>
                <w:color w:val="auto"/>
              </w:rPr>
            </w:pPr>
            <w:r>
              <w:rPr>
                <w:rFonts w:ascii="Arial" w:cs="Arial" w:eastAsia="Arial" w:hAnsi="Arial"/>
                <w:sz w:val="18"/>
                <w:szCs w:val="18"/>
                <w:color w:val="auto"/>
              </w:rPr>
              <w:t>Name of Person Filing</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00" w:type="dxa"/>
            <w:vAlign w:val="bottom"/>
          </w:tcPr>
          <w:p>
            <w:pPr>
              <w:ind w:left="2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581"/>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(c).</w:t>
            </w:r>
          </w:p>
        </w:tc>
        <w:tc>
          <w:tcPr>
            <w:tcW w:w="8800" w:type="dxa"/>
            <w:vAlign w:val="bottom"/>
          </w:tcPr>
          <w:p>
            <w:pPr>
              <w:ind w:left="220"/>
              <w:spacing w:after="0"/>
              <w:rPr>
                <w:sz w:val="20"/>
                <w:szCs w:val="20"/>
                <w:color w:val="auto"/>
              </w:rPr>
            </w:pPr>
            <w:r>
              <w:rPr>
                <w:rFonts w:ascii="Arial" w:cs="Arial" w:eastAsia="Arial" w:hAnsi="Arial"/>
                <w:sz w:val="18"/>
                <w:szCs w:val="18"/>
                <w:color w:val="auto"/>
              </w:rPr>
              <w:t>Citizenship</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QVT Financial LP</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1177 Avenue of the Americas, 9th Floor</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New York, New York 10036</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Delaware Limited Partnership</w:t>
            </w:r>
          </w:p>
        </w:tc>
      </w:tr>
      <w:tr>
        <w:trPr>
          <w:trHeight w:val="412"/>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QVT Financial GP LLC</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1177 Avenue of the Americas, 9th Floor</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New York, New York 10036</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0" w:type="dxa"/>
            <w:vAlign w:val="bottom"/>
          </w:tcPr>
          <w:p>
            <w:pPr>
              <w:ind w:left="1080"/>
              <w:spacing w:after="0"/>
              <w:rPr>
                <w:sz w:val="20"/>
                <w:szCs w:val="20"/>
                <w:color w:val="auto"/>
              </w:rPr>
            </w:pPr>
            <w:r>
              <w:rPr>
                <w:rFonts w:ascii="Arial" w:cs="Arial" w:eastAsia="Arial" w:hAnsi="Arial"/>
                <w:sz w:val="18"/>
                <w:szCs w:val="18"/>
                <w:color w:val="auto"/>
              </w:rPr>
              <w:t>Delaware Limited Liability Company</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880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Common Stock, $0.001 par value (the “Common Stock”).</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8800" w:type="dxa"/>
            <w:vAlign w:val="bottom"/>
          </w:tcPr>
          <w:p>
            <w:pPr>
              <w:ind w:left="220"/>
              <w:spacing w:after="0"/>
              <w:rPr>
                <w:sz w:val="20"/>
                <w:szCs w:val="20"/>
                <w:color w:val="auto"/>
              </w:rPr>
            </w:pPr>
            <w:r>
              <w:rPr>
                <w:rFonts w:ascii="Arial" w:cs="Arial" w:eastAsia="Arial" w:hAnsi="Arial"/>
                <w:sz w:val="18"/>
                <w:szCs w:val="18"/>
                <w:color w:val="auto"/>
              </w:rPr>
              <w:t>CUSIP Number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The CUSIP number of the Common Stock is 75886F107.</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8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If this statement is filed pursuant to §§ 240.13d-1(b) or 240.13d-2(b) or (c), check whether the person filing is a:</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(c)</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Investment company registered under section 8 of the Investment Company Act of 1940 (15 U.S.C. 80a-8).</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(e)</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(f)</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(g)</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 savings associations as defined in Section 3(b) of the Federal Deposit Insurance Act (12 U.S.C. 1813);</w:t>
            </w:r>
          </w:p>
        </w:tc>
      </w:tr>
      <w:tr>
        <w:trPr>
          <w:trHeight w:val="298"/>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(i)</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A church plan that is excluded from the definition of an investment company under section 3(c)(14) of the Investment</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0" w:type="dxa"/>
            <w:vAlign w:val="bottom"/>
          </w:tcPr>
          <w:p>
            <w:pPr>
              <w:ind w:left="500"/>
              <w:spacing w:after="0"/>
              <w:rPr>
                <w:sz w:val="20"/>
                <w:szCs w:val="20"/>
                <w:color w:val="auto"/>
              </w:rPr>
            </w:pPr>
            <w:r>
              <w:rPr>
                <w:rFonts w:ascii="Arial" w:cs="Arial" w:eastAsia="Arial" w:hAnsi="Arial"/>
                <w:sz w:val="18"/>
                <w:szCs w:val="18"/>
                <w:color w:val="auto"/>
              </w:rPr>
              <w:t>Company Act of 1940 (15 U.S.C. 80a-3);</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(j)</w:t>
            </w:r>
          </w:p>
        </w:tc>
        <w:tc>
          <w:tcPr>
            <w:tcW w:w="88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240.13d-1(b)(1)(ii)(J).</w:t>
            </w:r>
          </w:p>
        </w:tc>
      </w:tr>
      <w:tr>
        <w:trPr>
          <w:trHeight w:val="345"/>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0" w:type="dxa"/>
            <w:vAlign w:val="bottom"/>
          </w:tcPr>
          <w:p>
            <w:pPr>
              <w:ind w:left="3900"/>
              <w:spacing w:after="0"/>
              <w:rPr>
                <w:sz w:val="20"/>
                <w:szCs w:val="20"/>
                <w:color w:val="auto"/>
              </w:rPr>
            </w:pPr>
            <w:r>
              <w:rPr>
                <w:rFonts w:ascii="Arial" w:cs="Arial" w:eastAsia="Arial" w:hAnsi="Arial"/>
                <w:sz w:val="18"/>
                <w:szCs w:val="18"/>
                <w:color w:val="auto"/>
              </w:rPr>
              <w:t>Page 4 of 7 pages</w:t>
            </w:r>
          </w:p>
        </w:tc>
      </w:tr>
    </w:tbl>
    <w:p>
      <w:pPr>
        <w:ind w:left="390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20" w:right="179"/>
        <w:spacing w:after="0" w:line="308" w:lineRule="auto"/>
        <w:rPr>
          <w:rFonts w:ascii="Arial" w:cs="Arial" w:eastAsia="Arial" w:hAnsi="Arial"/>
          <w:sz w:val="18"/>
          <w:szCs w:val="18"/>
          <w:color w:val="auto"/>
        </w:rPr>
      </w:pPr>
      <w:r>
        <w:rPr>
          <w:rFonts w:ascii="Arial" w:cs="Arial" w:eastAsia="Arial" w:hAnsi="Arial"/>
          <w:sz w:val="15"/>
          <w:szCs w:val="15"/>
          <w:color w:val="auto"/>
        </w:rPr>
        <w:t>QVT Financial LP (“QVT Financial”) is the investment manager for QVT Fund LP (the “Fund”), which beneficially owns 3,192,929 shares of Common Stock, consisting of 2,652,199 shares of Common Stock and 540,730 shares of Common Stock underlying convertible senior notes (the “Notes”). QVT Financial is the investment manager for Quintessence Fund L.P. (“Quintessence”), which beneficially owns 351,067 shares of Common Stock, consisting of 291,500 shares of Common Stock and 59,567 shares of Common Stock underlying Notes. QVT Financial is also the investment manager for a separate discretionary account managed for Deutsche Bank AG (the “Separate Account”), which holds 369,640 shares of Common Stock, consisting of 264,753 shares of Common Stock and 104,887 shares of Common Stock underlying Notes. QVT Financial has the power to direct the vote and disposition of the Common Stock held by each of the Fund, Quintessence and the Separate Account. Accordingly, QVT Financial may be deemed to be the beneficial owner of an aggregate amount of 3,913,636 shares of Common Stock, consisting of the shares owned by the Fund and Quintessence and the shares held in the Separate Account.</w:t>
      </w:r>
    </w:p>
    <w:p>
      <w:pPr>
        <w:spacing w:after="0" w:line="149" w:lineRule="exact"/>
        <w:rPr>
          <w:rFonts w:ascii="Arial" w:cs="Arial" w:eastAsia="Arial" w:hAnsi="Arial"/>
          <w:sz w:val="18"/>
          <w:szCs w:val="18"/>
          <w:color w:val="auto"/>
        </w:rPr>
      </w:pPr>
    </w:p>
    <w:p>
      <w:pPr>
        <w:ind w:left="1020" w:right="319"/>
        <w:spacing w:after="0" w:line="268" w:lineRule="auto"/>
        <w:rPr>
          <w:rFonts w:ascii="Arial" w:cs="Arial" w:eastAsia="Arial" w:hAnsi="Arial"/>
          <w:sz w:val="18"/>
          <w:szCs w:val="18"/>
          <w:color w:val="auto"/>
        </w:rPr>
      </w:pPr>
      <w:r>
        <w:rPr>
          <w:rFonts w:ascii="Arial" w:cs="Arial" w:eastAsia="Arial" w:hAnsi="Arial"/>
          <w:sz w:val="18"/>
          <w:szCs w:val="18"/>
          <w:color w:val="auto"/>
        </w:rPr>
        <w:t>QVT Financial GP LLC, as General Partner of QVT Financial, may be deemed to beneficially own the same number of shares of Common Stock reported by QVT Financial.</w:t>
      </w:r>
    </w:p>
    <w:p>
      <w:pPr>
        <w:spacing w:after="0" w:line="172" w:lineRule="exact"/>
        <w:rPr>
          <w:rFonts w:ascii="Arial" w:cs="Arial" w:eastAsia="Arial" w:hAnsi="Arial"/>
          <w:sz w:val="18"/>
          <w:szCs w:val="18"/>
          <w:color w:val="auto"/>
        </w:rPr>
      </w:pPr>
    </w:p>
    <w:p>
      <w:pPr>
        <w:ind w:left="1020" w:right="219"/>
        <w:spacing w:after="0" w:line="332" w:lineRule="auto"/>
        <w:rPr>
          <w:rFonts w:ascii="Arial" w:cs="Arial" w:eastAsia="Arial" w:hAnsi="Arial"/>
          <w:sz w:val="18"/>
          <w:szCs w:val="18"/>
          <w:color w:val="auto"/>
        </w:rPr>
      </w:pPr>
      <w:r>
        <w:rPr>
          <w:rFonts w:ascii="Arial" w:cs="Arial" w:eastAsia="Arial" w:hAnsi="Arial"/>
          <w:sz w:val="16"/>
          <w:szCs w:val="16"/>
          <w:color w:val="auto"/>
        </w:rPr>
        <w:t>Each of QVT Financial and QVT Financial GP LLC disclaim beneficial ownership of the shares of Common Stock beneficially owned by the Fund and Quintessence and the shares of Common Stock held in the Separate Account.</w:t>
      </w:r>
    </w:p>
    <w:p>
      <w:pPr>
        <w:spacing w:after="0" w:line="125" w:lineRule="exact"/>
        <w:rPr>
          <w:rFonts w:ascii="Arial" w:cs="Arial" w:eastAsia="Arial" w:hAnsi="Arial"/>
          <w:sz w:val="18"/>
          <w:szCs w:val="18"/>
          <w:color w:val="auto"/>
        </w:rPr>
      </w:pPr>
    </w:p>
    <w:p>
      <w:pPr>
        <w:ind w:left="1020" w:right="259"/>
        <w:spacing w:after="0" w:line="298" w:lineRule="auto"/>
        <w:rPr>
          <w:rFonts w:ascii="Arial" w:cs="Arial" w:eastAsia="Arial" w:hAnsi="Arial"/>
          <w:sz w:val="18"/>
          <w:szCs w:val="18"/>
          <w:color w:val="auto"/>
        </w:rPr>
      </w:pPr>
      <w:r>
        <w:rPr>
          <w:rFonts w:ascii="Arial" w:cs="Arial" w:eastAsia="Arial" w:hAnsi="Arial"/>
          <w:sz w:val="16"/>
          <w:szCs w:val="16"/>
          <w:color w:val="auto"/>
        </w:rPr>
        <w:t>The percentage disclosed in Item 11 of the Cover Pages for each reporting person is calculated based upon the sum of (i) 76,848,479 shares of Common Stock outstanding, which is the total number of shares issued and outstanding as reported in the Issuer’s Quarterly Report on Form 10-Q for the quarter ended March 31, 2008, and (ii) the number of shares of Common Stock issuable upon conversion of the Notes held by such reporting person.</w:t>
      </w:r>
    </w:p>
    <w:p>
      <w:pPr>
        <w:spacing w:after="0" w:line="72"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See Item 11 of the Cover Pages to this Schedule 13G.</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right="6099" w:hanging="359"/>
        <w:spacing w:after="0" w:line="375" w:lineRule="auto"/>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380" w:right="5919" w:hanging="359"/>
        <w:spacing w:after="0" w:line="375" w:lineRule="auto"/>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(a) above.</w:t>
      </w:r>
    </w:p>
    <w:p>
      <w:pPr>
        <w:spacing w:after="0" w:line="1" w:lineRule="exact"/>
        <w:rPr>
          <w:rFonts w:ascii="Arial" w:cs="Arial" w:eastAsia="Arial" w:hAnsi="Arial"/>
          <w:sz w:val="18"/>
          <w:szCs w:val="18"/>
          <w:color w:val="auto"/>
        </w:rPr>
      </w:pPr>
    </w:p>
    <w:p>
      <w:pPr>
        <w:ind w:left="1380" w:right="5219" w:hanging="359"/>
        <w:spacing w:after="0" w:line="375" w:lineRule="auto"/>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380" w:right="5039" w:hanging="359"/>
        <w:spacing w:after="0" w:line="372" w:lineRule="auto"/>
        <w:tabs>
          <w:tab w:leader="none" w:pos="13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(a) above.</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19"/>
        <w:spacing w:after="0" w:line="229" w:lineRule="exact"/>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5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7 pages</w:t>
      </w:r>
    </w:p>
    <w:p>
      <w:pPr>
        <w:sectPr>
          <w:pgSz w:w="11900" w:h="16838" w:orient="portrait"/>
          <w:cols w:equalWidth="0" w:num="1">
            <w:col w:w="10219"/>
          </w:cols>
          <w:pgMar w:left="240" w:top="274" w:right="1440"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LP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By QVT Financial GP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Fu</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Tracy Fu</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QVT FINANCIAL GP LLC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Fu</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Tracy Fu</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 of 7 pages</w:t>
      </w:r>
    </w:p>
    <w:p>
      <w:pPr>
        <w:sectPr>
          <w:pgSz w:w="11900" w:h="16838" w:orient="portrait"/>
          <w:cols w:equalWidth="0" w:num="1">
            <w:col w:w="11240"/>
          </w:cols>
          <w:pgMar w:left="240" w:top="274" w:right="4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JOINT FILING AGREEMENT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hereby agree that the statement on Schedule 13G signed by each of the undersigned shall be filed on behalf of each of the undersigned pursuant to and in accordance with the provisions of Rule 13d-1(k) under the Securities Exchange Act of 1934, as amended.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June 9,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QVT FINANCIAL LP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By QVT Financial GP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Fu</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Tracy Fu</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QVT FINANCIAL GP LLC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Fu</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Tracy Fu</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Oren Eisner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Oren Eisner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 of 7 pages</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lvl w:ilvl="1">
      <w:lvlJc w:val="left"/>
      <w:lvlText w:val="(%2)"/>
      <w:numFmt w:val="lowerLetter"/>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2019-12-20T18:00:18Z</dcterms:created>
  <dcterms:modified xsi:type="dcterms:W3CDTF">2019-12-20T18:00:18Z</dcterms:modified>
</cp:coreProperties>
</file>