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13"/>
          <w:szCs w:val="13"/>
          <w:color w:val="auto"/>
        </w:rPr>
        <w:t>UNITED STATES</w:t>
      </w:r>
    </w:p>
    <w:p>
      <w:pPr>
        <w:spacing w:after="0" w:line="11" w:lineRule="exact"/>
        <w:rPr>
          <w:sz w:val="24"/>
          <w:szCs w:val="24"/>
          <w:color w:val="auto"/>
        </w:rPr>
      </w:pPr>
    </w:p>
    <w:p>
      <w:pPr>
        <w:jc w:val="center"/>
        <w:ind w:right="-1"/>
        <w:spacing w:after="0"/>
        <w:rPr>
          <w:sz w:val="20"/>
          <w:szCs w:val="20"/>
          <w:color w:val="auto"/>
        </w:rPr>
      </w:pPr>
      <w:r>
        <w:rPr>
          <w:rFonts w:ascii="Arial" w:cs="Arial" w:eastAsia="Arial" w:hAnsi="Arial"/>
          <w:sz w:val="13"/>
          <w:szCs w:val="13"/>
          <w:color w:val="auto"/>
        </w:rPr>
        <w:t>SECURITIES AND EXCHANGE COMMISSION</w:t>
      </w:r>
    </w:p>
    <w:p>
      <w:pPr>
        <w:spacing w:after="0" w:line="6" w:lineRule="exact"/>
        <w:rPr>
          <w:sz w:val="24"/>
          <w:szCs w:val="24"/>
          <w:color w:val="auto"/>
        </w:rPr>
      </w:pPr>
    </w:p>
    <w:p>
      <w:pPr>
        <w:jc w:val="center"/>
        <w:ind w:right="-1"/>
        <w:spacing w:after="0"/>
        <w:rPr>
          <w:sz w:val="20"/>
          <w:szCs w:val="20"/>
          <w:color w:val="auto"/>
        </w:rPr>
      </w:pPr>
      <w:r>
        <w:rPr>
          <w:rFonts w:ascii="Arial" w:cs="Arial" w:eastAsia="Arial" w:hAnsi="Arial"/>
          <w:sz w:val="13"/>
          <w:szCs w:val="13"/>
          <w:color w:val="auto"/>
        </w:rPr>
        <w:t>Washington, DC 20549</w:t>
      </w:r>
    </w:p>
    <w:p>
      <w:pPr>
        <w:spacing w:after="0" w:line="171"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Form 10-Q</w:t>
      </w:r>
    </w:p>
    <w:p>
      <w:pPr>
        <w:spacing w:after="0" w:line="185" w:lineRule="exact"/>
        <w:rPr>
          <w:sz w:val="24"/>
          <w:szCs w:val="24"/>
          <w:color w:val="auto"/>
        </w:rPr>
      </w:pPr>
    </w:p>
    <w:p>
      <w:pPr>
        <w:ind w:left="382"/>
        <w:spacing w:after="0"/>
        <w:rPr>
          <w:sz w:val="20"/>
          <w:szCs w:val="20"/>
          <w:color w:val="auto"/>
        </w:rPr>
      </w:pPr>
      <w:r>
        <w:rPr>
          <w:rFonts w:ascii="Arial" w:cs="Arial" w:eastAsia="Arial" w:hAnsi="Arial"/>
          <w:sz w:val="13"/>
          <w:szCs w:val="13"/>
          <w:color w:val="auto"/>
        </w:rPr>
        <w:t>(Mark One)</w:t>
      </w:r>
    </w:p>
    <w:p>
      <w:pPr>
        <w:spacing w:after="0" w:line="25" w:lineRule="exact"/>
        <w:rPr>
          <w:sz w:val="24"/>
          <w:szCs w:val="24"/>
          <w:color w:val="auto"/>
        </w:rPr>
      </w:pPr>
    </w:p>
    <w:p>
      <w:pPr>
        <w:ind w:left="382" w:hanging="382"/>
        <w:spacing w:after="0"/>
        <w:tabs>
          <w:tab w:leader="none" w:pos="382" w:val="left"/>
        </w:tabs>
        <w:numPr>
          <w:ilvl w:val="0"/>
          <w:numId w:val="1"/>
        </w:numPr>
        <w:rPr>
          <w:rFonts w:ascii="Arial" w:cs="Arial" w:eastAsia="Arial" w:hAnsi="Arial"/>
          <w:sz w:val="13"/>
          <w:szCs w:val="13"/>
          <w:color w:val="auto"/>
        </w:rPr>
      </w:pPr>
      <w:r>
        <w:rPr>
          <w:rFonts w:ascii="Arial" w:cs="Arial" w:eastAsia="Arial" w:hAnsi="Arial"/>
          <w:sz w:val="13"/>
          <w:szCs w:val="13"/>
          <w:color w:val="auto"/>
        </w:rPr>
        <w:t>QUARTERLY REPORT PURSUANT TO SECTION 13 OR 15(d) OF THE SECURITIES EXCHANGE ACT OF 1934</w:t>
      </w:r>
    </w:p>
    <w:p>
      <w:pPr>
        <w:spacing w:after="0" w:line="200" w:lineRule="exact"/>
        <w:rPr>
          <w:sz w:val="24"/>
          <w:szCs w:val="24"/>
          <w:color w:val="auto"/>
        </w:rPr>
      </w:pPr>
    </w:p>
    <w:p>
      <w:pPr>
        <w:ind w:left="382"/>
        <w:spacing w:after="0"/>
        <w:tabs>
          <w:tab w:leader="none" w:pos="2142" w:val="left"/>
        </w:tabs>
        <w:rPr>
          <w:sz w:val="20"/>
          <w:szCs w:val="20"/>
          <w:color w:val="auto"/>
        </w:rPr>
      </w:pPr>
      <w:r>
        <w:rPr>
          <w:rFonts w:ascii="Arial" w:cs="Arial" w:eastAsia="Arial" w:hAnsi="Arial"/>
          <w:sz w:val="13"/>
          <w:szCs w:val="13"/>
          <w:color w:val="auto"/>
        </w:rPr>
        <w:t>For the quarterly period ended</w:t>
      </w:r>
      <w:r>
        <w:rPr>
          <w:sz w:val="20"/>
          <w:szCs w:val="20"/>
          <w:color w:val="auto"/>
        </w:rPr>
        <w:tab/>
      </w:r>
      <w:r>
        <w:rPr>
          <w:rFonts w:ascii="Arial" w:cs="Arial" w:eastAsia="Arial" w:hAnsi="Arial"/>
          <w:sz w:val="11"/>
          <w:szCs w:val="11"/>
          <w:color w:val="auto"/>
        </w:rPr>
        <w:t>March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1238885</wp:posOffset>
            </wp:positionH>
            <wp:positionV relativeFrom="paragraph">
              <wp:posOffset>19685</wp:posOffset>
            </wp:positionV>
            <wp:extent cx="80772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7720" cy="6350"/>
                    </a:xfrm>
                    <a:prstGeom prst="rect">
                      <a:avLst/>
                    </a:prstGeom>
                    <a:noFill/>
                  </pic:spPr>
                </pic:pic>
              </a:graphicData>
            </a:graphic>
          </wp:anchor>
        </w:drawing>
      </w:r>
    </w:p>
    <w:p>
      <w:pPr>
        <w:spacing w:after="0" w:line="190" w:lineRule="exact"/>
        <w:rPr>
          <w:sz w:val="24"/>
          <w:szCs w:val="24"/>
          <w:color w:val="auto"/>
        </w:rPr>
      </w:pPr>
    </w:p>
    <w:p>
      <w:pPr>
        <w:jc w:val="center"/>
        <w:ind w:right="-1"/>
        <w:spacing w:after="0"/>
        <w:rPr>
          <w:sz w:val="20"/>
          <w:szCs w:val="20"/>
          <w:color w:val="auto"/>
        </w:rPr>
      </w:pPr>
      <w:r>
        <w:rPr>
          <w:rFonts w:ascii="Arial" w:cs="Arial" w:eastAsia="Arial" w:hAnsi="Arial"/>
          <w:sz w:val="13"/>
          <w:szCs w:val="13"/>
          <w:color w:val="auto"/>
        </w:rPr>
        <w:t>OR</w:t>
      </w:r>
    </w:p>
    <w:p>
      <w:pPr>
        <w:spacing w:after="0" w:line="181" w:lineRule="exact"/>
        <w:rPr>
          <w:sz w:val="24"/>
          <w:szCs w:val="24"/>
          <w:color w:val="auto"/>
        </w:rPr>
      </w:pPr>
    </w:p>
    <w:p>
      <w:pPr>
        <w:ind w:left="2"/>
        <w:spacing w:after="0"/>
        <w:tabs>
          <w:tab w:leader="none" w:pos="362"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1"/>
          <w:szCs w:val="11"/>
          <w:color w:val="auto"/>
        </w:rPr>
        <w:t>TRANSITION REPORT PURSUANT TO SECTION 13 OR 15 (d) OF THE SECURITIES EXCHANGE ACT OF 1934</w:t>
      </w:r>
    </w:p>
    <w:p>
      <w:pPr>
        <w:spacing w:after="0" w:line="200" w:lineRule="exact"/>
        <w:rPr>
          <w:sz w:val="24"/>
          <w:szCs w:val="24"/>
          <w:color w:val="auto"/>
        </w:rPr>
      </w:pPr>
    </w:p>
    <w:tbl>
      <w:tblPr>
        <w:tblLayout w:type="fixed"/>
        <w:tblInd w:w="382" w:type="dxa"/>
        <w:tblCellMar>
          <w:top w:w="0" w:type="dxa"/>
          <w:left w:w="0" w:type="dxa"/>
          <w:bottom w:w="0" w:type="dxa"/>
          <w:right w:w="0" w:type="dxa"/>
        </w:tblCellMar>
      </w:tblPr>
      <w:tr>
        <w:trPr>
          <w:trHeight w:val="160"/>
        </w:trPr>
        <w:tc>
          <w:tcPr>
            <w:tcW w:w="1520" w:type="dxa"/>
            <w:vAlign w:val="bottom"/>
          </w:tcPr>
          <w:p>
            <w:pPr>
              <w:spacing w:after="0"/>
              <w:rPr>
                <w:sz w:val="20"/>
                <w:szCs w:val="20"/>
                <w:color w:val="auto"/>
              </w:rPr>
            </w:pPr>
            <w:r>
              <w:rPr>
                <w:rFonts w:ascii="Arial" w:cs="Arial" w:eastAsia="Arial" w:hAnsi="Arial"/>
                <w:sz w:val="13"/>
                <w:szCs w:val="13"/>
                <w:color w:val="auto"/>
                <w:w w:val="89"/>
              </w:rPr>
              <w:t>For the transition period from</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00" w:type="dxa"/>
            <w:vAlign w:val="bottom"/>
            <w:gridSpan w:val="7"/>
          </w:tcPr>
          <w:p>
            <w:pPr>
              <w:ind w:left="20"/>
              <w:spacing w:after="0"/>
              <w:rPr>
                <w:sz w:val="20"/>
                <w:szCs w:val="20"/>
                <w:color w:val="auto"/>
              </w:rPr>
            </w:pPr>
            <w:r>
              <w:rPr>
                <w:rFonts w:ascii="Arial" w:cs="Arial" w:eastAsia="Arial" w:hAnsi="Arial"/>
                <w:sz w:val="13"/>
                <w:szCs w:val="13"/>
                <w:color w:val="auto"/>
              </w:rPr>
              <w:t>to</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gridSpan w:val="2"/>
            <w:vMerge w:val="restart"/>
          </w:tcPr>
          <w:p>
            <w:pPr>
              <w:ind w:left="240"/>
              <w:spacing w:after="0"/>
              <w:rPr>
                <w:sz w:val="20"/>
                <w:szCs w:val="20"/>
                <w:color w:val="auto"/>
              </w:rPr>
            </w:pPr>
            <w:r>
              <w:rPr>
                <w:rFonts w:ascii="Arial" w:cs="Arial" w:eastAsia="Arial" w:hAnsi="Arial"/>
                <w:sz w:val="13"/>
                <w:szCs w:val="13"/>
                <w:color w:val="auto"/>
                <w:w w:val="91"/>
              </w:rPr>
              <w:t>Commission File Number</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0-19034</w:t>
            </w: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000" w:type="dxa"/>
            <w:vAlign w:val="bottom"/>
            <w:tcBorders>
              <w:bottom w:val="single" w:sz="8" w:color="auto"/>
            </w:tcBorders>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gridSpan w:val="6"/>
          </w:tcPr>
          <w:p>
            <w:pPr>
              <w:jc w:val="right"/>
              <w:ind w:right="2100"/>
              <w:spacing w:after="0"/>
              <w:rPr>
                <w:sz w:val="20"/>
                <w:szCs w:val="20"/>
                <w:color w:val="auto"/>
              </w:rPr>
            </w:pPr>
            <w:r>
              <w:rPr>
                <w:rFonts w:ascii="Arial" w:cs="Arial" w:eastAsia="Arial" w:hAnsi="Arial"/>
                <w:sz w:val="13"/>
                <w:szCs w:val="13"/>
                <w:color w:val="auto"/>
                <w:w w:val="93"/>
              </w:rPr>
              <w:t>REGENERON PHARMACEUTICALS, INC.</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80" w:type="dxa"/>
            <w:vAlign w:val="bottom"/>
            <w:gridSpan w:val="7"/>
          </w:tcPr>
          <w:p>
            <w:pPr>
              <w:ind w:left="120"/>
              <w:spacing w:after="0"/>
              <w:rPr>
                <w:sz w:val="20"/>
                <w:szCs w:val="20"/>
                <w:color w:val="auto"/>
              </w:rPr>
            </w:pPr>
            <w:r>
              <w:rPr>
                <w:rFonts w:ascii="Arial" w:cs="Arial" w:eastAsia="Arial" w:hAnsi="Arial"/>
                <w:sz w:val="13"/>
                <w:szCs w:val="13"/>
                <w:color w:val="auto"/>
              </w:rPr>
              <w:t>(Exact name of registrant as specified in its charter)</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5"/>
          </w:tcPr>
          <w:p>
            <w:pPr>
              <w:jc w:val="center"/>
              <w:ind w:right="2097"/>
              <w:spacing w:after="0"/>
              <w:rPr>
                <w:sz w:val="20"/>
                <w:szCs w:val="20"/>
                <w:color w:val="auto"/>
              </w:rPr>
            </w:pPr>
            <w:r>
              <w:rPr>
                <w:rFonts w:ascii="Arial" w:cs="Arial" w:eastAsia="Arial" w:hAnsi="Arial"/>
                <w:sz w:val="13"/>
                <w:szCs w:val="13"/>
                <w:color w:val="auto"/>
                <w:w w:val="92"/>
              </w:rPr>
              <w:t>New York</w:t>
            </w:r>
          </w:p>
        </w:tc>
        <w:tc>
          <w:tcPr>
            <w:tcW w:w="2480" w:type="dxa"/>
            <w:vAlign w:val="bottom"/>
            <w:gridSpan w:val="4"/>
          </w:tcPr>
          <w:p>
            <w:pPr>
              <w:jc w:val="center"/>
              <w:ind w:left="1797"/>
              <w:spacing w:after="0"/>
              <w:rPr>
                <w:sz w:val="20"/>
                <w:szCs w:val="20"/>
                <w:color w:val="auto"/>
              </w:rPr>
            </w:pPr>
            <w:r>
              <w:rPr>
                <w:rFonts w:ascii="Arial" w:cs="Arial" w:eastAsia="Arial" w:hAnsi="Arial"/>
                <w:sz w:val="13"/>
                <w:szCs w:val="13"/>
                <w:color w:val="auto"/>
                <w:w w:val="89"/>
              </w:rPr>
              <w:t>13-3444607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20" w:type="dxa"/>
            <w:vAlign w:val="bottom"/>
          </w:tcPr>
          <w:p>
            <w:pPr>
              <w:spacing w:after="0"/>
              <w:rPr>
                <w:sz w:val="15"/>
                <w:szCs w:val="15"/>
                <w:color w:val="auto"/>
              </w:rPr>
            </w:pPr>
          </w:p>
        </w:tc>
        <w:tc>
          <w:tcPr>
            <w:tcW w:w="4020" w:type="dxa"/>
            <w:vAlign w:val="bottom"/>
            <w:gridSpan w:val="9"/>
          </w:tcPr>
          <w:p>
            <w:pPr>
              <w:jc w:val="center"/>
              <w:ind w:right="737"/>
              <w:spacing w:after="0"/>
              <w:rPr>
                <w:sz w:val="20"/>
                <w:szCs w:val="20"/>
                <w:color w:val="auto"/>
              </w:rPr>
            </w:pPr>
            <w:r>
              <w:rPr>
                <w:rFonts w:ascii="Arial" w:cs="Arial" w:eastAsia="Arial" w:hAnsi="Arial"/>
                <w:sz w:val="13"/>
                <w:szCs w:val="13"/>
                <w:color w:val="auto"/>
                <w:w w:val="89"/>
              </w:rPr>
              <w:t>(State or other jurisdiction of</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jc w:val="center"/>
              <w:ind w:left="197"/>
              <w:spacing w:after="0"/>
              <w:rPr>
                <w:sz w:val="20"/>
                <w:szCs w:val="20"/>
                <w:color w:val="auto"/>
              </w:rPr>
            </w:pPr>
            <w:r>
              <w:rPr>
                <w:rFonts w:ascii="Arial" w:cs="Arial" w:eastAsia="Arial" w:hAnsi="Arial"/>
                <w:sz w:val="13"/>
                <w:szCs w:val="13"/>
                <w:color w:val="auto"/>
                <w:w w:val="90"/>
              </w:rPr>
              <w:t>(I.R.S. Employer Identification No.)</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4020" w:type="dxa"/>
            <w:vAlign w:val="bottom"/>
            <w:gridSpan w:val="9"/>
          </w:tcPr>
          <w:p>
            <w:pPr>
              <w:jc w:val="center"/>
              <w:ind w:right="757"/>
              <w:spacing w:after="0"/>
              <w:rPr>
                <w:sz w:val="20"/>
                <w:szCs w:val="20"/>
                <w:color w:val="auto"/>
              </w:rPr>
            </w:pPr>
            <w:r>
              <w:rPr>
                <w:rFonts w:ascii="Arial" w:cs="Arial" w:eastAsia="Arial" w:hAnsi="Arial"/>
                <w:sz w:val="13"/>
                <w:szCs w:val="13"/>
                <w:color w:val="auto"/>
                <w:w w:val="89"/>
              </w:rPr>
              <w:t>incorporation or organization)</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1520" w:type="dxa"/>
            <w:vAlign w:val="bottom"/>
          </w:tcPr>
          <w:p>
            <w:pPr>
              <w:spacing w:after="0"/>
              <w:rPr>
                <w:sz w:val="24"/>
                <w:szCs w:val="24"/>
                <w:color w:val="auto"/>
              </w:rPr>
            </w:pPr>
          </w:p>
        </w:tc>
        <w:tc>
          <w:tcPr>
            <w:tcW w:w="4020" w:type="dxa"/>
            <w:vAlign w:val="bottom"/>
            <w:gridSpan w:val="9"/>
          </w:tcPr>
          <w:p>
            <w:pPr>
              <w:jc w:val="center"/>
              <w:ind w:right="757"/>
              <w:spacing w:after="0"/>
              <w:rPr>
                <w:sz w:val="20"/>
                <w:szCs w:val="20"/>
                <w:color w:val="auto"/>
              </w:rPr>
            </w:pPr>
            <w:r>
              <w:rPr>
                <w:rFonts w:ascii="Arial" w:cs="Arial" w:eastAsia="Arial" w:hAnsi="Arial"/>
                <w:sz w:val="13"/>
                <w:szCs w:val="13"/>
                <w:color w:val="auto"/>
                <w:w w:val="91"/>
              </w:rPr>
              <w:t>777 Old Saw Mill River Road</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Borders>
              <w:bottom w:val="single" w:sz="8" w:color="auto"/>
            </w:tcBorders>
            <w:gridSpan w:val="5"/>
          </w:tcPr>
          <w:p>
            <w:pPr>
              <w:jc w:val="center"/>
              <w:spacing w:after="0" w:line="147" w:lineRule="exact"/>
              <w:rPr>
                <w:sz w:val="20"/>
                <w:szCs w:val="20"/>
                <w:color w:val="auto"/>
              </w:rPr>
            </w:pPr>
            <w:r>
              <w:rPr>
                <w:rFonts w:ascii="Arial" w:cs="Arial" w:eastAsia="Arial" w:hAnsi="Arial"/>
                <w:sz w:val="13"/>
                <w:szCs w:val="13"/>
                <w:color w:val="auto"/>
                <w:w w:val="90"/>
              </w:rPr>
              <w:t>Tarrytown, New York</w:t>
            </w:r>
          </w:p>
        </w:tc>
        <w:tc>
          <w:tcPr>
            <w:tcW w:w="1860" w:type="dxa"/>
            <w:vAlign w:val="bottom"/>
            <w:gridSpan w:val="3"/>
          </w:tcPr>
          <w:p>
            <w:pPr>
              <w:spacing w:after="0"/>
              <w:rPr>
                <w:sz w:val="12"/>
                <w:szCs w:val="12"/>
                <w:color w:val="auto"/>
              </w:rPr>
            </w:pPr>
          </w:p>
        </w:tc>
        <w:tc>
          <w:tcPr>
            <w:tcW w:w="1860" w:type="dxa"/>
            <w:vAlign w:val="bottom"/>
            <w:gridSpan w:val="3"/>
          </w:tcPr>
          <w:p>
            <w:pPr>
              <w:spacing w:after="0"/>
              <w:rPr>
                <w:sz w:val="12"/>
                <w:szCs w:val="12"/>
                <w:color w:val="auto"/>
              </w:rPr>
            </w:pPr>
          </w:p>
        </w:tc>
        <w:tc>
          <w:tcPr>
            <w:tcW w:w="62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w w:val="89"/>
              </w:rPr>
              <w:t>10591-6707</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4020" w:type="dxa"/>
            <w:vAlign w:val="bottom"/>
            <w:gridSpan w:val="9"/>
          </w:tcPr>
          <w:p>
            <w:pPr>
              <w:jc w:val="center"/>
              <w:ind w:right="757"/>
              <w:spacing w:after="0"/>
              <w:rPr>
                <w:sz w:val="20"/>
                <w:szCs w:val="20"/>
                <w:color w:val="auto"/>
              </w:rPr>
            </w:pPr>
            <w:r>
              <w:rPr>
                <w:rFonts w:ascii="Arial" w:cs="Arial" w:eastAsia="Arial" w:hAnsi="Arial"/>
                <w:sz w:val="13"/>
                <w:szCs w:val="13"/>
                <w:color w:val="auto"/>
                <w:w w:val="89"/>
              </w:rPr>
              <w:t>(Address of principal executive offices)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1"/>
        <w:spacing w:after="0"/>
        <w:rPr>
          <w:sz w:val="20"/>
          <w:szCs w:val="20"/>
          <w:color w:val="auto"/>
        </w:rPr>
      </w:pPr>
      <w:r>
        <w:rPr>
          <w:rFonts w:ascii="Arial" w:cs="Arial" w:eastAsia="Arial" w:hAnsi="Arial"/>
          <w:sz w:val="13"/>
          <w:szCs w:val="13"/>
          <w:u w:val="single" w:color="auto"/>
          <w:color w:val="auto"/>
        </w:rPr>
        <w:t>(914) 347-7000</w:t>
      </w:r>
    </w:p>
    <w:p>
      <w:pPr>
        <w:spacing w:after="0" w:line="11" w:lineRule="exact"/>
        <w:rPr>
          <w:sz w:val="24"/>
          <w:szCs w:val="24"/>
          <w:color w:val="auto"/>
        </w:rPr>
      </w:pPr>
    </w:p>
    <w:p>
      <w:pPr>
        <w:jc w:val="center"/>
        <w:ind w:right="-1"/>
        <w:spacing w:after="0"/>
        <w:rPr>
          <w:sz w:val="20"/>
          <w:szCs w:val="20"/>
          <w:color w:val="auto"/>
        </w:rPr>
      </w:pPr>
      <w:r>
        <w:rPr>
          <w:rFonts w:ascii="Arial" w:cs="Arial" w:eastAsia="Arial" w:hAnsi="Arial"/>
          <w:sz w:val="13"/>
          <w:szCs w:val="13"/>
          <w:color w:val="auto"/>
        </w:rPr>
        <w:t>(Registrant’s telephone number, including area code)</w:t>
      </w:r>
    </w:p>
    <w:p>
      <w:pPr>
        <w:spacing w:after="0" w:line="175" w:lineRule="exact"/>
        <w:rPr>
          <w:sz w:val="24"/>
          <w:szCs w:val="24"/>
          <w:color w:val="auto"/>
        </w:rPr>
      </w:pPr>
    </w:p>
    <w:p>
      <w:pPr>
        <w:ind w:left="2"/>
        <w:spacing w:after="0" w:line="25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442"/>
        <w:spacing w:after="0"/>
        <w:tabs>
          <w:tab w:leader="none" w:pos="4962" w:val="left"/>
          <w:tab w:leader="none" w:pos="6022" w:val="left"/>
        </w:tabs>
        <w:rPr>
          <w:sz w:val="20"/>
          <w:szCs w:val="20"/>
          <w:color w:val="auto"/>
        </w:rPr>
      </w:pPr>
      <w:r>
        <w:rPr>
          <w:rFonts w:ascii="Arial" w:cs="Arial" w:eastAsia="Arial" w:hAnsi="Arial"/>
          <w:sz w:val="13"/>
          <w:szCs w:val="13"/>
          <w:color w:val="auto"/>
        </w:rPr>
        <w:t>Yes</w:t>
      </w:r>
      <w:r>
        <w:rPr>
          <w:sz w:val="20"/>
          <w:szCs w:val="20"/>
          <w:color w:val="auto"/>
        </w:rPr>
        <w:tab/>
      </w:r>
      <w:r>
        <w:rPr>
          <w:rFonts w:ascii="Arial" w:cs="Arial" w:eastAsia="Arial" w:hAnsi="Arial"/>
          <w:sz w:val="13"/>
          <w:szCs w:val="13"/>
          <w:color w:val="auto"/>
        </w:rPr>
        <w:t>X</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2970530</wp:posOffset>
            </wp:positionH>
            <wp:positionV relativeFrom="paragraph">
              <wp:posOffset>13335</wp:posOffset>
            </wp:positionV>
            <wp:extent cx="48069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0695" cy="63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13335</wp:posOffset>
            </wp:positionV>
            <wp:extent cx="49276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2760" cy="6350"/>
                    </a:xfrm>
                    <a:prstGeom prst="rect">
                      <a:avLst/>
                    </a:prstGeom>
                    <a:noFill/>
                  </pic:spPr>
                </pic:pic>
              </a:graphicData>
            </a:graphic>
          </wp:anchor>
        </w:drawing>
      </w:r>
    </w:p>
    <w:p>
      <w:pPr>
        <w:spacing w:after="0" w:line="161" w:lineRule="exact"/>
        <w:rPr>
          <w:sz w:val="24"/>
          <w:szCs w:val="24"/>
          <w:color w:val="auto"/>
        </w:rPr>
      </w:pPr>
    </w:p>
    <w:p>
      <w:pPr>
        <w:ind w:left="2"/>
        <w:spacing w:after="0" w:line="257"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442"/>
        <w:spacing w:after="0"/>
        <w:tabs>
          <w:tab w:leader="none" w:pos="4962" w:val="left"/>
          <w:tab w:leader="none" w:pos="6022" w:val="left"/>
        </w:tabs>
        <w:rPr>
          <w:sz w:val="20"/>
          <w:szCs w:val="20"/>
          <w:color w:val="auto"/>
        </w:rPr>
      </w:pPr>
      <w:r>
        <w:rPr>
          <w:rFonts w:ascii="Arial" w:cs="Arial" w:eastAsia="Arial" w:hAnsi="Arial"/>
          <w:sz w:val="13"/>
          <w:szCs w:val="13"/>
          <w:color w:val="auto"/>
        </w:rPr>
        <w:t>Yes</w:t>
      </w:r>
      <w:r>
        <w:rPr>
          <w:sz w:val="20"/>
          <w:szCs w:val="20"/>
          <w:color w:val="auto"/>
        </w:rPr>
        <w:tab/>
      </w:r>
      <w:r>
        <w:rPr>
          <w:rFonts w:ascii="Arial" w:cs="Arial" w:eastAsia="Arial" w:hAnsi="Arial"/>
          <w:sz w:val="13"/>
          <w:szCs w:val="13"/>
          <w:color w:val="auto"/>
        </w:rPr>
        <w:t>X</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2970530</wp:posOffset>
            </wp:positionH>
            <wp:positionV relativeFrom="paragraph">
              <wp:posOffset>13335</wp:posOffset>
            </wp:positionV>
            <wp:extent cx="48069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0695" cy="63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13335</wp:posOffset>
            </wp:positionV>
            <wp:extent cx="4927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2760" cy="6350"/>
                    </a:xfrm>
                    <a:prstGeom prst="rect">
                      <a:avLst/>
                    </a:prstGeom>
                    <a:noFill/>
                  </pic:spPr>
                </pic:pic>
              </a:graphicData>
            </a:graphic>
          </wp:anchor>
        </w:drawing>
      </w:r>
    </w:p>
    <w:p>
      <w:pPr>
        <w:spacing w:after="0" w:line="161" w:lineRule="exact"/>
        <w:rPr>
          <w:sz w:val="24"/>
          <w:szCs w:val="24"/>
          <w:color w:val="auto"/>
        </w:rPr>
      </w:pPr>
    </w:p>
    <w:p>
      <w:pPr>
        <w:ind w:left="2" w:right="20"/>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4" w:lineRule="exact"/>
        <w:rPr>
          <w:sz w:val="24"/>
          <w:szCs w:val="24"/>
          <w:color w:val="auto"/>
        </w:rPr>
      </w:pPr>
    </w:p>
    <w:tbl>
      <w:tblPr>
        <w:tblLayout w:type="fixed"/>
        <w:tblInd w:w="2"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w w:val="88"/>
              </w:rPr>
              <w:t>Large accelerated filer</w:t>
            </w:r>
          </w:p>
        </w:tc>
        <w:tc>
          <w:tcPr>
            <w:tcW w:w="2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X</w:t>
            </w:r>
          </w:p>
        </w:tc>
        <w:tc>
          <w:tcPr>
            <w:tcW w:w="4520" w:type="dxa"/>
            <w:vAlign w:val="bottom"/>
            <w:gridSpan w:val="5"/>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color w:val="auto"/>
                <w:w w:val="92"/>
              </w:rPr>
              <w:t>Accelerated filer</w:t>
            </w:r>
          </w:p>
        </w:tc>
        <w:tc>
          <w:tcPr>
            <w:tcW w:w="140" w:type="dxa"/>
            <w:vAlign w:val="bottom"/>
            <w:tcBorders>
              <w:bottom w:val="single" w:sz="8" w:color="auto"/>
            </w:tcBorders>
          </w:tcPr>
          <w:p>
            <w:pPr>
              <w:spacing w:after="0"/>
              <w:rPr>
                <w:sz w:val="13"/>
                <w:szCs w:val="13"/>
                <w:color w:val="auto"/>
              </w:rPr>
            </w:pPr>
          </w:p>
        </w:tc>
        <w:tc>
          <w:tcPr>
            <w:tcW w:w="3300" w:type="dxa"/>
            <w:vAlign w:val="bottom"/>
            <w:gridSpan w:val="3"/>
          </w:tcPr>
          <w:p>
            <w:pPr>
              <w:spacing w:after="0"/>
              <w:rPr>
                <w:sz w:val="13"/>
                <w:szCs w:val="13"/>
                <w:color w:val="auto"/>
              </w:rPr>
            </w:pPr>
          </w:p>
        </w:tc>
      </w:tr>
      <w:tr>
        <w:trPr>
          <w:trHeight w:val="169"/>
        </w:trPr>
        <w:tc>
          <w:tcPr>
            <w:tcW w:w="1100" w:type="dxa"/>
            <w:vAlign w:val="bottom"/>
          </w:tcPr>
          <w:p>
            <w:pPr>
              <w:spacing w:after="0"/>
              <w:rPr>
                <w:sz w:val="20"/>
                <w:szCs w:val="20"/>
                <w:color w:val="auto"/>
              </w:rPr>
            </w:pPr>
            <w:r>
              <w:rPr>
                <w:rFonts w:ascii="Arial" w:cs="Arial" w:eastAsia="Arial" w:hAnsi="Arial"/>
                <w:sz w:val="13"/>
                <w:szCs w:val="13"/>
                <w:color w:val="auto"/>
                <w:w w:val="90"/>
              </w:rPr>
              <w:t>Non-accelerated filer</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40" w:type="dxa"/>
            <w:vAlign w:val="bottom"/>
            <w:gridSpan w:val="6"/>
          </w:tcPr>
          <w:p>
            <w:pPr>
              <w:ind w:left="40"/>
              <w:spacing w:after="0"/>
              <w:rPr>
                <w:sz w:val="20"/>
                <w:szCs w:val="20"/>
                <w:color w:val="auto"/>
              </w:rPr>
            </w:pPr>
            <w:r>
              <w:rPr>
                <w:rFonts w:ascii="Arial" w:cs="Arial" w:eastAsia="Arial" w:hAnsi="Arial"/>
                <w:sz w:val="13"/>
                <w:szCs w:val="13"/>
                <w:color w:val="auto"/>
              </w:rPr>
              <w:t>(Do not check if a smaller reporting company)</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3"/>
                <w:szCs w:val="13"/>
                <w:color w:val="auto"/>
              </w:rPr>
              <w:t>Smaller reporting company</w:t>
            </w:r>
          </w:p>
        </w:tc>
        <w:tc>
          <w:tcPr>
            <w:tcW w:w="160" w:type="dxa"/>
            <w:vAlign w:val="bottom"/>
            <w:tcBorders>
              <w:bottom w:val="single" w:sz="8" w:color="auto"/>
            </w:tcBorders>
          </w:tcPr>
          <w:p>
            <w:pPr>
              <w:spacing w:after="0"/>
              <w:rPr>
                <w:sz w:val="14"/>
                <w:szCs w:val="14"/>
                <w:color w:val="auto"/>
              </w:rPr>
            </w:pPr>
          </w:p>
        </w:tc>
        <w:tc>
          <w:tcPr>
            <w:tcW w:w="2560" w:type="dxa"/>
            <w:vAlign w:val="bottom"/>
          </w:tcPr>
          <w:p>
            <w:pPr>
              <w:spacing w:after="0"/>
              <w:rPr>
                <w:sz w:val="14"/>
                <w:szCs w:val="14"/>
                <w:color w:val="auto"/>
              </w:rPr>
            </w:pPr>
          </w:p>
        </w:tc>
      </w:tr>
      <w:tr>
        <w:trPr>
          <w:trHeight w:val="324"/>
        </w:trPr>
        <w:tc>
          <w:tcPr>
            <w:tcW w:w="5900" w:type="dxa"/>
            <w:vAlign w:val="bottom"/>
            <w:gridSpan w:val="9"/>
          </w:tcPr>
          <w:p>
            <w:pPr>
              <w:spacing w:after="0"/>
              <w:rPr>
                <w:sz w:val="20"/>
                <w:szCs w:val="20"/>
                <w:color w:val="auto"/>
              </w:rPr>
            </w:pPr>
            <w:r>
              <w:rPr>
                <w:rFonts w:ascii="Arial" w:cs="Arial" w:eastAsia="Arial" w:hAnsi="Arial"/>
                <w:sz w:val="13"/>
                <w:szCs w:val="13"/>
                <w:color w:val="auto"/>
                <w:w w:val="90"/>
              </w:rPr>
              <w:t>Indicate by check mark whether the registrant is a shell company (as defined in Rule 12b-2 of the Exchange Act).</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70"/>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gridSpan w:val="2"/>
          </w:tcPr>
          <w:p>
            <w:pPr>
              <w:ind w:left="1180"/>
              <w:spacing w:after="0"/>
              <w:rPr>
                <w:sz w:val="20"/>
                <w:szCs w:val="20"/>
                <w:color w:val="auto"/>
              </w:rPr>
            </w:pPr>
            <w:r>
              <w:rPr>
                <w:rFonts w:ascii="Arial" w:cs="Arial" w:eastAsia="Arial" w:hAnsi="Arial"/>
                <w:sz w:val="13"/>
                <w:szCs w:val="13"/>
                <w:color w:val="auto"/>
                <w:w w:val="97"/>
              </w:rPr>
              <w:t>Yes</w:t>
            </w:r>
          </w:p>
        </w:tc>
        <w:tc>
          <w:tcPr>
            <w:tcW w:w="7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auto"/>
              </w:rPr>
              <w:t>No</w:t>
            </w: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X</w:t>
            </w:r>
          </w:p>
        </w:tc>
        <w:tc>
          <w:tcPr>
            <w:tcW w:w="4460" w:type="dxa"/>
            <w:vAlign w:val="bottom"/>
            <w:gridSpan w:val="6"/>
          </w:tcPr>
          <w:p>
            <w:pPr>
              <w:spacing w:after="0"/>
              <w:rPr>
                <w:sz w:val="14"/>
                <w:szCs w:val="14"/>
                <w:color w:val="auto"/>
              </w:rPr>
            </w:pPr>
          </w:p>
        </w:tc>
      </w:tr>
      <w:tr>
        <w:trPr>
          <w:trHeight w:val="305"/>
        </w:trPr>
        <w:tc>
          <w:tcPr>
            <w:tcW w:w="5900" w:type="dxa"/>
            <w:vAlign w:val="bottom"/>
            <w:gridSpan w:val="9"/>
          </w:tcPr>
          <w:p>
            <w:pPr>
              <w:spacing w:after="0"/>
              <w:rPr>
                <w:sz w:val="20"/>
                <w:szCs w:val="20"/>
                <w:color w:val="auto"/>
              </w:rPr>
            </w:pPr>
            <w:r>
              <w:rPr>
                <w:rFonts w:ascii="Arial" w:cs="Arial" w:eastAsia="Arial" w:hAnsi="Arial"/>
                <w:sz w:val="13"/>
                <w:szCs w:val="13"/>
                <w:color w:val="auto"/>
                <w:w w:val="99"/>
              </w:rPr>
              <w:t>Number of shares outstanding of each of the registrant’s classes of common stock as of April 13, 2011:</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37"/>
        </w:trPr>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40" w:type="dxa"/>
            <w:vAlign w:val="bottom"/>
          </w:tcPr>
          <w:p>
            <w:pPr>
              <w:spacing w:after="0" w:line="137" w:lineRule="exact"/>
              <w:rPr>
                <w:sz w:val="20"/>
                <w:szCs w:val="20"/>
                <w:color w:val="auto"/>
              </w:rPr>
            </w:pPr>
            <w:r>
              <w:rPr>
                <w:rFonts w:ascii="Arial" w:cs="Arial" w:eastAsia="Arial" w:hAnsi="Arial"/>
                <w:sz w:val="13"/>
                <w:szCs w:val="13"/>
                <w:color w:val="auto"/>
                <w:w w:val="87"/>
              </w:rPr>
              <w:t>Class of Common Stock</w:t>
            </w:r>
          </w:p>
        </w:tc>
        <w:tc>
          <w:tcPr>
            <w:tcW w:w="1400" w:type="dxa"/>
            <w:vAlign w:val="bottom"/>
            <w:gridSpan w:val="3"/>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80" w:type="dxa"/>
            <w:vAlign w:val="bottom"/>
            <w:gridSpan w:val="5"/>
          </w:tcPr>
          <w:p>
            <w:pPr>
              <w:spacing w:after="0" w:line="137" w:lineRule="exact"/>
              <w:rPr>
                <w:sz w:val="20"/>
                <w:szCs w:val="20"/>
                <w:color w:val="auto"/>
              </w:rPr>
            </w:pPr>
            <w:r>
              <w:rPr>
                <w:rFonts w:ascii="Arial" w:cs="Arial" w:eastAsia="Arial" w:hAnsi="Arial"/>
                <w:sz w:val="13"/>
                <w:szCs w:val="13"/>
                <w:color w:val="auto"/>
              </w:rPr>
              <w:t>Number of Shares</w:t>
            </w: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gridSpan w:val="5"/>
          </w:tcPr>
          <w:p>
            <w:pPr>
              <w:ind w:left="1680"/>
              <w:spacing w:after="0"/>
              <w:rPr>
                <w:sz w:val="20"/>
                <w:szCs w:val="20"/>
                <w:color w:val="auto"/>
              </w:rPr>
            </w:pPr>
            <w:r>
              <w:rPr>
                <w:rFonts w:ascii="Arial" w:cs="Arial" w:eastAsia="Arial" w:hAnsi="Arial"/>
                <w:sz w:val="13"/>
                <w:szCs w:val="13"/>
                <w:color w:val="auto"/>
              </w:rPr>
              <w:t>Class A Stock, $0.001 par value</w:t>
            </w:r>
          </w:p>
        </w:tc>
        <w:tc>
          <w:tcPr>
            <w:tcW w:w="360" w:type="dxa"/>
            <w:vAlign w:val="bottom"/>
          </w:tcPr>
          <w:p>
            <w:pPr>
              <w:spacing w:after="0"/>
              <w:rPr>
                <w:sz w:val="15"/>
                <w:szCs w:val="15"/>
                <w:color w:val="auto"/>
              </w:rPr>
            </w:pPr>
          </w:p>
        </w:tc>
        <w:tc>
          <w:tcPr>
            <w:tcW w:w="2500" w:type="dxa"/>
            <w:vAlign w:val="bottom"/>
            <w:gridSpan w:val="5"/>
          </w:tcPr>
          <w:p>
            <w:pPr>
              <w:jc w:val="right"/>
              <w:ind w:right="20"/>
              <w:spacing w:after="0"/>
              <w:rPr>
                <w:sz w:val="20"/>
                <w:szCs w:val="20"/>
                <w:color w:val="auto"/>
              </w:rPr>
            </w:pPr>
            <w:r>
              <w:rPr>
                <w:rFonts w:ascii="Arial" w:cs="Arial" w:eastAsia="Arial" w:hAnsi="Arial"/>
                <w:sz w:val="13"/>
                <w:szCs w:val="13"/>
                <w:color w:val="auto"/>
              </w:rPr>
              <w:t>2,151,854</w:t>
            </w:r>
          </w:p>
        </w:tc>
        <w:tc>
          <w:tcPr>
            <w:tcW w:w="16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5"/>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gridSpan w:val="5"/>
          </w:tcPr>
          <w:p>
            <w:pPr>
              <w:ind w:left="1680"/>
              <w:spacing w:after="0"/>
              <w:rPr>
                <w:sz w:val="20"/>
                <w:szCs w:val="20"/>
                <w:color w:val="auto"/>
              </w:rPr>
            </w:pPr>
            <w:r>
              <w:rPr>
                <w:rFonts w:ascii="Arial" w:cs="Arial" w:eastAsia="Arial" w:hAnsi="Arial"/>
                <w:sz w:val="13"/>
                <w:szCs w:val="13"/>
                <w:color w:val="auto"/>
              </w:rPr>
              <w:t>Common Stock, $0.001 par value</w:t>
            </w:r>
          </w:p>
        </w:tc>
        <w:tc>
          <w:tcPr>
            <w:tcW w:w="360" w:type="dxa"/>
            <w:vAlign w:val="bottom"/>
          </w:tcPr>
          <w:p>
            <w:pPr>
              <w:spacing w:after="0"/>
              <w:rPr>
                <w:sz w:val="15"/>
                <w:szCs w:val="15"/>
                <w:color w:val="auto"/>
              </w:rPr>
            </w:pPr>
          </w:p>
        </w:tc>
        <w:tc>
          <w:tcPr>
            <w:tcW w:w="2500" w:type="dxa"/>
            <w:vAlign w:val="bottom"/>
            <w:gridSpan w:val="5"/>
          </w:tcPr>
          <w:p>
            <w:pPr>
              <w:jc w:val="right"/>
              <w:ind w:right="20"/>
              <w:spacing w:after="0"/>
              <w:rPr>
                <w:sz w:val="20"/>
                <w:szCs w:val="20"/>
                <w:color w:val="auto"/>
              </w:rPr>
            </w:pPr>
            <w:r>
              <w:rPr>
                <w:rFonts w:ascii="Arial" w:cs="Arial" w:eastAsia="Arial" w:hAnsi="Arial"/>
                <w:sz w:val="13"/>
                <w:szCs w:val="13"/>
                <w:color w:val="auto"/>
              </w:rPr>
              <w:t>88,739,294</w:t>
            </w:r>
          </w:p>
        </w:tc>
        <w:tc>
          <w:tcPr>
            <w:tcW w:w="16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267"/>
        </w:trPr>
        <w:tc>
          <w:tcPr>
            <w:tcW w:w="1100" w:type="dxa"/>
            <w:vAlign w:val="bottom"/>
            <w:tcBorders>
              <w:bottom w:val="single" w:sz="8" w:color="808080"/>
            </w:tcBorders>
          </w:tcPr>
          <w:p>
            <w:pPr>
              <w:spacing w:after="0"/>
              <w:rPr>
                <w:sz w:val="23"/>
                <w:szCs w:val="23"/>
                <w:color w:val="auto"/>
              </w:rPr>
            </w:pPr>
          </w:p>
        </w:tc>
        <w:tc>
          <w:tcPr>
            <w:tcW w:w="6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188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36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9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140" w:type="dxa"/>
            <w:vAlign w:val="bottom"/>
            <w:tcBorders>
              <w:bottom w:val="single" w:sz="8" w:color="808080"/>
            </w:tcBorders>
          </w:tcPr>
          <w:p>
            <w:pPr>
              <w:spacing w:after="0"/>
              <w:rPr>
                <w:sz w:val="23"/>
                <w:szCs w:val="23"/>
                <w:color w:val="auto"/>
              </w:rPr>
            </w:pPr>
          </w:p>
        </w:tc>
        <w:tc>
          <w:tcPr>
            <w:tcW w:w="580" w:type="dxa"/>
            <w:vAlign w:val="bottom"/>
            <w:tcBorders>
              <w:bottom w:val="single" w:sz="8" w:color="808080"/>
            </w:tcBorders>
          </w:tcPr>
          <w:p>
            <w:pPr>
              <w:spacing w:after="0"/>
              <w:rPr>
                <w:sz w:val="23"/>
                <w:szCs w:val="23"/>
                <w:color w:val="auto"/>
              </w:rPr>
            </w:pPr>
          </w:p>
        </w:tc>
        <w:tc>
          <w:tcPr>
            <w:tcW w:w="160" w:type="dxa"/>
            <w:vAlign w:val="bottom"/>
            <w:tcBorders>
              <w:bottom w:val="single" w:sz="8" w:color="808080"/>
            </w:tcBorders>
          </w:tcPr>
          <w:p>
            <w:pPr>
              <w:spacing w:after="0"/>
              <w:rPr>
                <w:sz w:val="23"/>
                <w:szCs w:val="23"/>
                <w:color w:val="auto"/>
              </w:rPr>
            </w:pPr>
          </w:p>
        </w:tc>
        <w:tc>
          <w:tcPr>
            <w:tcW w:w="2560" w:type="dxa"/>
            <w:vAlign w:val="bottom"/>
            <w:tcBorders>
              <w:bottom w:val="single" w:sz="8" w:color="808080"/>
            </w:tcBorders>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7287895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2"/>
          </w:cols>
          <w:pgMar w:left="218" w:top="386" w:right="199" w:bottom="1440" w:gutter="0" w:footer="0" w:header="0"/>
        </w:sectPr>
      </w:pPr>
    </w:p>
    <w:bookmarkStart w:id="1" w:name="page2"/>
    <w:bookmarkEnd w:id="1"/>
    <w:p>
      <w:pPr>
        <w:jc w:val="center"/>
        <w:ind w:left="1520"/>
        <w:spacing w:after="0"/>
        <w:rPr>
          <w:sz w:val="20"/>
          <w:szCs w:val="20"/>
          <w:color w:val="auto"/>
        </w:rPr>
      </w:pPr>
      <w:r>
        <w:rPr>
          <w:rFonts w:ascii="Arial" w:cs="Arial" w:eastAsia="Arial" w:hAnsi="Arial"/>
          <w:sz w:val="12"/>
          <w:szCs w:val="12"/>
          <w:b w:val="1"/>
          <w:bCs w:val="1"/>
          <w:color w:val="auto"/>
        </w:rPr>
        <w:t>REGENERON PHARMACEUTICALS, INC.</w:t>
      </w:r>
    </w:p>
    <w:p>
      <w:pPr>
        <w:spacing w:after="0" w:line="26" w:lineRule="exact"/>
        <w:rPr>
          <w:sz w:val="20"/>
          <w:szCs w:val="20"/>
          <w:color w:val="auto"/>
        </w:rPr>
      </w:pPr>
    </w:p>
    <w:p>
      <w:pPr>
        <w:jc w:val="center"/>
        <w:ind w:left="1520"/>
        <w:spacing w:after="0"/>
        <w:rPr>
          <w:sz w:val="20"/>
          <w:szCs w:val="20"/>
          <w:color w:val="auto"/>
        </w:rPr>
      </w:pPr>
      <w:r>
        <w:rPr>
          <w:rFonts w:ascii="Arial" w:cs="Arial" w:eastAsia="Arial" w:hAnsi="Arial"/>
          <w:sz w:val="13"/>
          <w:szCs w:val="13"/>
          <w:b w:val="1"/>
          <w:bCs w:val="1"/>
          <w:color w:val="auto"/>
        </w:rPr>
        <w:t>Table of Contents</w:t>
      </w:r>
    </w:p>
    <w:p>
      <w:pPr>
        <w:spacing w:after="0" w:line="6" w:lineRule="exact"/>
        <w:rPr>
          <w:sz w:val="20"/>
          <w:szCs w:val="20"/>
          <w:color w:val="auto"/>
        </w:rPr>
      </w:pPr>
    </w:p>
    <w:p>
      <w:pPr>
        <w:jc w:val="center"/>
        <w:ind w:left="1520"/>
        <w:spacing w:after="0"/>
        <w:rPr>
          <w:sz w:val="20"/>
          <w:szCs w:val="20"/>
          <w:color w:val="auto"/>
        </w:rPr>
      </w:pPr>
      <w:r>
        <w:rPr>
          <w:rFonts w:ascii="Arial" w:cs="Arial" w:eastAsia="Arial" w:hAnsi="Arial"/>
          <w:sz w:val="13"/>
          <w:szCs w:val="13"/>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226060</wp:posOffset>
            </wp:positionV>
            <wp:extent cx="7285355" cy="116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5355" cy="11684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PART I</w:t>
            </w:r>
          </w:p>
        </w:tc>
        <w:tc>
          <w:tcPr>
            <w:tcW w:w="3380" w:type="dxa"/>
            <w:vAlign w:val="bottom"/>
            <w:gridSpan w:val="8"/>
          </w:tcPr>
          <w:p>
            <w:pPr>
              <w:spacing w:after="0"/>
              <w:rPr>
                <w:sz w:val="20"/>
                <w:szCs w:val="20"/>
                <w:color w:val="auto"/>
              </w:rPr>
            </w:pPr>
            <w:r>
              <w:rPr>
                <w:rFonts w:ascii="Arial" w:cs="Arial" w:eastAsia="Arial" w:hAnsi="Arial"/>
                <w:sz w:val="13"/>
                <w:szCs w:val="13"/>
                <w:b w:val="1"/>
                <w:bCs w:val="1"/>
                <w:color w:val="auto"/>
              </w:rPr>
              <w:t>FINANCIAL INFORMATION</w:t>
            </w:r>
          </w:p>
        </w:tc>
      </w:tr>
      <w:tr>
        <w:trPr>
          <w:trHeight w:val="321"/>
        </w:trPr>
        <w:tc>
          <w:tcPr>
            <w:tcW w:w="700" w:type="dxa"/>
            <w:vAlign w:val="bottom"/>
            <w:gridSpan w:val="3"/>
          </w:tcPr>
          <w:p>
            <w:pPr>
              <w:spacing w:after="0"/>
              <w:rPr>
                <w:sz w:val="20"/>
                <w:szCs w:val="20"/>
                <w:color w:val="auto"/>
              </w:rPr>
            </w:pPr>
            <w:r>
              <w:rPr>
                <w:rFonts w:ascii="Arial" w:cs="Arial" w:eastAsia="Arial" w:hAnsi="Arial"/>
                <w:sz w:val="13"/>
                <w:szCs w:val="13"/>
                <w:color w:val="auto"/>
              </w:rPr>
              <w:t>Item 1</w:t>
            </w:r>
          </w:p>
        </w:tc>
        <w:tc>
          <w:tcPr>
            <w:tcW w:w="3380" w:type="dxa"/>
            <w:vAlign w:val="bottom"/>
            <w:gridSpan w:val="8"/>
          </w:tcPr>
          <w:p>
            <w:pPr>
              <w:spacing w:after="0"/>
              <w:rPr>
                <w:sz w:val="20"/>
                <w:szCs w:val="20"/>
                <w:color w:val="auto"/>
              </w:rPr>
            </w:pPr>
            <w:r>
              <w:rPr>
                <w:rFonts w:ascii="Arial" w:cs="Arial" w:eastAsia="Arial" w:hAnsi="Arial"/>
                <w:sz w:val="13"/>
                <w:szCs w:val="13"/>
                <w:color w:val="auto"/>
              </w:rPr>
              <w:t>Financial Statements</w:t>
            </w: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Condensed balance sheets (unaudited) at March 31, 2011</w:t>
            </w:r>
          </w:p>
        </w:tc>
      </w:tr>
      <w:tr>
        <w:trPr>
          <w:trHeight w:val="160"/>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and December 31, 2010</w:t>
            </w:r>
          </w:p>
        </w:tc>
      </w:tr>
      <w:tr>
        <w:trPr>
          <w:trHeight w:val="325"/>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w w:val="94"/>
              </w:rPr>
              <w:t>Condensed statements of operations (unaudited) for the three</w:t>
            </w:r>
          </w:p>
        </w:tc>
      </w:tr>
      <w:tr>
        <w:trPr>
          <w:trHeight w:val="160"/>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months ended March 31, 2011 and 2010</w:t>
            </w:r>
          </w:p>
        </w:tc>
      </w:tr>
      <w:tr>
        <w:trPr>
          <w:trHeight w:val="325"/>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w w:val="94"/>
              </w:rPr>
              <w:t>Condensed statements of stockholders’ equity (unaudited) for</w:t>
            </w:r>
          </w:p>
        </w:tc>
      </w:tr>
      <w:tr>
        <w:trPr>
          <w:trHeight w:val="160"/>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the three months ended March 31, 2011 and 2010</w:t>
            </w:r>
          </w:p>
        </w:tc>
      </w:tr>
      <w:tr>
        <w:trPr>
          <w:trHeight w:val="325"/>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Condensed statements of cash flows (unaudited) for the</w:t>
            </w:r>
          </w:p>
        </w:tc>
      </w:tr>
      <w:tr>
        <w:trPr>
          <w:trHeight w:val="160"/>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three months ended March 31, 2011 and 2010</w:t>
            </w:r>
          </w:p>
        </w:tc>
      </w:tr>
      <w:tr>
        <w:trPr>
          <w:trHeight w:val="349"/>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Notes to condensed financial statements (unaudited)</w:t>
            </w:r>
          </w:p>
        </w:tc>
      </w:tr>
      <w:tr>
        <w:trPr>
          <w:trHeight w:val="302"/>
        </w:trPr>
        <w:tc>
          <w:tcPr>
            <w:tcW w:w="700" w:type="dxa"/>
            <w:vAlign w:val="bottom"/>
            <w:gridSpan w:val="3"/>
          </w:tcPr>
          <w:p>
            <w:pPr>
              <w:spacing w:after="0"/>
              <w:rPr>
                <w:sz w:val="20"/>
                <w:szCs w:val="20"/>
                <w:color w:val="auto"/>
              </w:rPr>
            </w:pPr>
            <w:r>
              <w:rPr>
                <w:rFonts w:ascii="Arial" w:cs="Arial" w:eastAsia="Arial" w:hAnsi="Arial"/>
                <w:sz w:val="13"/>
                <w:szCs w:val="13"/>
                <w:color w:val="auto"/>
              </w:rPr>
              <w:t>Item 2</w:t>
            </w:r>
          </w:p>
        </w:tc>
        <w:tc>
          <w:tcPr>
            <w:tcW w:w="3380" w:type="dxa"/>
            <w:vAlign w:val="bottom"/>
            <w:gridSpan w:val="8"/>
          </w:tcPr>
          <w:p>
            <w:pPr>
              <w:spacing w:after="0"/>
              <w:rPr>
                <w:sz w:val="20"/>
                <w:szCs w:val="20"/>
                <w:color w:val="auto"/>
              </w:rPr>
            </w:pPr>
            <w:r>
              <w:rPr>
                <w:rFonts w:ascii="Arial" w:cs="Arial" w:eastAsia="Arial" w:hAnsi="Arial"/>
                <w:sz w:val="13"/>
                <w:szCs w:val="13"/>
                <w:color w:val="auto"/>
                <w:w w:val="87"/>
              </w:rPr>
              <w:t>Management's Discussion and Analysis of Financial Condition and</w:t>
            </w:r>
          </w:p>
        </w:tc>
      </w:tr>
      <w:tr>
        <w:trPr>
          <w:trHeight w:val="135"/>
        </w:trPr>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Borders>
              <w:top w:val="single" w:sz="8" w:color="auto"/>
              <w:bottom w:val="single" w:sz="8" w:color="auto"/>
            </w:tcBorders>
            <w:gridSpan w:val="5"/>
          </w:tcPr>
          <w:p>
            <w:pPr>
              <w:spacing w:after="0" w:line="136" w:lineRule="exact"/>
              <w:rPr>
                <w:sz w:val="20"/>
                <w:szCs w:val="20"/>
                <w:color w:val="auto"/>
              </w:rPr>
            </w:pPr>
            <w:r>
              <w:rPr>
                <w:rFonts w:ascii="Arial" w:cs="Arial" w:eastAsia="Arial" w:hAnsi="Arial"/>
                <w:sz w:val="13"/>
                <w:szCs w:val="13"/>
                <w:color w:val="auto"/>
                <w:w w:val="86"/>
              </w:rPr>
              <w:t>Results of Operations</w:t>
            </w:r>
          </w:p>
        </w:tc>
        <w:tc>
          <w:tcPr>
            <w:tcW w:w="2280" w:type="dxa"/>
            <w:vAlign w:val="bottom"/>
            <w:tcBorders>
              <w:top w:val="single" w:sz="8" w:color="auto"/>
            </w:tcBorders>
            <w:gridSpan w:val="3"/>
          </w:tcPr>
          <w:p>
            <w:pPr>
              <w:spacing w:after="0"/>
              <w:rPr>
                <w:sz w:val="11"/>
                <w:szCs w:val="11"/>
                <w:color w:val="auto"/>
              </w:rPr>
            </w:pPr>
          </w:p>
        </w:tc>
      </w:tr>
      <w:tr>
        <w:trPr>
          <w:trHeight w:val="310"/>
        </w:trPr>
        <w:tc>
          <w:tcPr>
            <w:tcW w:w="700" w:type="dxa"/>
            <w:vAlign w:val="bottom"/>
            <w:gridSpan w:val="3"/>
          </w:tcPr>
          <w:p>
            <w:pPr>
              <w:spacing w:after="0"/>
              <w:rPr>
                <w:sz w:val="20"/>
                <w:szCs w:val="20"/>
                <w:color w:val="auto"/>
              </w:rPr>
            </w:pPr>
            <w:r>
              <w:rPr>
                <w:rFonts w:ascii="Arial" w:cs="Arial" w:eastAsia="Arial" w:hAnsi="Arial"/>
                <w:sz w:val="13"/>
                <w:szCs w:val="13"/>
                <w:color w:val="auto"/>
              </w:rPr>
              <w:t>Item 3</w:t>
            </w:r>
          </w:p>
        </w:tc>
        <w:tc>
          <w:tcPr>
            <w:tcW w:w="3380" w:type="dxa"/>
            <w:vAlign w:val="bottom"/>
            <w:gridSpan w:val="8"/>
          </w:tcPr>
          <w:p>
            <w:pPr>
              <w:spacing w:after="0"/>
              <w:rPr>
                <w:sz w:val="20"/>
                <w:szCs w:val="20"/>
                <w:color w:val="auto"/>
              </w:rPr>
            </w:pPr>
            <w:r>
              <w:rPr>
                <w:rFonts w:ascii="Arial" w:cs="Arial" w:eastAsia="Arial" w:hAnsi="Arial"/>
                <w:sz w:val="13"/>
                <w:szCs w:val="13"/>
                <w:color w:val="auto"/>
                <w:w w:val="98"/>
              </w:rPr>
              <w:t>Quantitative and Qualitative Disclosures About Market Risk</w:t>
            </w: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9"/>
        </w:trPr>
        <w:tc>
          <w:tcPr>
            <w:tcW w:w="700" w:type="dxa"/>
            <w:vAlign w:val="bottom"/>
            <w:gridSpan w:val="3"/>
          </w:tcPr>
          <w:p>
            <w:pPr>
              <w:spacing w:after="0"/>
              <w:rPr>
                <w:sz w:val="20"/>
                <w:szCs w:val="20"/>
                <w:color w:val="auto"/>
              </w:rPr>
            </w:pPr>
            <w:r>
              <w:rPr>
                <w:rFonts w:ascii="Arial" w:cs="Arial" w:eastAsia="Arial" w:hAnsi="Arial"/>
                <w:sz w:val="13"/>
                <w:szCs w:val="13"/>
                <w:color w:val="auto"/>
              </w:rPr>
              <w:t>Item 4</w:t>
            </w:r>
          </w:p>
        </w:tc>
        <w:tc>
          <w:tcPr>
            <w:tcW w:w="3380" w:type="dxa"/>
            <w:vAlign w:val="bottom"/>
            <w:gridSpan w:val="8"/>
          </w:tcPr>
          <w:p>
            <w:pPr>
              <w:spacing w:after="0"/>
              <w:rPr>
                <w:sz w:val="20"/>
                <w:szCs w:val="20"/>
                <w:color w:val="auto"/>
              </w:rPr>
            </w:pPr>
            <w:r>
              <w:rPr>
                <w:rFonts w:ascii="Arial" w:cs="Arial" w:eastAsia="Arial" w:hAnsi="Arial"/>
                <w:sz w:val="13"/>
                <w:szCs w:val="13"/>
                <w:color w:val="auto"/>
              </w:rPr>
              <w:t>Controls and Procedures</w:t>
            </w: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r>
      <w:tr>
        <w:trPr>
          <w:trHeight w:val="358"/>
        </w:trPr>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PART II</w:t>
            </w:r>
          </w:p>
        </w:tc>
        <w:tc>
          <w:tcPr>
            <w:tcW w:w="3380" w:type="dxa"/>
            <w:vAlign w:val="bottom"/>
            <w:gridSpan w:val="8"/>
          </w:tcPr>
          <w:p>
            <w:pPr>
              <w:spacing w:after="0"/>
              <w:rPr>
                <w:sz w:val="20"/>
                <w:szCs w:val="20"/>
                <w:color w:val="auto"/>
              </w:rPr>
            </w:pPr>
            <w:r>
              <w:rPr>
                <w:rFonts w:ascii="Arial" w:cs="Arial" w:eastAsia="Arial" w:hAnsi="Arial"/>
                <w:sz w:val="13"/>
                <w:szCs w:val="13"/>
                <w:b w:val="1"/>
                <w:bCs w:val="1"/>
                <w:color w:val="auto"/>
              </w:rPr>
              <w:t>OTHER INFORMATION</w:t>
            </w:r>
          </w:p>
        </w:tc>
      </w:tr>
      <w:tr>
        <w:trPr>
          <w:trHeight w:val="321"/>
        </w:trPr>
        <w:tc>
          <w:tcPr>
            <w:tcW w:w="700" w:type="dxa"/>
            <w:vAlign w:val="bottom"/>
            <w:gridSpan w:val="3"/>
          </w:tcPr>
          <w:p>
            <w:pPr>
              <w:spacing w:after="0"/>
              <w:rPr>
                <w:sz w:val="20"/>
                <w:szCs w:val="20"/>
                <w:color w:val="auto"/>
              </w:rPr>
            </w:pPr>
            <w:r>
              <w:rPr>
                <w:rFonts w:ascii="Arial" w:cs="Arial" w:eastAsia="Arial" w:hAnsi="Arial"/>
                <w:sz w:val="13"/>
                <w:szCs w:val="13"/>
                <w:color w:val="auto"/>
              </w:rPr>
              <w:t>Item 1</w:t>
            </w:r>
          </w:p>
        </w:tc>
        <w:tc>
          <w:tcPr>
            <w:tcW w:w="3380" w:type="dxa"/>
            <w:vAlign w:val="bottom"/>
            <w:gridSpan w:val="8"/>
          </w:tcPr>
          <w:p>
            <w:pPr>
              <w:spacing w:after="0"/>
              <w:rPr>
                <w:sz w:val="20"/>
                <w:szCs w:val="20"/>
                <w:color w:val="auto"/>
              </w:rPr>
            </w:pPr>
            <w:r>
              <w:rPr>
                <w:rFonts w:ascii="Arial" w:cs="Arial" w:eastAsia="Arial" w:hAnsi="Arial"/>
                <w:sz w:val="13"/>
                <w:szCs w:val="13"/>
                <w:color w:val="auto"/>
              </w:rPr>
              <w:t>Legal Proceedings</w:t>
            </w: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r>
      <w:tr>
        <w:trPr>
          <w:trHeight w:val="329"/>
        </w:trPr>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89"/>
              </w:rPr>
              <w:t>Item 1A</w:t>
            </w:r>
          </w:p>
        </w:tc>
        <w:tc>
          <w:tcPr>
            <w:tcW w:w="280" w:type="dxa"/>
            <w:vAlign w:val="bottom"/>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85"/>
              </w:rPr>
              <w:t>Risk Factors</w:t>
            </w:r>
          </w:p>
        </w:tc>
        <w:tc>
          <w:tcPr>
            <w:tcW w:w="2740" w:type="dxa"/>
            <w:vAlign w:val="bottom"/>
            <w:gridSpan w:val="6"/>
          </w:tcPr>
          <w:p>
            <w:pPr>
              <w:spacing w:after="0"/>
              <w:rPr>
                <w:sz w:val="24"/>
                <w:szCs w:val="24"/>
                <w:color w:val="auto"/>
              </w:rPr>
            </w:pPr>
          </w:p>
        </w:tc>
      </w:tr>
      <w:tr>
        <w:trPr>
          <w:trHeight w:val="329"/>
        </w:trPr>
        <w:tc>
          <w:tcPr>
            <w:tcW w:w="700" w:type="dxa"/>
            <w:vAlign w:val="bottom"/>
            <w:gridSpan w:val="3"/>
          </w:tcPr>
          <w:p>
            <w:pPr>
              <w:spacing w:after="0"/>
              <w:rPr>
                <w:sz w:val="20"/>
                <w:szCs w:val="20"/>
                <w:color w:val="auto"/>
              </w:rPr>
            </w:pPr>
            <w:r>
              <w:rPr>
                <w:rFonts w:ascii="Arial" w:cs="Arial" w:eastAsia="Arial" w:hAnsi="Arial"/>
                <w:sz w:val="13"/>
                <w:szCs w:val="13"/>
                <w:color w:val="auto"/>
              </w:rPr>
              <w:t>Item 6</w:t>
            </w:r>
          </w:p>
        </w:tc>
        <w:tc>
          <w:tcPr>
            <w:tcW w:w="3380" w:type="dxa"/>
            <w:vAlign w:val="bottom"/>
            <w:gridSpan w:val="8"/>
          </w:tcPr>
          <w:p>
            <w:pPr>
              <w:spacing w:after="0"/>
              <w:rPr>
                <w:sz w:val="20"/>
                <w:szCs w:val="20"/>
                <w:color w:val="auto"/>
              </w:rPr>
            </w:pPr>
            <w:r>
              <w:rPr>
                <w:rFonts w:ascii="Arial" w:cs="Arial" w:eastAsia="Arial" w:hAnsi="Arial"/>
                <w:sz w:val="13"/>
                <w:szCs w:val="13"/>
                <w:color w:val="auto"/>
              </w:rPr>
              <w:t>Exhibits</w:t>
            </w: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-3179445</wp:posOffset>
            </wp:positionV>
            <wp:extent cx="7285355" cy="111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5355" cy="1111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-2957830</wp:posOffset>
            </wp:positionV>
            <wp:extent cx="7285355"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5355" cy="1974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-2649855</wp:posOffset>
            </wp:positionV>
            <wp:extent cx="7285355"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5355" cy="1974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-2341245</wp:posOffset>
            </wp:positionV>
            <wp:extent cx="7285355"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5355" cy="1974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-2033270</wp:posOffset>
            </wp:positionV>
            <wp:extent cx="7285355"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5355" cy="1974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-1725295</wp:posOffset>
            </wp:positionV>
            <wp:extent cx="7285355"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5355" cy="1111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-1503045</wp:posOffset>
            </wp:positionV>
            <wp:extent cx="7285355"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5355" cy="1974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-1195070</wp:posOffset>
            </wp:positionV>
            <wp:extent cx="7285355"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5355" cy="1111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-973455</wp:posOffset>
            </wp:positionV>
            <wp:extent cx="7285355"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5355" cy="1111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-751205</wp:posOffset>
            </wp:positionV>
            <wp:extent cx="7285355"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5355" cy="1111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-529590</wp:posOffset>
            </wp:positionV>
            <wp:extent cx="7285355"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5355" cy="1111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-307340</wp:posOffset>
            </wp:positionV>
            <wp:extent cx="7285355"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5355" cy="1111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-85725</wp:posOffset>
            </wp:positionV>
            <wp:extent cx="7285355" cy="111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5355" cy="1111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135890</wp:posOffset>
            </wp:positionV>
            <wp:extent cx="7285355"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5355" cy="11112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167005</wp:posOffset>
            </wp:positionV>
            <wp:extent cx="730377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Page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3</w:t>
      </w:r>
    </w:p>
    <w:p>
      <w:pPr>
        <w:spacing w:after="0" w:line="33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4</w:t>
      </w:r>
    </w:p>
    <w:p>
      <w:pPr>
        <w:spacing w:after="0" w:line="33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5</w:t>
      </w:r>
    </w:p>
    <w:p>
      <w:pPr>
        <w:spacing w:after="0" w:line="33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6</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7-15</w:t>
      </w:r>
    </w:p>
    <w:p>
      <w:pPr>
        <w:spacing w:after="0" w:line="33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16-37</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37</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37-38</w:t>
      </w:r>
    </w:p>
    <w:p>
      <w:pPr>
        <w:spacing w:after="0" w:line="200" w:lineRule="exact"/>
        <w:rPr>
          <w:sz w:val="20"/>
          <w:szCs w:val="20"/>
          <w:color w:val="auto"/>
        </w:rPr>
      </w:pPr>
    </w:p>
    <w:p>
      <w:pPr>
        <w:spacing w:after="0" w:line="34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38</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38-58</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58</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59</w:t>
      </w:r>
    </w:p>
    <w:p>
      <w:pPr>
        <w:sectPr>
          <w:pgSz w:w="11900" w:h="16838" w:orient="portrait"/>
          <w:cols w:equalWidth="0" w:num="2">
            <w:col w:w="9960" w:space="720"/>
            <w:col w:w="780"/>
          </w:cols>
          <w:pgMar w:left="220" w:top="479" w:right="21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PART I.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CONDENSED BALANCE SHEETS AT MARCH 31, 2011 AND DECEMBER 31, 2010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 thousands, except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w w:val="85"/>
              </w:rPr>
              <w:t>December 31,</w:t>
            </w:r>
          </w:p>
        </w:tc>
      </w:tr>
      <w:tr>
        <w:trPr>
          <w:trHeight w:val="180"/>
        </w:trPr>
        <w:tc>
          <w:tcPr>
            <w:tcW w:w="9180" w:type="dxa"/>
            <w:vAlign w:val="bottom"/>
            <w:tcBorders>
              <w:bottom w:val="single" w:sz="8" w:color="C0C0C0"/>
            </w:tcBorders>
          </w:tcPr>
          <w:p>
            <w:pPr>
              <w:ind w:left="4360"/>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2011</w:t>
            </w:r>
          </w:p>
        </w:tc>
        <w:tc>
          <w:tcPr>
            <w:tcW w:w="240" w:type="dxa"/>
            <w:vAlign w:val="bottom"/>
            <w:tcBorders>
              <w:bottom w:val="single" w:sz="8" w:color="C0C0C0"/>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2010</w:t>
            </w:r>
          </w:p>
        </w:tc>
      </w:tr>
      <w:tr>
        <w:trPr>
          <w:trHeight w:val="170"/>
        </w:trPr>
        <w:tc>
          <w:tcPr>
            <w:tcW w:w="9180" w:type="dxa"/>
            <w:vAlign w:val="bottom"/>
            <w:shd w:val="clear" w:color="auto" w:fill="C0C0C0"/>
          </w:tcPr>
          <w:p>
            <w:pPr>
              <w:spacing w:after="0"/>
              <w:rPr>
                <w:sz w:val="20"/>
                <w:szCs w:val="20"/>
                <w:color w:val="auto"/>
              </w:rPr>
            </w:pPr>
            <w:r>
              <w:rPr>
                <w:rFonts w:ascii="Arial" w:cs="Arial" w:eastAsia="Arial" w:hAnsi="Arial"/>
                <w:sz w:val="13"/>
                <w:szCs w:val="13"/>
                <w:color w:val="auto"/>
              </w:rPr>
              <w:t>Current assets</w:t>
            </w:r>
          </w:p>
        </w:tc>
        <w:tc>
          <w:tcPr>
            <w:tcW w:w="24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r>
      <w:tr>
        <w:trPr>
          <w:trHeight w:val="169"/>
        </w:trPr>
        <w:tc>
          <w:tcPr>
            <w:tcW w:w="9180" w:type="dxa"/>
            <w:vAlign w:val="bottom"/>
          </w:tcPr>
          <w:p>
            <w:pPr>
              <w:ind w:left="240"/>
              <w:spacing w:after="0"/>
              <w:rPr>
                <w:sz w:val="20"/>
                <w:szCs w:val="20"/>
                <w:color w:val="auto"/>
              </w:rPr>
            </w:pPr>
            <w:r>
              <w:rPr>
                <w:rFonts w:ascii="Arial" w:cs="Arial" w:eastAsia="Arial" w:hAnsi="Arial"/>
                <w:sz w:val="13"/>
                <w:szCs w:val="13"/>
                <w:color w:val="auto"/>
              </w:rPr>
              <w:t>Cash and cash equivalents</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135,376</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112,572</w:t>
            </w:r>
          </w:p>
        </w:tc>
      </w:tr>
      <w:tr>
        <w:trPr>
          <w:trHeight w:val="180"/>
        </w:trPr>
        <w:tc>
          <w:tcPr>
            <w:tcW w:w="91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Marketable securities</w:t>
            </w:r>
          </w:p>
        </w:tc>
        <w:tc>
          <w:tcPr>
            <w:tcW w:w="2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91,065</w:t>
            </w: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136,796</w:t>
            </w:r>
          </w:p>
        </w:tc>
      </w:tr>
      <w:tr>
        <w:trPr>
          <w:trHeight w:val="169"/>
        </w:trPr>
        <w:tc>
          <w:tcPr>
            <w:tcW w:w="9180" w:type="dxa"/>
            <w:vAlign w:val="bottom"/>
          </w:tcPr>
          <w:p>
            <w:pPr>
              <w:ind w:left="240"/>
              <w:spacing w:after="0"/>
              <w:rPr>
                <w:sz w:val="20"/>
                <w:szCs w:val="20"/>
                <w:color w:val="auto"/>
              </w:rPr>
            </w:pPr>
            <w:r>
              <w:rPr>
                <w:rFonts w:ascii="Arial" w:cs="Arial" w:eastAsia="Arial" w:hAnsi="Arial"/>
                <w:sz w:val="13"/>
                <w:szCs w:val="13"/>
                <w:color w:val="auto"/>
              </w:rPr>
              <w:t>Accounts receivable from the sanofi-aventis Group</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84,391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79,603</w:t>
            </w:r>
          </w:p>
        </w:tc>
      </w:tr>
      <w:tr>
        <w:trPr>
          <w:trHeight w:val="180"/>
        </w:trPr>
        <w:tc>
          <w:tcPr>
            <w:tcW w:w="91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Accounts receivable - other</w:t>
            </w:r>
          </w:p>
        </w:tc>
        <w:tc>
          <w:tcPr>
            <w:tcW w:w="2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3,765</w:t>
            </w: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13,509</w:t>
            </w:r>
          </w:p>
        </w:tc>
      </w:tr>
      <w:tr>
        <w:trPr>
          <w:trHeight w:val="169"/>
        </w:trPr>
        <w:tc>
          <w:tcPr>
            <w:tcW w:w="9180" w:type="dxa"/>
            <w:vAlign w:val="bottom"/>
            <w:tcBorders>
              <w:bottom w:val="single" w:sz="8" w:color="C0C0C0"/>
            </w:tcBorders>
          </w:tcPr>
          <w:p>
            <w:pPr>
              <w:ind w:left="240"/>
              <w:spacing w:after="0"/>
              <w:rPr>
                <w:sz w:val="20"/>
                <w:szCs w:val="20"/>
                <w:color w:val="auto"/>
              </w:rPr>
            </w:pPr>
            <w:r>
              <w:rPr>
                <w:rFonts w:ascii="Arial" w:cs="Arial" w:eastAsia="Arial" w:hAnsi="Arial"/>
                <w:sz w:val="13"/>
                <w:szCs w:val="13"/>
                <w:color w:val="auto"/>
              </w:rPr>
              <w:t>Prepaid expenses and other current assets</w:t>
            </w:r>
          </w:p>
        </w:tc>
        <w:tc>
          <w:tcPr>
            <w:tcW w:w="240" w:type="dxa"/>
            <w:vAlign w:val="bottom"/>
            <w:tcBorders>
              <w:bottom w:val="single" w:sz="8" w:color="C0C0C0"/>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10,904</w:t>
            </w:r>
          </w:p>
        </w:tc>
        <w:tc>
          <w:tcPr>
            <w:tcW w:w="24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15,142</w:t>
            </w:r>
          </w:p>
        </w:tc>
      </w:tr>
      <w:tr>
        <w:trPr>
          <w:trHeight w:val="170"/>
        </w:trPr>
        <w:tc>
          <w:tcPr>
            <w:tcW w:w="9180" w:type="dxa"/>
            <w:vAlign w:val="bottom"/>
            <w:shd w:val="clear" w:color="auto" w:fill="C0C0C0"/>
          </w:tcPr>
          <w:p>
            <w:pPr>
              <w:ind w:left="440"/>
              <w:spacing w:after="0"/>
              <w:rPr>
                <w:sz w:val="20"/>
                <w:szCs w:val="20"/>
                <w:color w:val="auto"/>
              </w:rPr>
            </w:pPr>
            <w:r>
              <w:rPr>
                <w:rFonts w:ascii="Arial" w:cs="Arial" w:eastAsia="Arial" w:hAnsi="Arial"/>
                <w:sz w:val="13"/>
                <w:szCs w:val="13"/>
                <w:color w:val="auto"/>
              </w:rPr>
              <w:t>Total current assets</w:t>
            </w:r>
          </w:p>
        </w:tc>
        <w:tc>
          <w:tcPr>
            <w:tcW w:w="24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325,501</w:t>
            </w:r>
          </w:p>
        </w:tc>
        <w:tc>
          <w:tcPr>
            <w:tcW w:w="24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357,622</w:t>
            </w:r>
          </w:p>
        </w:tc>
      </w:tr>
      <w:tr>
        <w:trPr>
          <w:trHeight w:val="175"/>
        </w:trPr>
        <w:tc>
          <w:tcPr>
            <w:tcW w:w="9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9180" w:type="dxa"/>
            <w:vAlign w:val="bottom"/>
            <w:shd w:val="clear" w:color="auto" w:fill="C0C0C0"/>
          </w:tcPr>
          <w:p>
            <w:pPr>
              <w:spacing w:after="0"/>
              <w:rPr>
                <w:sz w:val="20"/>
                <w:szCs w:val="20"/>
                <w:color w:val="auto"/>
              </w:rPr>
            </w:pPr>
            <w:r>
              <w:rPr>
                <w:rFonts w:ascii="Arial" w:cs="Arial" w:eastAsia="Arial" w:hAnsi="Arial"/>
                <w:sz w:val="13"/>
                <w:szCs w:val="13"/>
                <w:color w:val="auto"/>
              </w:rPr>
              <w:t>Restricted cash and marketable securities</w:t>
            </w:r>
          </w:p>
        </w:tc>
        <w:tc>
          <w:tcPr>
            <w:tcW w:w="2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7,520</w:t>
            </w: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7,518</w:t>
            </w:r>
          </w:p>
        </w:tc>
      </w:tr>
      <w:tr>
        <w:trPr>
          <w:trHeight w:val="169"/>
        </w:trPr>
        <w:tc>
          <w:tcPr>
            <w:tcW w:w="9180" w:type="dxa"/>
            <w:vAlign w:val="bottom"/>
          </w:tcPr>
          <w:p>
            <w:pPr>
              <w:spacing w:after="0"/>
              <w:rPr>
                <w:sz w:val="20"/>
                <w:szCs w:val="20"/>
                <w:color w:val="auto"/>
              </w:rPr>
            </w:pPr>
            <w:r>
              <w:rPr>
                <w:rFonts w:ascii="Arial" w:cs="Arial" w:eastAsia="Arial" w:hAnsi="Arial"/>
                <w:sz w:val="13"/>
                <w:szCs w:val="13"/>
                <w:color w:val="auto"/>
              </w:rPr>
              <w:t>Marketable securities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373,621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370,053</w:t>
            </w:r>
          </w:p>
        </w:tc>
      </w:tr>
      <w:tr>
        <w:trPr>
          <w:trHeight w:val="169"/>
        </w:trPr>
        <w:tc>
          <w:tcPr>
            <w:tcW w:w="9180" w:type="dxa"/>
            <w:vAlign w:val="bottom"/>
            <w:shd w:val="clear" w:color="auto" w:fill="C0C0C0"/>
          </w:tcPr>
          <w:p>
            <w:pPr>
              <w:spacing w:after="0"/>
              <w:rPr>
                <w:sz w:val="20"/>
                <w:szCs w:val="20"/>
                <w:color w:val="auto"/>
              </w:rPr>
            </w:pPr>
            <w:r>
              <w:rPr>
                <w:rFonts w:ascii="Arial" w:cs="Arial" w:eastAsia="Arial" w:hAnsi="Arial"/>
                <w:sz w:val="13"/>
                <w:szCs w:val="13"/>
                <w:color w:val="auto"/>
              </w:rPr>
              <w:t>Property, plant, and equipment, at cost, net of accumulated</w:t>
            </w:r>
          </w:p>
        </w:tc>
        <w:tc>
          <w:tcPr>
            <w:tcW w:w="24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r>
      <w:tr>
        <w:trPr>
          <w:trHeight w:val="185"/>
        </w:trPr>
        <w:tc>
          <w:tcPr>
            <w:tcW w:w="91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357,423</w:t>
            </w:r>
          </w:p>
        </w:tc>
        <w:tc>
          <w:tcPr>
            <w:tcW w:w="24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347,450</w:t>
            </w:r>
          </w:p>
        </w:tc>
      </w:tr>
      <w:tr>
        <w:trPr>
          <w:trHeight w:val="169"/>
        </w:trPr>
        <w:tc>
          <w:tcPr>
            <w:tcW w:w="9180" w:type="dxa"/>
            <w:vAlign w:val="bottom"/>
            <w:tcBorders>
              <w:bottom w:val="single" w:sz="8" w:color="C0C0C0"/>
            </w:tcBorders>
          </w:tcPr>
          <w:p>
            <w:pPr>
              <w:spacing w:after="0"/>
              <w:rPr>
                <w:sz w:val="20"/>
                <w:szCs w:val="20"/>
                <w:color w:val="auto"/>
              </w:rPr>
            </w:pPr>
            <w:r>
              <w:rPr>
                <w:rFonts w:ascii="Arial" w:cs="Arial" w:eastAsia="Arial" w:hAnsi="Arial"/>
                <w:sz w:val="13"/>
                <w:szCs w:val="13"/>
                <w:color w:val="auto"/>
              </w:rPr>
              <w:t>Other assets</w:t>
            </w:r>
          </w:p>
        </w:tc>
        <w:tc>
          <w:tcPr>
            <w:tcW w:w="240" w:type="dxa"/>
            <w:vAlign w:val="bottom"/>
            <w:tcBorders>
              <w:bottom w:val="single" w:sz="8" w:color="C0C0C0"/>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10,228</w:t>
            </w:r>
          </w:p>
        </w:tc>
        <w:tc>
          <w:tcPr>
            <w:tcW w:w="24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6,789</w:t>
            </w:r>
          </w:p>
        </w:tc>
      </w:tr>
      <w:tr>
        <w:trPr>
          <w:trHeight w:val="169"/>
        </w:trPr>
        <w:tc>
          <w:tcPr>
            <w:tcW w:w="9180" w:type="dxa"/>
            <w:vAlign w:val="bottom"/>
            <w:shd w:val="clear" w:color="auto" w:fill="C0C0C0"/>
          </w:tcPr>
          <w:p>
            <w:pPr>
              <w:ind w:left="440"/>
              <w:spacing w:after="0"/>
              <w:rPr>
                <w:sz w:val="20"/>
                <w:szCs w:val="20"/>
                <w:color w:val="auto"/>
              </w:rPr>
            </w:pPr>
            <w:r>
              <w:rPr>
                <w:rFonts w:ascii="Arial" w:cs="Arial" w:eastAsia="Arial" w:hAnsi="Arial"/>
                <w:sz w:val="13"/>
                <w:szCs w:val="13"/>
                <w:color w:val="auto"/>
              </w:rPr>
              <w:t>Total assets</w:t>
            </w:r>
          </w:p>
        </w:tc>
        <w:tc>
          <w:tcPr>
            <w:tcW w:w="360" w:type="dxa"/>
            <w:vAlign w:val="bottom"/>
            <w:gridSpan w:val="2"/>
            <w:shd w:val="clear" w:color="auto" w:fill="C0C0C0"/>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1,074,293</w:t>
            </w:r>
          </w:p>
        </w:tc>
        <w:tc>
          <w:tcPr>
            <w:tcW w:w="240" w:type="dxa"/>
            <w:vAlign w:val="bottom"/>
            <w:shd w:val="clear" w:color="auto" w:fill="C0C0C0"/>
          </w:tcPr>
          <w:p>
            <w:pPr>
              <w:spacing w:after="0"/>
              <w:rPr>
                <w:sz w:val="14"/>
                <w:szCs w:val="14"/>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1,089,432</w:t>
            </w:r>
          </w:p>
        </w:tc>
      </w:tr>
      <w:tr>
        <w:trPr>
          <w:trHeight w:val="175"/>
        </w:trPr>
        <w:tc>
          <w:tcPr>
            <w:tcW w:w="9180" w:type="dxa"/>
            <w:vAlign w:val="bottom"/>
            <w:tcBorders>
              <w:top w:val="single" w:sz="8" w:color="C0C0C0"/>
            </w:tcBorders>
          </w:tcPr>
          <w:p>
            <w:pPr>
              <w:spacing w:after="0"/>
              <w:rPr>
                <w:sz w:val="15"/>
                <w:szCs w:val="15"/>
                <w:color w:val="auto"/>
              </w:rPr>
            </w:pPr>
          </w:p>
        </w:tc>
        <w:tc>
          <w:tcPr>
            <w:tcW w:w="240" w:type="dxa"/>
            <w:vAlign w:val="bottom"/>
            <w:tcBorders>
              <w:top w:val="single" w:sz="8" w:color="C0C0C0"/>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Borders>
              <w:top w:val="single" w:sz="8" w:color="C0C0C0"/>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175"/>
        </w:trPr>
        <w:tc>
          <w:tcPr>
            <w:tcW w:w="9180" w:type="dxa"/>
            <w:vAlign w:val="bottom"/>
            <w:shd w:val="clear" w:color="auto" w:fill="C0C0C0"/>
          </w:tcPr>
          <w:p>
            <w:pPr>
              <w:ind w:left="434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40" w:type="dxa"/>
            <w:vAlign w:val="bottom"/>
            <w:shd w:val="clear" w:color="auto" w:fill="C0C0C0"/>
          </w:tcPr>
          <w:p>
            <w:pPr>
              <w:spacing w:after="0"/>
              <w:rPr>
                <w:sz w:val="15"/>
                <w:szCs w:val="15"/>
                <w:color w:val="auto"/>
              </w:rPr>
            </w:pPr>
          </w:p>
        </w:tc>
      </w:tr>
      <w:tr>
        <w:trPr>
          <w:trHeight w:val="169"/>
        </w:trPr>
        <w:tc>
          <w:tcPr>
            <w:tcW w:w="9180" w:type="dxa"/>
            <w:vAlign w:val="bottom"/>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91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Accounts payable and accrued expenses</w:t>
            </w:r>
          </w:p>
        </w:tc>
        <w:tc>
          <w:tcPr>
            <w:tcW w:w="360" w:type="dxa"/>
            <w:vAlign w:val="bottom"/>
            <w:gridSpan w:val="2"/>
            <w:shd w:val="clear" w:color="auto" w:fill="C0C0C0"/>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58,602</w:t>
            </w: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53,658</w:t>
            </w:r>
          </w:p>
        </w:tc>
      </w:tr>
      <w:tr>
        <w:trPr>
          <w:trHeight w:val="169"/>
        </w:trPr>
        <w:tc>
          <w:tcPr>
            <w:tcW w:w="9180" w:type="dxa"/>
            <w:vAlign w:val="bottom"/>
          </w:tcPr>
          <w:p>
            <w:pPr>
              <w:ind w:left="240"/>
              <w:spacing w:after="0"/>
              <w:rPr>
                <w:sz w:val="20"/>
                <w:szCs w:val="20"/>
                <w:color w:val="auto"/>
              </w:rPr>
            </w:pPr>
            <w:r>
              <w:rPr>
                <w:rFonts w:ascii="Arial" w:cs="Arial" w:eastAsia="Arial" w:hAnsi="Arial"/>
                <w:sz w:val="13"/>
                <w:szCs w:val="13"/>
                <w:color w:val="auto"/>
              </w:rPr>
              <w:t>Deferred revenue from sanofi-aventis, current portion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19,561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19,506</w:t>
            </w:r>
          </w:p>
        </w:tc>
      </w:tr>
      <w:tr>
        <w:trPr>
          <w:trHeight w:val="180"/>
        </w:trPr>
        <w:tc>
          <w:tcPr>
            <w:tcW w:w="91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Deferred revenue - other, current portion</w:t>
            </w:r>
          </w:p>
        </w:tc>
        <w:tc>
          <w:tcPr>
            <w:tcW w:w="2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33,291</w:t>
            </w: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35,217</w:t>
            </w:r>
          </w:p>
        </w:tc>
      </w:tr>
      <w:tr>
        <w:trPr>
          <w:trHeight w:val="169"/>
        </w:trPr>
        <w:tc>
          <w:tcPr>
            <w:tcW w:w="9180" w:type="dxa"/>
            <w:vAlign w:val="bottom"/>
            <w:tcBorders>
              <w:bottom w:val="single" w:sz="8" w:color="C0C0C0"/>
            </w:tcBorders>
          </w:tcPr>
          <w:p>
            <w:pPr>
              <w:ind w:left="240"/>
              <w:spacing w:after="0"/>
              <w:rPr>
                <w:sz w:val="20"/>
                <w:szCs w:val="20"/>
                <w:color w:val="auto"/>
              </w:rPr>
            </w:pPr>
            <w:r>
              <w:rPr>
                <w:rFonts w:ascii="Arial" w:cs="Arial" w:eastAsia="Arial" w:hAnsi="Arial"/>
                <w:sz w:val="13"/>
                <w:szCs w:val="13"/>
                <w:color w:val="auto"/>
              </w:rPr>
              <w:t>Facility lease obligations, current portion</w:t>
            </w:r>
          </w:p>
        </w:tc>
        <w:tc>
          <w:tcPr>
            <w:tcW w:w="240" w:type="dxa"/>
            <w:vAlign w:val="bottom"/>
            <w:tcBorders>
              <w:bottom w:val="single" w:sz="8" w:color="C0C0C0"/>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798</w:t>
            </w:r>
          </w:p>
        </w:tc>
        <w:tc>
          <w:tcPr>
            <w:tcW w:w="24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675</w:t>
            </w:r>
          </w:p>
        </w:tc>
      </w:tr>
      <w:tr>
        <w:trPr>
          <w:trHeight w:val="170"/>
        </w:trPr>
        <w:tc>
          <w:tcPr>
            <w:tcW w:w="9180" w:type="dxa"/>
            <w:vAlign w:val="bottom"/>
            <w:shd w:val="clear" w:color="auto" w:fill="C0C0C0"/>
          </w:tcPr>
          <w:p>
            <w:pPr>
              <w:ind w:left="440"/>
              <w:spacing w:after="0"/>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112,252</w:t>
            </w:r>
          </w:p>
        </w:tc>
        <w:tc>
          <w:tcPr>
            <w:tcW w:w="24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109,056</w:t>
            </w:r>
          </w:p>
        </w:tc>
      </w:tr>
      <w:tr>
        <w:trPr>
          <w:trHeight w:val="175"/>
        </w:trPr>
        <w:tc>
          <w:tcPr>
            <w:tcW w:w="9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9180" w:type="dxa"/>
            <w:vAlign w:val="bottom"/>
            <w:shd w:val="clear" w:color="auto" w:fill="C0C0C0"/>
          </w:tcPr>
          <w:p>
            <w:pPr>
              <w:spacing w:after="0"/>
              <w:rPr>
                <w:sz w:val="20"/>
                <w:szCs w:val="20"/>
                <w:color w:val="auto"/>
              </w:rPr>
            </w:pPr>
            <w:r>
              <w:rPr>
                <w:rFonts w:ascii="Arial" w:cs="Arial" w:eastAsia="Arial" w:hAnsi="Arial"/>
                <w:sz w:val="13"/>
                <w:szCs w:val="13"/>
                <w:color w:val="auto"/>
              </w:rPr>
              <w:t>Deferred revenue from sanofi-aventis</w:t>
            </w:r>
          </w:p>
        </w:tc>
        <w:tc>
          <w:tcPr>
            <w:tcW w:w="2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94,398</w:t>
            </w: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97,081</w:t>
            </w:r>
          </w:p>
        </w:tc>
      </w:tr>
      <w:tr>
        <w:trPr>
          <w:trHeight w:val="169"/>
        </w:trPr>
        <w:tc>
          <w:tcPr>
            <w:tcW w:w="9180" w:type="dxa"/>
            <w:vAlign w:val="bottom"/>
          </w:tcPr>
          <w:p>
            <w:pPr>
              <w:spacing w:after="0"/>
              <w:rPr>
                <w:sz w:val="20"/>
                <w:szCs w:val="20"/>
                <w:color w:val="auto"/>
              </w:rPr>
            </w:pPr>
            <w:r>
              <w:rPr>
                <w:rFonts w:ascii="Arial" w:cs="Arial" w:eastAsia="Arial" w:hAnsi="Arial"/>
                <w:sz w:val="13"/>
                <w:szCs w:val="13"/>
                <w:color w:val="auto"/>
              </w:rPr>
              <w:t>Deferred revenue - other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183,019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188,775</w:t>
            </w:r>
          </w:p>
        </w:tc>
      </w:tr>
      <w:tr>
        <w:trPr>
          <w:trHeight w:val="180"/>
        </w:trPr>
        <w:tc>
          <w:tcPr>
            <w:tcW w:w="9180" w:type="dxa"/>
            <w:vAlign w:val="bottom"/>
            <w:shd w:val="clear" w:color="auto" w:fill="C0C0C0"/>
          </w:tcPr>
          <w:p>
            <w:pPr>
              <w:spacing w:after="0"/>
              <w:rPr>
                <w:sz w:val="20"/>
                <w:szCs w:val="20"/>
                <w:color w:val="auto"/>
              </w:rPr>
            </w:pPr>
            <w:r>
              <w:rPr>
                <w:rFonts w:ascii="Arial" w:cs="Arial" w:eastAsia="Arial" w:hAnsi="Arial"/>
                <w:sz w:val="13"/>
                <w:szCs w:val="13"/>
                <w:color w:val="auto"/>
              </w:rPr>
              <w:t>Facility lease obligations</w:t>
            </w:r>
          </w:p>
        </w:tc>
        <w:tc>
          <w:tcPr>
            <w:tcW w:w="2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159,353</w:t>
            </w: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159,355</w:t>
            </w:r>
          </w:p>
        </w:tc>
      </w:tr>
      <w:tr>
        <w:trPr>
          <w:trHeight w:val="169"/>
        </w:trPr>
        <w:tc>
          <w:tcPr>
            <w:tcW w:w="9180" w:type="dxa"/>
            <w:vAlign w:val="bottom"/>
            <w:tcBorders>
              <w:bottom w:val="single" w:sz="8" w:color="C0C0C0"/>
            </w:tcBorders>
          </w:tcPr>
          <w:p>
            <w:pPr>
              <w:spacing w:after="0"/>
              <w:rPr>
                <w:sz w:val="20"/>
                <w:szCs w:val="20"/>
                <w:color w:val="auto"/>
              </w:rPr>
            </w:pPr>
            <w:r>
              <w:rPr>
                <w:rFonts w:ascii="Arial" w:cs="Arial" w:eastAsia="Arial" w:hAnsi="Arial"/>
                <w:sz w:val="13"/>
                <w:szCs w:val="13"/>
                <w:color w:val="auto"/>
              </w:rPr>
              <w:t>Other long term liabilities</w:t>
            </w:r>
          </w:p>
        </w:tc>
        <w:tc>
          <w:tcPr>
            <w:tcW w:w="240" w:type="dxa"/>
            <w:vAlign w:val="bottom"/>
            <w:tcBorders>
              <w:bottom w:val="single" w:sz="8" w:color="C0C0C0"/>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7,180</w:t>
            </w:r>
          </w:p>
        </w:tc>
        <w:tc>
          <w:tcPr>
            <w:tcW w:w="24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7,350</w:t>
            </w:r>
          </w:p>
        </w:tc>
      </w:tr>
      <w:tr>
        <w:trPr>
          <w:trHeight w:val="164"/>
        </w:trPr>
        <w:tc>
          <w:tcPr>
            <w:tcW w:w="9180" w:type="dxa"/>
            <w:vAlign w:val="bottom"/>
            <w:shd w:val="clear" w:color="auto" w:fill="C0C0C0"/>
          </w:tcPr>
          <w:p>
            <w:pPr>
              <w:ind w:left="440"/>
              <w:spacing w:after="0"/>
              <w:rPr>
                <w:sz w:val="20"/>
                <w:szCs w:val="20"/>
                <w:color w:val="auto"/>
              </w:rPr>
            </w:pPr>
            <w:r>
              <w:rPr>
                <w:rFonts w:ascii="Arial" w:cs="Arial" w:eastAsia="Arial" w:hAnsi="Arial"/>
                <w:sz w:val="13"/>
                <w:szCs w:val="13"/>
                <w:color w:val="auto"/>
              </w:rPr>
              <w:t>Total liabilities</w:t>
            </w:r>
          </w:p>
        </w:tc>
        <w:tc>
          <w:tcPr>
            <w:tcW w:w="240" w:type="dxa"/>
            <w:vAlign w:val="bottom"/>
            <w:shd w:val="clear" w:color="auto" w:fill="C0C0C0"/>
          </w:tcPr>
          <w:p>
            <w:pPr>
              <w:spacing w:after="0"/>
              <w:rPr>
                <w:sz w:val="14"/>
                <w:szCs w:val="14"/>
                <w:color w:val="auto"/>
              </w:rPr>
            </w:pPr>
          </w:p>
        </w:tc>
        <w:tc>
          <w:tcPr>
            <w:tcW w:w="120" w:type="dxa"/>
            <w:vAlign w:val="bottom"/>
            <w:tcBorders>
              <w:bottom w:val="single" w:sz="8" w:color="auto"/>
            </w:tcBorders>
            <w:shd w:val="clear" w:color="auto" w:fill="C0C0C0"/>
          </w:tcPr>
          <w:p>
            <w:pPr>
              <w:spacing w:after="0"/>
              <w:rPr>
                <w:sz w:val="14"/>
                <w:szCs w:val="14"/>
                <w:color w:val="auto"/>
              </w:rPr>
            </w:pPr>
          </w:p>
        </w:tc>
        <w:tc>
          <w:tcPr>
            <w:tcW w:w="780" w:type="dxa"/>
            <w:vAlign w:val="bottom"/>
            <w:tcBorders>
              <w:bottom w:val="single" w:sz="8" w:color="auto"/>
            </w:tcBorders>
            <w:shd w:val="clear" w:color="auto" w:fill="C0C0C0"/>
          </w:tcPr>
          <w:p>
            <w:pPr>
              <w:jc w:val="right"/>
              <w:ind w:right="37"/>
              <w:spacing w:after="0"/>
              <w:rPr>
                <w:sz w:val="20"/>
                <w:szCs w:val="20"/>
                <w:color w:val="auto"/>
              </w:rPr>
            </w:pPr>
            <w:r>
              <w:rPr>
                <w:rFonts w:ascii="Arial" w:cs="Arial" w:eastAsia="Arial" w:hAnsi="Arial"/>
                <w:sz w:val="13"/>
                <w:szCs w:val="13"/>
                <w:color w:val="auto"/>
              </w:rPr>
              <w:t>556,202</w:t>
            </w:r>
          </w:p>
        </w:tc>
        <w:tc>
          <w:tcPr>
            <w:tcW w:w="240" w:type="dxa"/>
            <w:vAlign w:val="bottom"/>
            <w:shd w:val="clear" w:color="auto" w:fill="C0C0C0"/>
          </w:tcPr>
          <w:p>
            <w:pPr>
              <w:spacing w:after="0"/>
              <w:rPr>
                <w:sz w:val="14"/>
                <w:szCs w:val="14"/>
                <w:color w:val="auto"/>
              </w:rPr>
            </w:pPr>
          </w:p>
        </w:tc>
        <w:tc>
          <w:tcPr>
            <w:tcW w:w="80" w:type="dxa"/>
            <w:vAlign w:val="bottom"/>
            <w:tcBorders>
              <w:bottom w:val="single" w:sz="8" w:color="auto"/>
            </w:tcBorders>
            <w:shd w:val="clear" w:color="auto" w:fill="C0C0C0"/>
          </w:tcPr>
          <w:p>
            <w:pPr>
              <w:spacing w:after="0"/>
              <w:rPr>
                <w:sz w:val="14"/>
                <w:szCs w:val="14"/>
                <w:color w:val="auto"/>
              </w:rPr>
            </w:pPr>
          </w:p>
        </w:tc>
        <w:tc>
          <w:tcPr>
            <w:tcW w:w="84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rPr>
              <w:t>561,617</w:t>
            </w:r>
          </w:p>
        </w:tc>
      </w:tr>
      <w:tr>
        <w:trPr>
          <w:trHeight w:val="170"/>
        </w:trPr>
        <w:tc>
          <w:tcPr>
            <w:tcW w:w="9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9180" w:type="dxa"/>
            <w:vAlign w:val="bottom"/>
            <w:shd w:val="clear" w:color="auto" w:fill="C0C0C0"/>
          </w:tcPr>
          <w:p>
            <w:pPr>
              <w:spacing w:after="0"/>
              <w:rPr>
                <w:sz w:val="20"/>
                <w:szCs w:val="20"/>
                <w:color w:val="auto"/>
              </w:rPr>
            </w:pPr>
            <w:r>
              <w:rPr>
                <w:rFonts w:ascii="Arial" w:cs="Arial" w:eastAsia="Arial" w:hAnsi="Arial"/>
                <w:sz w:val="13"/>
                <w:szCs w:val="13"/>
                <w:color w:val="auto"/>
              </w:rPr>
              <w:t>Commitments and contingencies</w:t>
            </w:r>
          </w:p>
        </w:tc>
        <w:tc>
          <w:tcPr>
            <w:tcW w:w="2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40" w:type="dxa"/>
            <w:vAlign w:val="bottom"/>
            <w:shd w:val="clear" w:color="auto" w:fill="C0C0C0"/>
          </w:tcPr>
          <w:p>
            <w:pPr>
              <w:spacing w:after="0"/>
              <w:rPr>
                <w:sz w:val="15"/>
                <w:szCs w:val="15"/>
                <w:color w:val="auto"/>
              </w:rPr>
            </w:pPr>
          </w:p>
        </w:tc>
      </w:tr>
      <w:tr>
        <w:trPr>
          <w:trHeight w:val="175"/>
        </w:trPr>
        <w:tc>
          <w:tcPr>
            <w:tcW w:w="9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9180" w:type="dxa"/>
            <w:vAlign w:val="bottom"/>
            <w:shd w:val="clear" w:color="auto" w:fill="C0C0C0"/>
          </w:tcPr>
          <w:p>
            <w:pPr>
              <w:spacing w:after="0"/>
              <w:rPr>
                <w:sz w:val="20"/>
                <w:szCs w:val="20"/>
                <w:color w:val="auto"/>
              </w:rPr>
            </w:pPr>
            <w:r>
              <w:rPr>
                <w:rFonts w:ascii="Arial" w:cs="Arial" w:eastAsia="Arial" w:hAnsi="Arial"/>
                <w:sz w:val="13"/>
                <w:szCs w:val="13"/>
                <w:color w:val="auto"/>
              </w:rPr>
              <w:t>Stockholders' equity</w:t>
            </w:r>
          </w:p>
        </w:tc>
        <w:tc>
          <w:tcPr>
            <w:tcW w:w="2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40" w:type="dxa"/>
            <w:vAlign w:val="bottom"/>
            <w:shd w:val="clear" w:color="auto" w:fill="C0C0C0"/>
          </w:tcPr>
          <w:p>
            <w:pPr>
              <w:spacing w:after="0"/>
              <w:rPr>
                <w:sz w:val="15"/>
                <w:szCs w:val="15"/>
                <w:color w:val="auto"/>
              </w:rPr>
            </w:pPr>
          </w:p>
        </w:tc>
      </w:tr>
      <w:tr>
        <w:trPr>
          <w:trHeight w:val="164"/>
        </w:trPr>
        <w:tc>
          <w:tcPr>
            <w:tcW w:w="9180" w:type="dxa"/>
            <w:vAlign w:val="bottom"/>
          </w:tcPr>
          <w:p>
            <w:pPr>
              <w:ind w:left="240"/>
              <w:spacing w:after="0"/>
              <w:rPr>
                <w:sz w:val="20"/>
                <w:szCs w:val="20"/>
                <w:color w:val="auto"/>
              </w:rPr>
            </w:pPr>
            <w:r>
              <w:rPr>
                <w:rFonts w:ascii="Arial" w:cs="Arial" w:eastAsia="Arial" w:hAnsi="Arial"/>
                <w:sz w:val="13"/>
                <w:szCs w:val="13"/>
                <w:color w:val="auto"/>
              </w:rPr>
              <w:t>Preferred stock, $.01 par value; 30,000,000 shares authorized; issued and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9180" w:type="dxa"/>
            <w:vAlign w:val="bottom"/>
          </w:tcPr>
          <w:p>
            <w:pPr>
              <w:ind w:left="460"/>
              <w:spacing w:after="0"/>
              <w:rPr>
                <w:sz w:val="20"/>
                <w:szCs w:val="20"/>
                <w:color w:val="auto"/>
              </w:rPr>
            </w:pPr>
            <w:r>
              <w:rPr>
                <w:rFonts w:ascii="Arial" w:cs="Arial" w:eastAsia="Arial" w:hAnsi="Arial"/>
                <w:sz w:val="13"/>
                <w:szCs w:val="13"/>
                <w:color w:val="auto"/>
              </w:rPr>
              <w:t>outstanding - none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9"/>
        </w:trPr>
        <w:tc>
          <w:tcPr>
            <w:tcW w:w="91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Class A Stock, convertible, $.001 par value; 40,000,000 shares authorized;</w:t>
            </w:r>
          </w:p>
        </w:tc>
        <w:tc>
          <w:tcPr>
            <w:tcW w:w="24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r>
      <w:tr>
        <w:trPr>
          <w:trHeight w:val="185"/>
        </w:trPr>
        <w:tc>
          <w:tcPr>
            <w:tcW w:w="9180" w:type="dxa"/>
            <w:vAlign w:val="bottom"/>
            <w:shd w:val="clear" w:color="auto" w:fill="C0C0C0"/>
          </w:tcPr>
          <w:p>
            <w:pPr>
              <w:ind w:left="460"/>
              <w:spacing w:after="0"/>
              <w:rPr>
                <w:sz w:val="20"/>
                <w:szCs w:val="20"/>
                <w:color w:val="auto"/>
              </w:rPr>
            </w:pPr>
            <w:r>
              <w:rPr>
                <w:rFonts w:ascii="Arial" w:cs="Arial" w:eastAsia="Arial" w:hAnsi="Arial"/>
                <w:sz w:val="13"/>
                <w:szCs w:val="13"/>
                <w:color w:val="auto"/>
              </w:rPr>
              <w:t>shares issued and outstanding - 2,182,036 in 2011 and 2010</w:t>
            </w:r>
          </w:p>
        </w:tc>
        <w:tc>
          <w:tcPr>
            <w:tcW w:w="24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2</w:t>
            </w:r>
          </w:p>
        </w:tc>
        <w:tc>
          <w:tcPr>
            <w:tcW w:w="24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2</w:t>
            </w:r>
          </w:p>
        </w:tc>
      </w:tr>
      <w:tr>
        <w:trPr>
          <w:trHeight w:val="164"/>
        </w:trPr>
        <w:tc>
          <w:tcPr>
            <w:tcW w:w="9180" w:type="dxa"/>
            <w:vAlign w:val="bottom"/>
          </w:tcPr>
          <w:p>
            <w:pPr>
              <w:ind w:left="240"/>
              <w:spacing w:after="0"/>
              <w:rPr>
                <w:sz w:val="20"/>
                <w:szCs w:val="20"/>
                <w:color w:val="auto"/>
              </w:rPr>
            </w:pPr>
            <w:r>
              <w:rPr>
                <w:rFonts w:ascii="Arial" w:cs="Arial" w:eastAsia="Arial" w:hAnsi="Arial"/>
                <w:sz w:val="13"/>
                <w:szCs w:val="13"/>
                <w:color w:val="auto"/>
              </w:rPr>
              <w:t>Common Stock, $.001 par value; 160,000,000 shares authorized;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9180" w:type="dxa"/>
            <w:vAlign w:val="bottom"/>
          </w:tcPr>
          <w:p>
            <w:pPr>
              <w:ind w:left="460"/>
              <w:spacing w:after="0"/>
              <w:rPr>
                <w:sz w:val="20"/>
                <w:szCs w:val="20"/>
                <w:color w:val="auto"/>
              </w:rPr>
            </w:pPr>
            <w:r>
              <w:rPr>
                <w:rFonts w:ascii="Arial" w:cs="Arial" w:eastAsia="Arial" w:hAnsi="Arial"/>
                <w:sz w:val="13"/>
                <w:szCs w:val="13"/>
                <w:color w:val="auto"/>
              </w:rPr>
              <w:t>shares issued and outstanding - 88,548,041 in 2011 and 87,238,301 in 2010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87</w:t>
            </w:r>
          </w:p>
        </w:tc>
      </w:tr>
      <w:tr>
        <w:trPr>
          <w:trHeight w:val="180"/>
        </w:trPr>
        <w:tc>
          <w:tcPr>
            <w:tcW w:w="91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1,609,185</w:t>
            </w: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1,575,780</w:t>
            </w:r>
          </w:p>
        </w:tc>
      </w:tr>
      <w:tr>
        <w:trPr>
          <w:trHeight w:val="169"/>
        </w:trPr>
        <w:tc>
          <w:tcPr>
            <w:tcW w:w="9180" w:type="dxa"/>
            <w:vAlign w:val="bottom"/>
          </w:tcPr>
          <w:p>
            <w:pPr>
              <w:ind w:left="240"/>
              <w:spacing w:after="0"/>
              <w:rPr>
                <w:sz w:val="20"/>
                <w:szCs w:val="20"/>
                <w:color w:val="auto"/>
              </w:rPr>
            </w:pPr>
            <w:r>
              <w:rPr>
                <w:rFonts w:ascii="Arial" w:cs="Arial" w:eastAsia="Arial" w:hAnsi="Arial"/>
                <w:sz w:val="13"/>
                <w:szCs w:val="13"/>
                <w:color w:val="auto"/>
              </w:rPr>
              <w:t>Accumulated deficit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(1,089,010)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(1,045,563)</w:t>
            </w:r>
          </w:p>
        </w:tc>
      </w:tr>
      <w:tr>
        <w:trPr>
          <w:trHeight w:val="180"/>
        </w:trPr>
        <w:tc>
          <w:tcPr>
            <w:tcW w:w="91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shd w:val="clear" w:color="auto" w:fill="C0C0C0"/>
          </w:tcPr>
          <w:p>
            <w:pPr>
              <w:spacing w:after="0"/>
              <w:rPr>
                <w:sz w:val="15"/>
                <w:szCs w:val="15"/>
                <w:color w:val="auto"/>
              </w:rPr>
            </w:pPr>
          </w:p>
        </w:tc>
        <w:tc>
          <w:tcPr>
            <w:tcW w:w="120" w:type="dxa"/>
            <w:vAlign w:val="bottom"/>
            <w:tcBorders>
              <w:bottom w:val="single" w:sz="8" w:color="auto"/>
            </w:tcBorders>
            <w:shd w:val="clear" w:color="auto" w:fill="C0C0C0"/>
          </w:tcPr>
          <w:p>
            <w:pPr>
              <w:spacing w:after="0"/>
              <w:rPr>
                <w:sz w:val="15"/>
                <w:szCs w:val="15"/>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(2,175)</w:t>
            </w:r>
          </w:p>
        </w:tc>
        <w:tc>
          <w:tcPr>
            <w:tcW w:w="240" w:type="dxa"/>
            <w:vAlign w:val="bottom"/>
            <w:shd w:val="clear" w:color="auto" w:fill="C0C0C0"/>
          </w:tcPr>
          <w:p>
            <w:pPr>
              <w:spacing w:after="0"/>
              <w:rPr>
                <w:sz w:val="15"/>
                <w:szCs w:val="15"/>
                <w:color w:val="auto"/>
              </w:rPr>
            </w:pPr>
          </w:p>
        </w:tc>
        <w:tc>
          <w:tcPr>
            <w:tcW w:w="80" w:type="dxa"/>
            <w:vAlign w:val="bottom"/>
            <w:tcBorders>
              <w:bottom w:val="single" w:sz="8" w:color="auto"/>
            </w:tcBorders>
            <w:shd w:val="clear" w:color="auto" w:fill="C0C0C0"/>
          </w:tcPr>
          <w:p>
            <w:pPr>
              <w:spacing w:after="0"/>
              <w:rPr>
                <w:sz w:val="15"/>
                <w:szCs w:val="15"/>
                <w:color w:val="auto"/>
              </w:rPr>
            </w:pPr>
          </w:p>
        </w:tc>
        <w:tc>
          <w:tcPr>
            <w:tcW w:w="84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3"/>
                <w:szCs w:val="13"/>
                <w:color w:val="auto"/>
              </w:rPr>
              <w:t>(2,491)</w:t>
            </w:r>
          </w:p>
        </w:tc>
      </w:tr>
      <w:tr>
        <w:trPr>
          <w:trHeight w:val="159"/>
        </w:trPr>
        <w:tc>
          <w:tcPr>
            <w:tcW w:w="9180" w:type="dxa"/>
            <w:vAlign w:val="bottom"/>
            <w:tcBorders>
              <w:bottom w:val="single" w:sz="8" w:color="C0C0C0"/>
            </w:tcBorders>
          </w:tcPr>
          <w:p>
            <w:pPr>
              <w:ind w:left="440"/>
              <w:spacing w:after="0"/>
              <w:rPr>
                <w:sz w:val="20"/>
                <w:szCs w:val="20"/>
                <w:color w:val="auto"/>
              </w:rPr>
            </w:pPr>
            <w:r>
              <w:rPr>
                <w:rFonts w:ascii="Arial" w:cs="Arial" w:eastAsia="Arial" w:hAnsi="Arial"/>
                <w:sz w:val="13"/>
                <w:szCs w:val="13"/>
                <w:color w:val="auto"/>
              </w:rPr>
              <w:t>Total stockholders' equity</w:t>
            </w:r>
          </w:p>
        </w:tc>
        <w:tc>
          <w:tcPr>
            <w:tcW w:w="240" w:type="dxa"/>
            <w:vAlign w:val="bottom"/>
            <w:tcBorders>
              <w:bottom w:val="single" w:sz="8" w:color="C0C0C0"/>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518,091</w:t>
            </w:r>
          </w:p>
        </w:tc>
        <w:tc>
          <w:tcPr>
            <w:tcW w:w="240" w:type="dxa"/>
            <w:vAlign w:val="bottom"/>
            <w:tcBorders>
              <w:bottom w:val="single" w:sz="8" w:color="C0C0C0"/>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527,815</w:t>
            </w:r>
          </w:p>
        </w:tc>
      </w:tr>
      <w:tr>
        <w:trPr>
          <w:trHeight w:val="169"/>
        </w:trPr>
        <w:tc>
          <w:tcPr>
            <w:tcW w:w="9180" w:type="dxa"/>
            <w:vAlign w:val="bottom"/>
            <w:shd w:val="clear" w:color="auto" w:fill="C0C0C0"/>
          </w:tcPr>
          <w:p>
            <w:pPr>
              <w:ind w:left="440"/>
              <w:spacing w:after="0"/>
              <w:rPr>
                <w:sz w:val="20"/>
                <w:szCs w:val="20"/>
                <w:color w:val="auto"/>
              </w:rPr>
            </w:pPr>
            <w:r>
              <w:rPr>
                <w:rFonts w:ascii="Arial" w:cs="Arial" w:eastAsia="Arial" w:hAnsi="Arial"/>
                <w:sz w:val="13"/>
                <w:szCs w:val="13"/>
                <w:color w:val="auto"/>
              </w:rPr>
              <w:t>Total liabilities and stockholders' equity</w:t>
            </w:r>
          </w:p>
        </w:tc>
        <w:tc>
          <w:tcPr>
            <w:tcW w:w="360" w:type="dxa"/>
            <w:vAlign w:val="bottom"/>
            <w:gridSpan w:val="2"/>
            <w:shd w:val="clear" w:color="auto" w:fill="C0C0C0"/>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1,074,293</w:t>
            </w:r>
          </w:p>
        </w:tc>
        <w:tc>
          <w:tcPr>
            <w:tcW w:w="240" w:type="dxa"/>
            <w:vAlign w:val="bottom"/>
            <w:shd w:val="clear" w:color="auto" w:fill="C0C0C0"/>
          </w:tcPr>
          <w:p>
            <w:pPr>
              <w:spacing w:after="0"/>
              <w:rPr>
                <w:sz w:val="14"/>
                <w:szCs w:val="14"/>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1,089,432</w:t>
            </w:r>
          </w:p>
        </w:tc>
      </w:tr>
      <w:tr>
        <w:trPr>
          <w:trHeight w:val="20"/>
        </w:trPr>
        <w:tc>
          <w:tcPr>
            <w:tcW w:w="918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8535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5355" cy="184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CONDENSED STATEMENTS OF OPERATIONS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97"/>
              <w:spacing w:after="0"/>
              <w:rPr>
                <w:sz w:val="20"/>
                <w:szCs w:val="20"/>
                <w:color w:val="auto"/>
              </w:rPr>
            </w:pPr>
            <w:r>
              <w:rPr>
                <w:rFonts w:ascii="Arial" w:cs="Arial" w:eastAsia="Arial" w:hAnsi="Arial"/>
                <w:sz w:val="13"/>
                <w:szCs w:val="13"/>
                <w:b w:val="1"/>
                <w:bCs w:val="1"/>
                <w:color w:val="auto"/>
                <w:w w:val="88"/>
              </w:rPr>
              <w:t>Three months ended March 31,</w:t>
            </w:r>
          </w:p>
        </w:tc>
      </w:tr>
      <w:tr>
        <w:trPr>
          <w:trHeight w:val="180"/>
        </w:trPr>
        <w:tc>
          <w:tcPr>
            <w:tcW w:w="3280" w:type="dxa"/>
            <w:vAlign w:val="bottom"/>
            <w:tcBorders>
              <w:bottom w:val="single" w:sz="8" w:color="C0C0C0"/>
            </w:tcBorders>
          </w:tcPr>
          <w:p>
            <w:pPr>
              <w:spacing w:after="0"/>
              <w:rPr>
                <w:sz w:val="15"/>
                <w:szCs w:val="15"/>
                <w:color w:val="auto"/>
              </w:rPr>
            </w:pPr>
          </w:p>
        </w:tc>
        <w:tc>
          <w:tcPr>
            <w:tcW w:w="622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2011</w:t>
            </w:r>
          </w:p>
        </w:tc>
        <w:tc>
          <w:tcPr>
            <w:tcW w:w="240" w:type="dxa"/>
            <w:vAlign w:val="bottom"/>
            <w:tcBorders>
              <w:bottom w:val="single" w:sz="8" w:color="C0C0C0"/>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2010</w:t>
            </w:r>
          </w:p>
        </w:tc>
      </w:tr>
      <w:tr>
        <w:trPr>
          <w:trHeight w:val="170"/>
        </w:trPr>
        <w:tc>
          <w:tcPr>
            <w:tcW w:w="3280" w:type="dxa"/>
            <w:vAlign w:val="bottom"/>
            <w:shd w:val="clear" w:color="auto" w:fill="C0C0C0"/>
          </w:tcPr>
          <w:p>
            <w:pPr>
              <w:spacing w:after="0"/>
              <w:rPr>
                <w:sz w:val="20"/>
                <w:szCs w:val="20"/>
                <w:color w:val="auto"/>
              </w:rPr>
            </w:pPr>
            <w:r>
              <w:rPr>
                <w:rFonts w:ascii="Arial" w:cs="Arial" w:eastAsia="Arial" w:hAnsi="Arial"/>
                <w:sz w:val="13"/>
                <w:szCs w:val="13"/>
                <w:color w:val="auto"/>
              </w:rPr>
              <w:t>Revenues</w:t>
            </w:r>
          </w:p>
        </w:tc>
        <w:tc>
          <w:tcPr>
            <w:tcW w:w="62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76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r>
      <w:tr>
        <w:trPr>
          <w:trHeight w:val="169"/>
        </w:trPr>
        <w:tc>
          <w:tcPr>
            <w:tcW w:w="3280" w:type="dxa"/>
            <w:vAlign w:val="bottom"/>
          </w:tcPr>
          <w:p>
            <w:pPr>
              <w:ind w:left="240"/>
              <w:spacing w:after="0"/>
              <w:rPr>
                <w:sz w:val="20"/>
                <w:szCs w:val="20"/>
                <w:color w:val="auto"/>
              </w:rPr>
            </w:pPr>
            <w:r>
              <w:rPr>
                <w:rFonts w:ascii="Arial" w:cs="Arial" w:eastAsia="Arial" w:hAnsi="Arial"/>
                <w:sz w:val="13"/>
                <w:szCs w:val="13"/>
                <w:color w:val="auto"/>
              </w:rPr>
              <w:t>Sanofi-aventis collaboration revenue</w:t>
            </w:r>
          </w:p>
        </w:tc>
        <w:tc>
          <w:tcPr>
            <w:tcW w:w="6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85,329</w:t>
            </w:r>
          </w:p>
        </w:tc>
        <w:tc>
          <w:tcPr>
            <w:tcW w:w="240" w:type="dxa"/>
            <w:vAlign w:val="bottom"/>
          </w:tcPr>
          <w:p>
            <w:pPr>
              <w:spacing w:after="0"/>
              <w:rPr>
                <w:sz w:val="14"/>
                <w:szCs w:val="14"/>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68,671</w:t>
            </w:r>
          </w:p>
        </w:tc>
      </w:tr>
      <w:tr>
        <w:trPr>
          <w:trHeight w:val="180"/>
        </w:trPr>
        <w:tc>
          <w:tcPr>
            <w:tcW w:w="32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Other collaboration revenue</w:t>
            </w:r>
          </w:p>
        </w:tc>
        <w:tc>
          <w:tcPr>
            <w:tcW w:w="62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12,481</w:t>
            </w: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13,087</w:t>
            </w:r>
          </w:p>
        </w:tc>
      </w:tr>
      <w:tr>
        <w:trPr>
          <w:trHeight w:val="169"/>
        </w:trPr>
        <w:tc>
          <w:tcPr>
            <w:tcW w:w="3280" w:type="dxa"/>
            <w:vAlign w:val="bottom"/>
          </w:tcPr>
          <w:p>
            <w:pPr>
              <w:ind w:left="240"/>
              <w:spacing w:after="0"/>
              <w:rPr>
                <w:sz w:val="20"/>
                <w:szCs w:val="20"/>
                <w:color w:val="auto"/>
              </w:rPr>
            </w:pPr>
            <w:r>
              <w:rPr>
                <w:rFonts w:ascii="Arial" w:cs="Arial" w:eastAsia="Arial" w:hAnsi="Arial"/>
                <w:sz w:val="13"/>
                <w:szCs w:val="13"/>
                <w:color w:val="auto"/>
              </w:rPr>
              <w:t>Technology licensing</w:t>
            </w: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7,845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10,038</w:t>
            </w:r>
          </w:p>
        </w:tc>
      </w:tr>
      <w:tr>
        <w:trPr>
          <w:trHeight w:val="180"/>
        </w:trPr>
        <w:tc>
          <w:tcPr>
            <w:tcW w:w="32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Net product sales</w:t>
            </w:r>
          </w:p>
        </w:tc>
        <w:tc>
          <w:tcPr>
            <w:tcW w:w="62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4,427</w:t>
            </w: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9,852</w:t>
            </w:r>
          </w:p>
        </w:tc>
      </w:tr>
      <w:tr>
        <w:trPr>
          <w:trHeight w:val="169"/>
        </w:trPr>
        <w:tc>
          <w:tcPr>
            <w:tcW w:w="3280" w:type="dxa"/>
            <w:vAlign w:val="bottom"/>
            <w:tcBorders>
              <w:bottom w:val="single" w:sz="8" w:color="C0C0C0"/>
            </w:tcBorders>
          </w:tcPr>
          <w:p>
            <w:pPr>
              <w:ind w:left="240"/>
              <w:spacing w:after="0"/>
              <w:rPr>
                <w:sz w:val="20"/>
                <w:szCs w:val="20"/>
                <w:color w:val="auto"/>
              </w:rPr>
            </w:pPr>
            <w:r>
              <w:rPr>
                <w:rFonts w:ascii="Arial" w:cs="Arial" w:eastAsia="Arial" w:hAnsi="Arial"/>
                <w:sz w:val="13"/>
                <w:szCs w:val="13"/>
                <w:color w:val="auto"/>
              </w:rPr>
              <w:t>Contract research and other</w:t>
            </w:r>
          </w:p>
        </w:tc>
        <w:tc>
          <w:tcPr>
            <w:tcW w:w="6220" w:type="dxa"/>
            <w:vAlign w:val="bottom"/>
            <w:tcBorders>
              <w:bottom w:val="single" w:sz="8" w:color="C0C0C0"/>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2,122</w:t>
            </w:r>
          </w:p>
        </w:tc>
        <w:tc>
          <w:tcPr>
            <w:tcW w:w="240" w:type="dxa"/>
            <w:vAlign w:val="bottom"/>
            <w:tcBorders>
              <w:bottom w:val="single" w:sz="8" w:color="C0C0C0"/>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1,886</w:t>
            </w:r>
          </w:p>
        </w:tc>
      </w:tr>
      <w:tr>
        <w:trPr>
          <w:trHeight w:val="164"/>
        </w:trPr>
        <w:tc>
          <w:tcPr>
            <w:tcW w:w="3280" w:type="dxa"/>
            <w:vAlign w:val="bottom"/>
            <w:shd w:val="clear" w:color="auto" w:fill="C0C0C0"/>
          </w:tcPr>
          <w:p>
            <w:pPr>
              <w:spacing w:after="0"/>
              <w:rPr>
                <w:sz w:val="14"/>
                <w:szCs w:val="14"/>
                <w:color w:val="auto"/>
              </w:rPr>
            </w:pPr>
          </w:p>
        </w:tc>
        <w:tc>
          <w:tcPr>
            <w:tcW w:w="6220" w:type="dxa"/>
            <w:vAlign w:val="bottom"/>
            <w:shd w:val="clear" w:color="auto" w:fill="C0C0C0"/>
          </w:tcPr>
          <w:p>
            <w:pPr>
              <w:spacing w:after="0"/>
              <w:rPr>
                <w:sz w:val="14"/>
                <w:szCs w:val="14"/>
                <w:color w:val="auto"/>
              </w:rPr>
            </w:pPr>
          </w:p>
        </w:tc>
        <w:tc>
          <w:tcPr>
            <w:tcW w:w="100" w:type="dxa"/>
            <w:vAlign w:val="bottom"/>
            <w:tcBorders>
              <w:bottom w:val="single" w:sz="8" w:color="auto"/>
            </w:tcBorders>
            <w:shd w:val="clear" w:color="auto" w:fill="C0C0C0"/>
          </w:tcPr>
          <w:p>
            <w:pPr>
              <w:spacing w:after="0"/>
              <w:rPr>
                <w:sz w:val="14"/>
                <w:szCs w:val="14"/>
                <w:color w:val="auto"/>
              </w:rPr>
            </w:pPr>
          </w:p>
        </w:tc>
        <w:tc>
          <w:tcPr>
            <w:tcW w:w="760" w:type="dxa"/>
            <w:vAlign w:val="bottom"/>
            <w:tcBorders>
              <w:bottom w:val="single" w:sz="8" w:color="auto"/>
            </w:tcBorders>
            <w:shd w:val="clear" w:color="auto" w:fill="C0C0C0"/>
          </w:tcPr>
          <w:p>
            <w:pPr>
              <w:jc w:val="right"/>
              <w:ind w:right="37"/>
              <w:spacing w:after="0"/>
              <w:rPr>
                <w:sz w:val="20"/>
                <w:szCs w:val="20"/>
                <w:color w:val="auto"/>
              </w:rPr>
            </w:pPr>
            <w:r>
              <w:rPr>
                <w:rFonts w:ascii="Arial" w:cs="Arial" w:eastAsia="Arial" w:hAnsi="Arial"/>
                <w:sz w:val="13"/>
                <w:szCs w:val="13"/>
                <w:color w:val="auto"/>
              </w:rPr>
              <w:t>112,204</w:t>
            </w:r>
          </w:p>
        </w:tc>
        <w:tc>
          <w:tcPr>
            <w:tcW w:w="240" w:type="dxa"/>
            <w:vAlign w:val="bottom"/>
            <w:shd w:val="clear" w:color="auto" w:fill="C0C0C0"/>
          </w:tcPr>
          <w:p>
            <w:pPr>
              <w:spacing w:after="0"/>
              <w:rPr>
                <w:sz w:val="14"/>
                <w:szCs w:val="14"/>
                <w:color w:val="auto"/>
              </w:rPr>
            </w:pPr>
          </w:p>
        </w:tc>
        <w:tc>
          <w:tcPr>
            <w:tcW w:w="180" w:type="dxa"/>
            <w:vAlign w:val="bottom"/>
            <w:tcBorders>
              <w:bottom w:val="single" w:sz="8" w:color="auto"/>
            </w:tcBorders>
            <w:shd w:val="clear" w:color="auto" w:fill="C0C0C0"/>
          </w:tcPr>
          <w:p>
            <w:pPr>
              <w:spacing w:after="0"/>
              <w:rPr>
                <w:sz w:val="14"/>
                <w:szCs w:val="14"/>
                <w:color w:val="auto"/>
              </w:rPr>
            </w:pPr>
          </w:p>
        </w:tc>
        <w:tc>
          <w:tcPr>
            <w:tcW w:w="70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rPr>
              <w:t>103,534</w:t>
            </w:r>
          </w:p>
        </w:tc>
      </w:tr>
      <w:tr>
        <w:trPr>
          <w:trHeight w:val="170"/>
        </w:trPr>
        <w:tc>
          <w:tcPr>
            <w:tcW w:w="32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280" w:type="dxa"/>
            <w:vAlign w:val="bottom"/>
            <w:shd w:val="clear" w:color="auto" w:fill="C0C0C0"/>
          </w:tcPr>
          <w:p>
            <w:pPr>
              <w:spacing w:after="0"/>
              <w:rPr>
                <w:sz w:val="20"/>
                <w:szCs w:val="20"/>
                <w:color w:val="auto"/>
              </w:rPr>
            </w:pPr>
            <w:r>
              <w:rPr>
                <w:rFonts w:ascii="Arial" w:cs="Arial" w:eastAsia="Arial" w:hAnsi="Arial"/>
                <w:sz w:val="13"/>
                <w:szCs w:val="13"/>
                <w:color w:val="auto"/>
              </w:rPr>
              <w:t>Expenses</w:t>
            </w:r>
          </w:p>
        </w:tc>
        <w:tc>
          <w:tcPr>
            <w:tcW w:w="62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700" w:type="dxa"/>
            <w:vAlign w:val="bottom"/>
            <w:shd w:val="clear" w:color="auto" w:fill="C0C0C0"/>
          </w:tcPr>
          <w:p>
            <w:pPr>
              <w:spacing w:after="0"/>
              <w:rPr>
                <w:sz w:val="15"/>
                <w:szCs w:val="15"/>
                <w:color w:val="auto"/>
              </w:rPr>
            </w:pPr>
          </w:p>
        </w:tc>
      </w:tr>
      <w:tr>
        <w:trPr>
          <w:trHeight w:val="169"/>
        </w:trPr>
        <w:tc>
          <w:tcPr>
            <w:tcW w:w="328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129,392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117,471</w:t>
            </w:r>
          </w:p>
        </w:tc>
      </w:tr>
      <w:tr>
        <w:trPr>
          <w:trHeight w:val="180"/>
        </w:trPr>
        <w:tc>
          <w:tcPr>
            <w:tcW w:w="32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Selling, general, and administrative</w:t>
            </w:r>
          </w:p>
        </w:tc>
        <w:tc>
          <w:tcPr>
            <w:tcW w:w="62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23,411</w:t>
            </w: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14,223</w:t>
            </w:r>
          </w:p>
        </w:tc>
      </w:tr>
      <w:tr>
        <w:trPr>
          <w:trHeight w:val="169"/>
        </w:trPr>
        <w:tc>
          <w:tcPr>
            <w:tcW w:w="3280" w:type="dxa"/>
            <w:vAlign w:val="bottom"/>
            <w:tcBorders>
              <w:bottom w:val="single" w:sz="8" w:color="C0C0C0"/>
            </w:tcBorders>
          </w:tcPr>
          <w:p>
            <w:pPr>
              <w:ind w:left="240"/>
              <w:spacing w:after="0"/>
              <w:rPr>
                <w:sz w:val="20"/>
                <w:szCs w:val="20"/>
                <w:color w:val="auto"/>
              </w:rPr>
            </w:pPr>
            <w:r>
              <w:rPr>
                <w:rFonts w:ascii="Arial" w:cs="Arial" w:eastAsia="Arial" w:hAnsi="Arial"/>
                <w:sz w:val="13"/>
                <w:szCs w:val="13"/>
                <w:color w:val="auto"/>
              </w:rPr>
              <w:t>Cost of goods sold</w:t>
            </w:r>
          </w:p>
        </w:tc>
        <w:tc>
          <w:tcPr>
            <w:tcW w:w="6220" w:type="dxa"/>
            <w:vAlign w:val="bottom"/>
            <w:tcBorders>
              <w:bottom w:val="single" w:sz="8" w:color="C0C0C0"/>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382</w:t>
            </w:r>
          </w:p>
        </w:tc>
        <w:tc>
          <w:tcPr>
            <w:tcW w:w="240" w:type="dxa"/>
            <w:vAlign w:val="bottom"/>
            <w:tcBorders>
              <w:bottom w:val="single" w:sz="8" w:color="C0C0C0"/>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717</w:t>
            </w:r>
          </w:p>
        </w:tc>
      </w:tr>
      <w:tr>
        <w:trPr>
          <w:trHeight w:val="164"/>
        </w:trPr>
        <w:tc>
          <w:tcPr>
            <w:tcW w:w="3280" w:type="dxa"/>
            <w:vAlign w:val="bottom"/>
            <w:shd w:val="clear" w:color="auto" w:fill="C0C0C0"/>
          </w:tcPr>
          <w:p>
            <w:pPr>
              <w:spacing w:after="0"/>
              <w:rPr>
                <w:sz w:val="14"/>
                <w:szCs w:val="14"/>
                <w:color w:val="auto"/>
              </w:rPr>
            </w:pPr>
          </w:p>
        </w:tc>
        <w:tc>
          <w:tcPr>
            <w:tcW w:w="6220" w:type="dxa"/>
            <w:vAlign w:val="bottom"/>
            <w:shd w:val="clear" w:color="auto" w:fill="C0C0C0"/>
          </w:tcPr>
          <w:p>
            <w:pPr>
              <w:spacing w:after="0"/>
              <w:rPr>
                <w:sz w:val="14"/>
                <w:szCs w:val="14"/>
                <w:color w:val="auto"/>
              </w:rPr>
            </w:pPr>
          </w:p>
        </w:tc>
        <w:tc>
          <w:tcPr>
            <w:tcW w:w="100" w:type="dxa"/>
            <w:vAlign w:val="bottom"/>
            <w:tcBorders>
              <w:bottom w:val="single" w:sz="8" w:color="auto"/>
            </w:tcBorders>
            <w:shd w:val="clear" w:color="auto" w:fill="C0C0C0"/>
          </w:tcPr>
          <w:p>
            <w:pPr>
              <w:spacing w:after="0"/>
              <w:rPr>
                <w:sz w:val="14"/>
                <w:szCs w:val="14"/>
                <w:color w:val="auto"/>
              </w:rPr>
            </w:pPr>
          </w:p>
        </w:tc>
        <w:tc>
          <w:tcPr>
            <w:tcW w:w="760" w:type="dxa"/>
            <w:vAlign w:val="bottom"/>
            <w:tcBorders>
              <w:bottom w:val="single" w:sz="8" w:color="auto"/>
            </w:tcBorders>
            <w:shd w:val="clear" w:color="auto" w:fill="C0C0C0"/>
          </w:tcPr>
          <w:p>
            <w:pPr>
              <w:jc w:val="right"/>
              <w:ind w:right="37"/>
              <w:spacing w:after="0"/>
              <w:rPr>
                <w:sz w:val="20"/>
                <w:szCs w:val="20"/>
                <w:color w:val="auto"/>
              </w:rPr>
            </w:pPr>
            <w:r>
              <w:rPr>
                <w:rFonts w:ascii="Arial" w:cs="Arial" w:eastAsia="Arial" w:hAnsi="Arial"/>
                <w:sz w:val="13"/>
                <w:szCs w:val="13"/>
                <w:color w:val="auto"/>
              </w:rPr>
              <w:t>153,185</w:t>
            </w:r>
          </w:p>
        </w:tc>
        <w:tc>
          <w:tcPr>
            <w:tcW w:w="240" w:type="dxa"/>
            <w:vAlign w:val="bottom"/>
            <w:shd w:val="clear" w:color="auto" w:fill="C0C0C0"/>
          </w:tcPr>
          <w:p>
            <w:pPr>
              <w:spacing w:after="0"/>
              <w:rPr>
                <w:sz w:val="14"/>
                <w:szCs w:val="14"/>
                <w:color w:val="auto"/>
              </w:rPr>
            </w:pPr>
          </w:p>
        </w:tc>
        <w:tc>
          <w:tcPr>
            <w:tcW w:w="180" w:type="dxa"/>
            <w:vAlign w:val="bottom"/>
            <w:tcBorders>
              <w:bottom w:val="single" w:sz="8" w:color="auto"/>
            </w:tcBorders>
            <w:shd w:val="clear" w:color="auto" w:fill="C0C0C0"/>
          </w:tcPr>
          <w:p>
            <w:pPr>
              <w:spacing w:after="0"/>
              <w:rPr>
                <w:sz w:val="14"/>
                <w:szCs w:val="14"/>
                <w:color w:val="auto"/>
              </w:rPr>
            </w:pPr>
          </w:p>
        </w:tc>
        <w:tc>
          <w:tcPr>
            <w:tcW w:w="70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rPr>
              <w:t>132,411</w:t>
            </w:r>
          </w:p>
        </w:tc>
      </w:tr>
      <w:tr>
        <w:trPr>
          <w:trHeight w:val="170"/>
        </w:trPr>
        <w:tc>
          <w:tcPr>
            <w:tcW w:w="32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3280" w:type="dxa"/>
            <w:vAlign w:val="bottom"/>
            <w:shd w:val="clear" w:color="auto" w:fill="C0C0C0"/>
          </w:tcPr>
          <w:p>
            <w:pPr>
              <w:spacing w:after="0"/>
              <w:rPr>
                <w:sz w:val="20"/>
                <w:szCs w:val="20"/>
                <w:color w:val="auto"/>
              </w:rPr>
            </w:pPr>
            <w:r>
              <w:rPr>
                <w:rFonts w:ascii="Arial" w:cs="Arial" w:eastAsia="Arial" w:hAnsi="Arial"/>
                <w:sz w:val="13"/>
                <w:szCs w:val="13"/>
                <w:color w:val="auto"/>
              </w:rPr>
              <w:t>Loss from operations</w:t>
            </w:r>
          </w:p>
        </w:tc>
        <w:tc>
          <w:tcPr>
            <w:tcW w:w="6220" w:type="dxa"/>
            <w:vAlign w:val="bottom"/>
            <w:shd w:val="clear" w:color="auto" w:fill="C0C0C0"/>
          </w:tcPr>
          <w:p>
            <w:pPr>
              <w:spacing w:after="0"/>
              <w:rPr>
                <w:sz w:val="14"/>
                <w:szCs w:val="14"/>
                <w:color w:val="auto"/>
              </w:rPr>
            </w:pPr>
          </w:p>
        </w:tc>
        <w:tc>
          <w:tcPr>
            <w:tcW w:w="100" w:type="dxa"/>
            <w:vAlign w:val="bottom"/>
            <w:tcBorders>
              <w:bottom w:val="single" w:sz="8" w:color="auto"/>
            </w:tcBorders>
            <w:shd w:val="clear" w:color="auto" w:fill="C0C0C0"/>
          </w:tcPr>
          <w:p>
            <w:pPr>
              <w:spacing w:after="0"/>
              <w:rPr>
                <w:sz w:val="14"/>
                <w:szCs w:val="14"/>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(40,981)</w:t>
            </w:r>
          </w:p>
        </w:tc>
        <w:tc>
          <w:tcPr>
            <w:tcW w:w="240" w:type="dxa"/>
            <w:vAlign w:val="bottom"/>
            <w:shd w:val="clear" w:color="auto" w:fill="C0C0C0"/>
          </w:tcPr>
          <w:p>
            <w:pPr>
              <w:spacing w:after="0"/>
              <w:rPr>
                <w:sz w:val="14"/>
                <w:szCs w:val="14"/>
                <w:color w:val="auto"/>
              </w:rPr>
            </w:pPr>
          </w:p>
        </w:tc>
        <w:tc>
          <w:tcPr>
            <w:tcW w:w="180" w:type="dxa"/>
            <w:vAlign w:val="bottom"/>
            <w:tcBorders>
              <w:bottom w:val="single" w:sz="8" w:color="auto"/>
            </w:tcBorders>
            <w:shd w:val="clear" w:color="auto" w:fill="C0C0C0"/>
          </w:tcPr>
          <w:p>
            <w:pPr>
              <w:spacing w:after="0"/>
              <w:rPr>
                <w:sz w:val="14"/>
                <w:szCs w:val="14"/>
                <w:color w:val="auto"/>
              </w:rPr>
            </w:pPr>
          </w:p>
        </w:tc>
        <w:tc>
          <w:tcPr>
            <w:tcW w:w="70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3"/>
                <w:szCs w:val="13"/>
                <w:color w:val="auto"/>
              </w:rPr>
              <w:t>(28,877)</w:t>
            </w:r>
          </w:p>
        </w:tc>
      </w:tr>
      <w:tr>
        <w:trPr>
          <w:trHeight w:val="170"/>
        </w:trPr>
        <w:tc>
          <w:tcPr>
            <w:tcW w:w="32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280" w:type="dxa"/>
            <w:vAlign w:val="bottom"/>
            <w:shd w:val="clear" w:color="auto" w:fill="C0C0C0"/>
          </w:tcPr>
          <w:p>
            <w:pPr>
              <w:spacing w:after="0"/>
              <w:rPr>
                <w:sz w:val="20"/>
                <w:szCs w:val="20"/>
                <w:color w:val="auto"/>
              </w:rPr>
            </w:pPr>
            <w:r>
              <w:rPr>
                <w:rFonts w:ascii="Arial" w:cs="Arial" w:eastAsia="Arial" w:hAnsi="Arial"/>
                <w:sz w:val="13"/>
                <w:szCs w:val="13"/>
                <w:color w:val="auto"/>
              </w:rPr>
              <w:t>Other income (expense)</w:t>
            </w:r>
          </w:p>
        </w:tc>
        <w:tc>
          <w:tcPr>
            <w:tcW w:w="62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700" w:type="dxa"/>
            <w:vAlign w:val="bottom"/>
            <w:shd w:val="clear" w:color="auto" w:fill="C0C0C0"/>
          </w:tcPr>
          <w:p>
            <w:pPr>
              <w:spacing w:after="0"/>
              <w:rPr>
                <w:sz w:val="15"/>
                <w:szCs w:val="15"/>
                <w:color w:val="auto"/>
              </w:rPr>
            </w:pPr>
          </w:p>
        </w:tc>
      </w:tr>
      <w:tr>
        <w:trPr>
          <w:trHeight w:val="169"/>
        </w:trPr>
        <w:tc>
          <w:tcPr>
            <w:tcW w:w="3280" w:type="dxa"/>
            <w:vAlign w:val="bottom"/>
          </w:tcPr>
          <w:p>
            <w:pPr>
              <w:ind w:left="240"/>
              <w:spacing w:after="0"/>
              <w:rPr>
                <w:sz w:val="20"/>
                <w:szCs w:val="20"/>
                <w:color w:val="auto"/>
              </w:rPr>
            </w:pPr>
            <w:r>
              <w:rPr>
                <w:rFonts w:ascii="Arial" w:cs="Arial" w:eastAsia="Arial" w:hAnsi="Arial"/>
                <w:sz w:val="13"/>
                <w:szCs w:val="13"/>
                <w:color w:val="auto"/>
              </w:rPr>
              <w:t>Investment income</w:t>
            </w: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1,037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439</w:t>
            </w:r>
          </w:p>
        </w:tc>
      </w:tr>
      <w:tr>
        <w:trPr>
          <w:trHeight w:val="175"/>
        </w:trPr>
        <w:tc>
          <w:tcPr>
            <w:tcW w:w="3280" w:type="dxa"/>
            <w:vAlign w:val="bottom"/>
            <w:shd w:val="clear" w:color="auto" w:fill="C0C0C0"/>
          </w:tcPr>
          <w:p>
            <w:pPr>
              <w:ind w:left="240"/>
              <w:spacing w:after="0"/>
              <w:rPr>
                <w:sz w:val="20"/>
                <w:szCs w:val="20"/>
                <w:color w:val="auto"/>
              </w:rPr>
            </w:pPr>
            <w:r>
              <w:rPr>
                <w:rFonts w:ascii="Arial" w:cs="Arial" w:eastAsia="Arial" w:hAnsi="Arial"/>
                <w:sz w:val="13"/>
                <w:szCs w:val="13"/>
                <w:color w:val="auto"/>
              </w:rPr>
              <w:t>Interest expense</w:t>
            </w:r>
          </w:p>
        </w:tc>
        <w:tc>
          <w:tcPr>
            <w:tcW w:w="6220" w:type="dxa"/>
            <w:vAlign w:val="bottom"/>
            <w:shd w:val="clear" w:color="auto" w:fill="C0C0C0"/>
          </w:tcPr>
          <w:p>
            <w:pPr>
              <w:spacing w:after="0"/>
              <w:rPr>
                <w:sz w:val="15"/>
                <w:szCs w:val="15"/>
                <w:color w:val="auto"/>
              </w:rPr>
            </w:pPr>
          </w:p>
        </w:tc>
        <w:tc>
          <w:tcPr>
            <w:tcW w:w="100" w:type="dxa"/>
            <w:vAlign w:val="bottom"/>
            <w:tcBorders>
              <w:bottom w:val="single" w:sz="8" w:color="auto"/>
            </w:tcBorders>
            <w:shd w:val="clear" w:color="auto" w:fill="C0C0C0"/>
          </w:tcPr>
          <w:p>
            <w:pPr>
              <w:spacing w:after="0"/>
              <w:rPr>
                <w:sz w:val="15"/>
                <w:szCs w:val="15"/>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(3,719)</w:t>
            </w:r>
          </w:p>
        </w:tc>
        <w:tc>
          <w:tcPr>
            <w:tcW w:w="240" w:type="dxa"/>
            <w:vAlign w:val="bottom"/>
            <w:shd w:val="clear" w:color="auto" w:fill="C0C0C0"/>
          </w:tcPr>
          <w:p>
            <w:pPr>
              <w:spacing w:after="0"/>
              <w:rPr>
                <w:sz w:val="15"/>
                <w:szCs w:val="15"/>
                <w:color w:val="auto"/>
              </w:rPr>
            </w:pPr>
          </w:p>
        </w:tc>
        <w:tc>
          <w:tcPr>
            <w:tcW w:w="180" w:type="dxa"/>
            <w:vAlign w:val="bottom"/>
            <w:tcBorders>
              <w:bottom w:val="single" w:sz="8" w:color="auto"/>
            </w:tcBorders>
            <w:shd w:val="clear" w:color="auto" w:fill="C0C0C0"/>
          </w:tcPr>
          <w:p>
            <w:pPr>
              <w:spacing w:after="0"/>
              <w:rPr>
                <w:sz w:val="15"/>
                <w:szCs w:val="15"/>
                <w:color w:val="auto"/>
              </w:rPr>
            </w:pPr>
          </w:p>
        </w:tc>
        <w:tc>
          <w:tcPr>
            <w:tcW w:w="70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3"/>
                <w:szCs w:val="13"/>
                <w:color w:val="auto"/>
              </w:rPr>
              <w:t>(2,084)</w:t>
            </w:r>
          </w:p>
        </w:tc>
      </w:tr>
      <w:tr>
        <w:trPr>
          <w:trHeight w:val="164"/>
        </w:trPr>
        <w:tc>
          <w:tcPr>
            <w:tcW w:w="32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(1,645)</w:t>
            </w:r>
          </w:p>
        </w:tc>
      </w:tr>
      <w:tr>
        <w:trPr>
          <w:trHeight w:val="170"/>
        </w:trPr>
        <w:tc>
          <w:tcPr>
            <w:tcW w:w="32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280" w:type="dxa"/>
            <w:vAlign w:val="bottom"/>
            <w:shd w:val="clear" w:color="auto" w:fill="C0C0C0"/>
          </w:tcPr>
          <w:p>
            <w:pPr>
              <w:spacing w:after="0"/>
              <w:rPr>
                <w:sz w:val="20"/>
                <w:szCs w:val="20"/>
                <w:color w:val="auto"/>
              </w:rPr>
            </w:pPr>
            <w:r>
              <w:rPr>
                <w:rFonts w:ascii="Arial" w:cs="Arial" w:eastAsia="Arial" w:hAnsi="Arial"/>
                <w:sz w:val="13"/>
                <w:szCs w:val="13"/>
                <w:color w:val="auto"/>
              </w:rPr>
              <w:t>Net loss before income tax benefit</w:t>
            </w:r>
          </w:p>
        </w:tc>
        <w:tc>
          <w:tcPr>
            <w:tcW w:w="62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(43,663)</w:t>
            </w: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(30,522)</w:t>
            </w:r>
          </w:p>
        </w:tc>
      </w:tr>
      <w:tr>
        <w:trPr>
          <w:trHeight w:val="175"/>
        </w:trPr>
        <w:tc>
          <w:tcPr>
            <w:tcW w:w="328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9"/>
        </w:trPr>
        <w:tc>
          <w:tcPr>
            <w:tcW w:w="3280" w:type="dxa"/>
            <w:vAlign w:val="bottom"/>
            <w:shd w:val="clear" w:color="auto" w:fill="C0C0C0"/>
          </w:tcPr>
          <w:p>
            <w:pPr>
              <w:spacing w:after="0"/>
              <w:rPr>
                <w:sz w:val="20"/>
                <w:szCs w:val="20"/>
                <w:color w:val="auto"/>
              </w:rPr>
            </w:pPr>
            <w:r>
              <w:rPr>
                <w:rFonts w:ascii="Arial" w:cs="Arial" w:eastAsia="Arial" w:hAnsi="Arial"/>
                <w:sz w:val="13"/>
                <w:szCs w:val="13"/>
                <w:color w:val="auto"/>
              </w:rPr>
              <w:t>Income tax benefit</w:t>
            </w:r>
          </w:p>
        </w:tc>
        <w:tc>
          <w:tcPr>
            <w:tcW w:w="6220" w:type="dxa"/>
            <w:vAlign w:val="bottom"/>
            <w:shd w:val="clear" w:color="auto" w:fill="C0C0C0"/>
          </w:tcPr>
          <w:p>
            <w:pPr>
              <w:spacing w:after="0"/>
              <w:rPr>
                <w:sz w:val="14"/>
                <w:szCs w:val="14"/>
                <w:color w:val="auto"/>
              </w:rPr>
            </w:pPr>
          </w:p>
        </w:tc>
        <w:tc>
          <w:tcPr>
            <w:tcW w:w="100" w:type="dxa"/>
            <w:vAlign w:val="bottom"/>
            <w:tcBorders>
              <w:bottom w:val="single" w:sz="8" w:color="auto"/>
            </w:tcBorders>
            <w:shd w:val="clear" w:color="auto" w:fill="C0C0C0"/>
          </w:tcPr>
          <w:p>
            <w:pPr>
              <w:spacing w:after="0"/>
              <w:rPr>
                <w:sz w:val="14"/>
                <w:szCs w:val="14"/>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(216)</w:t>
            </w:r>
          </w:p>
        </w:tc>
        <w:tc>
          <w:tcPr>
            <w:tcW w:w="240" w:type="dxa"/>
            <w:vAlign w:val="bottom"/>
            <w:shd w:val="clear" w:color="auto" w:fill="C0C0C0"/>
          </w:tcPr>
          <w:p>
            <w:pPr>
              <w:spacing w:after="0"/>
              <w:rPr>
                <w:sz w:val="14"/>
                <w:szCs w:val="14"/>
                <w:color w:val="auto"/>
              </w:rPr>
            </w:pPr>
          </w:p>
        </w:tc>
        <w:tc>
          <w:tcPr>
            <w:tcW w:w="180" w:type="dxa"/>
            <w:vAlign w:val="bottom"/>
            <w:tcBorders>
              <w:bottom w:val="single" w:sz="8" w:color="auto"/>
            </w:tcBorders>
            <w:shd w:val="clear" w:color="auto" w:fill="C0C0C0"/>
          </w:tcPr>
          <w:p>
            <w:pPr>
              <w:spacing w:after="0"/>
              <w:rPr>
                <w:sz w:val="14"/>
                <w:szCs w:val="14"/>
                <w:color w:val="auto"/>
              </w:rPr>
            </w:pPr>
          </w:p>
        </w:tc>
        <w:tc>
          <w:tcPr>
            <w:tcW w:w="700" w:type="dxa"/>
            <w:vAlign w:val="bottom"/>
            <w:tcBorders>
              <w:bottom w:val="single" w:sz="8" w:color="auto"/>
            </w:tcBorders>
            <w:shd w:val="clear" w:color="auto" w:fill="C0C0C0"/>
          </w:tcPr>
          <w:p>
            <w:pPr>
              <w:spacing w:after="0"/>
              <w:rPr>
                <w:sz w:val="14"/>
                <w:szCs w:val="14"/>
                <w:color w:val="auto"/>
              </w:rPr>
            </w:pPr>
          </w:p>
        </w:tc>
      </w:tr>
      <w:tr>
        <w:trPr>
          <w:trHeight w:val="170"/>
        </w:trPr>
        <w:tc>
          <w:tcPr>
            <w:tcW w:w="32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4"/>
        </w:trPr>
        <w:tc>
          <w:tcPr>
            <w:tcW w:w="3280" w:type="dxa"/>
            <w:vAlign w:val="bottom"/>
            <w:shd w:val="clear" w:color="auto" w:fill="C0C0C0"/>
          </w:tcPr>
          <w:p>
            <w:pPr>
              <w:spacing w:after="0"/>
              <w:rPr>
                <w:sz w:val="20"/>
                <w:szCs w:val="20"/>
                <w:color w:val="auto"/>
              </w:rPr>
            </w:pPr>
            <w:r>
              <w:rPr>
                <w:rFonts w:ascii="Arial" w:cs="Arial" w:eastAsia="Arial" w:hAnsi="Arial"/>
                <w:sz w:val="13"/>
                <w:szCs w:val="13"/>
                <w:color w:val="auto"/>
              </w:rPr>
              <w:t>Net loss</w:t>
            </w:r>
          </w:p>
        </w:tc>
        <w:tc>
          <w:tcPr>
            <w:tcW w:w="6320" w:type="dxa"/>
            <w:vAlign w:val="bottom"/>
            <w:gridSpan w:val="2"/>
            <w:shd w:val="clear" w:color="auto" w:fill="C0C0C0"/>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(43,447)</w:t>
            </w: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(30,522)</w:t>
            </w:r>
          </w:p>
        </w:tc>
      </w:tr>
      <w:tr>
        <w:trPr>
          <w:trHeight w:val="175"/>
        </w:trPr>
        <w:tc>
          <w:tcPr>
            <w:tcW w:w="3280" w:type="dxa"/>
            <w:vAlign w:val="bottom"/>
            <w:tcBorders>
              <w:top w:val="single" w:sz="8" w:color="C0C0C0"/>
            </w:tcBorders>
          </w:tcPr>
          <w:p>
            <w:pPr>
              <w:spacing w:after="0"/>
              <w:rPr>
                <w:sz w:val="15"/>
                <w:szCs w:val="15"/>
                <w:color w:val="auto"/>
              </w:rPr>
            </w:pPr>
          </w:p>
        </w:tc>
        <w:tc>
          <w:tcPr>
            <w:tcW w:w="6220" w:type="dxa"/>
            <w:vAlign w:val="bottom"/>
            <w:tcBorders>
              <w:top w:val="single" w:sz="8" w:color="C0C0C0"/>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C0C0C0"/>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175"/>
        </w:trPr>
        <w:tc>
          <w:tcPr>
            <w:tcW w:w="3280" w:type="dxa"/>
            <w:vAlign w:val="bottom"/>
            <w:shd w:val="clear" w:color="auto" w:fill="C0C0C0"/>
          </w:tcPr>
          <w:p>
            <w:pPr>
              <w:spacing w:after="0"/>
              <w:rPr>
                <w:sz w:val="20"/>
                <w:szCs w:val="20"/>
                <w:color w:val="auto"/>
              </w:rPr>
            </w:pPr>
            <w:r>
              <w:rPr>
                <w:rFonts w:ascii="Arial" w:cs="Arial" w:eastAsia="Arial" w:hAnsi="Arial"/>
                <w:sz w:val="13"/>
                <w:szCs w:val="13"/>
                <w:color w:val="auto"/>
              </w:rPr>
              <w:t>Net loss per share, basic and diluted</w:t>
            </w:r>
          </w:p>
        </w:tc>
        <w:tc>
          <w:tcPr>
            <w:tcW w:w="6320" w:type="dxa"/>
            <w:vAlign w:val="bottom"/>
            <w:gridSpan w:val="2"/>
            <w:shd w:val="clear" w:color="auto" w:fill="C0C0C0"/>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(0.49)</w:t>
            </w: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(0.38)</w:t>
            </w:r>
          </w:p>
        </w:tc>
      </w:tr>
      <w:tr>
        <w:trPr>
          <w:trHeight w:val="175"/>
        </w:trPr>
        <w:tc>
          <w:tcPr>
            <w:tcW w:w="328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5"/>
        </w:trPr>
        <w:tc>
          <w:tcPr>
            <w:tcW w:w="3280" w:type="dxa"/>
            <w:vAlign w:val="bottom"/>
            <w:shd w:val="clear" w:color="auto" w:fill="C0C0C0"/>
          </w:tcPr>
          <w:p>
            <w:pPr>
              <w:spacing w:after="0"/>
              <w:rPr>
                <w:sz w:val="20"/>
                <w:szCs w:val="20"/>
                <w:color w:val="auto"/>
              </w:rPr>
            </w:pPr>
            <w:r>
              <w:rPr>
                <w:rFonts w:ascii="Arial" w:cs="Arial" w:eastAsia="Arial" w:hAnsi="Arial"/>
                <w:sz w:val="13"/>
                <w:szCs w:val="13"/>
                <w:color w:val="auto"/>
              </w:rPr>
              <w:t>Weighted average shares outstanding, basic and diluted</w:t>
            </w:r>
          </w:p>
        </w:tc>
        <w:tc>
          <w:tcPr>
            <w:tcW w:w="62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89,162</w:t>
            </w: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81,169</w:t>
            </w:r>
          </w:p>
        </w:tc>
      </w:tr>
      <w:tr>
        <w:trPr>
          <w:trHeight w:val="329"/>
        </w:trPr>
        <w:tc>
          <w:tcPr>
            <w:tcW w:w="3280" w:type="dxa"/>
            <w:vAlign w:val="bottom"/>
          </w:tcPr>
          <w:p>
            <w:pPr>
              <w:spacing w:after="0"/>
              <w:rPr>
                <w:sz w:val="24"/>
                <w:szCs w:val="24"/>
                <w:color w:val="auto"/>
              </w:rPr>
            </w:pPr>
          </w:p>
        </w:tc>
        <w:tc>
          <w:tcPr>
            <w:tcW w:w="6320" w:type="dxa"/>
            <w:vAlign w:val="bottom"/>
            <w:gridSpan w:val="2"/>
          </w:tcPr>
          <w:p>
            <w:pPr>
              <w:jc w:val="center"/>
              <w:ind w:right="1420"/>
              <w:spacing w:after="0"/>
              <w:rPr>
                <w:sz w:val="20"/>
                <w:szCs w:val="20"/>
                <w:color w:val="auto"/>
              </w:rPr>
            </w:pPr>
            <w:r>
              <w:rPr>
                <w:rFonts w:ascii="Arial" w:cs="Arial" w:eastAsia="Arial" w:hAnsi="Arial"/>
                <w:sz w:val="13"/>
                <w:szCs w:val="13"/>
                <w:b w:val="1"/>
                <w:bCs w:val="1"/>
                <w:color w:val="auto"/>
                <w:w w:val="87"/>
              </w:rPr>
              <w:t>The accompanying notes are an integral part of the financial statements.</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5"/>
        </w:trPr>
        <w:tc>
          <w:tcPr>
            <w:tcW w:w="328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368"/>
        </w:trPr>
        <w:tc>
          <w:tcPr>
            <w:tcW w:w="3280" w:type="dxa"/>
            <w:vAlign w:val="bottom"/>
          </w:tcPr>
          <w:p>
            <w:pPr>
              <w:spacing w:after="0"/>
              <w:rPr>
                <w:sz w:val="24"/>
                <w:szCs w:val="24"/>
                <w:color w:val="auto"/>
              </w:rPr>
            </w:pPr>
          </w:p>
        </w:tc>
        <w:tc>
          <w:tcPr>
            <w:tcW w:w="6220" w:type="dxa"/>
            <w:vAlign w:val="bottom"/>
          </w:tcPr>
          <w:p>
            <w:pPr>
              <w:jc w:val="right"/>
              <w:ind w:right="36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8"/>
        </w:trPr>
        <w:tc>
          <w:tcPr>
            <w:tcW w:w="3280" w:type="dxa"/>
            <w:vAlign w:val="bottom"/>
            <w:tcBorders>
              <w:bottom w:val="single" w:sz="8" w:color="808080"/>
            </w:tcBorders>
          </w:tcPr>
          <w:p>
            <w:pPr>
              <w:spacing w:after="0"/>
              <w:rPr>
                <w:sz w:val="22"/>
                <w:szCs w:val="22"/>
                <w:color w:val="auto"/>
              </w:rPr>
            </w:pPr>
          </w:p>
        </w:tc>
        <w:tc>
          <w:tcPr>
            <w:tcW w:w="622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70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CONDENSED STATEMENTS OF STOCKHOLDERS' EQUITY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 March 31, 2011 and 2010</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5"/>
              </w:rPr>
              <w:t>Accumulated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75"/>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Other</w:t>
            </w:r>
          </w:p>
        </w:tc>
        <w:tc>
          <w:tcPr>
            <w:tcW w:w="120" w:type="dxa"/>
            <w:vAlign w:val="bottom"/>
          </w:tcPr>
          <w:p>
            <w:pPr>
              <w:spacing w:after="0"/>
              <w:rPr>
                <w:sz w:val="15"/>
                <w:szCs w:val="15"/>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3"/>
              </w:rPr>
              <w:t>Total</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ind w:left="180"/>
              <w:spacing w:after="0"/>
              <w:rPr>
                <w:sz w:val="20"/>
                <w:szCs w:val="20"/>
                <w:color w:val="auto"/>
              </w:rPr>
            </w:pPr>
            <w:r>
              <w:rPr>
                <w:rFonts w:ascii="Arial" w:cs="Arial" w:eastAsia="Arial" w:hAnsi="Arial"/>
                <w:sz w:val="10"/>
                <w:szCs w:val="10"/>
                <w:b w:val="1"/>
                <w:bCs w:val="1"/>
                <w:color w:val="auto"/>
                <w:w w:val="89"/>
              </w:rPr>
              <w:t>Class A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140"/>
              <w:spacing w:after="0"/>
              <w:rPr>
                <w:sz w:val="20"/>
                <w:szCs w:val="20"/>
                <w:color w:val="auto"/>
              </w:rPr>
            </w:pPr>
            <w:r>
              <w:rPr>
                <w:rFonts w:ascii="Arial" w:cs="Arial" w:eastAsia="Arial" w:hAnsi="Arial"/>
                <w:sz w:val="10"/>
                <w:szCs w:val="10"/>
                <w:b w:val="1"/>
                <w:bCs w:val="1"/>
                <w:color w:val="auto"/>
                <w:w w:val="84"/>
              </w:rPr>
              <w:t>Common Stock</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Paid-in</w:t>
            </w:r>
          </w:p>
        </w:tc>
        <w:tc>
          <w:tcPr>
            <w:tcW w:w="600" w:type="dxa"/>
            <w:vAlign w:val="bottom"/>
            <w:gridSpan w:val="2"/>
          </w:tcPr>
          <w:p>
            <w:pPr>
              <w:jc w:val="right"/>
              <w:spacing w:after="0"/>
              <w:rPr>
                <w:sz w:val="20"/>
                <w:szCs w:val="20"/>
                <w:color w:val="auto"/>
              </w:rPr>
            </w:pPr>
            <w:r>
              <w:rPr>
                <w:rFonts w:ascii="Arial" w:cs="Arial" w:eastAsia="Arial" w:hAnsi="Arial"/>
                <w:sz w:val="10"/>
                <w:szCs w:val="10"/>
                <w:b w:val="1"/>
                <w:bCs w:val="1"/>
                <w:color w:val="auto"/>
                <w:w w:val="89"/>
              </w:rPr>
              <w:t>Accumulated</w:t>
            </w:r>
          </w:p>
        </w:tc>
        <w:tc>
          <w:tcPr>
            <w:tcW w:w="1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0"/>
                <w:szCs w:val="10"/>
                <w:b w:val="1"/>
                <w:bCs w:val="1"/>
                <w:color w:val="auto"/>
                <w:w w:val="93"/>
              </w:rPr>
              <w:t>Comprehensive</w:t>
            </w:r>
          </w:p>
        </w:tc>
        <w:tc>
          <w:tcPr>
            <w:tcW w:w="7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5"/>
              </w:rPr>
              <w:t>Stockholders'</w:t>
            </w:r>
          </w:p>
        </w:tc>
        <w:tc>
          <w:tcPr>
            <w:tcW w:w="680" w:type="dxa"/>
            <w:vAlign w:val="bottom"/>
            <w:gridSpan w:val="2"/>
          </w:tcPr>
          <w:p>
            <w:pPr>
              <w:jc w:val="right"/>
              <w:spacing w:after="0"/>
              <w:rPr>
                <w:sz w:val="20"/>
                <w:szCs w:val="20"/>
                <w:color w:val="auto"/>
              </w:rPr>
            </w:pPr>
            <w:r>
              <w:rPr>
                <w:rFonts w:ascii="Arial" w:cs="Arial" w:eastAsia="Arial" w:hAnsi="Arial"/>
                <w:sz w:val="10"/>
                <w:szCs w:val="10"/>
                <w:b w:val="1"/>
                <w:bCs w:val="1"/>
                <w:color w:val="auto"/>
                <w:w w:val="87"/>
              </w:rPr>
              <w:t>Comprehensive</w:t>
            </w:r>
          </w:p>
        </w:tc>
      </w:tr>
      <w:tr>
        <w:trPr>
          <w:trHeight w:val="30"/>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34"/>
        </w:trPr>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31"/>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Arial" w:cs="Arial" w:eastAsia="Arial" w:hAnsi="Arial"/>
                <w:sz w:val="10"/>
                <w:szCs w:val="10"/>
                <w:b w:val="1"/>
                <w:bCs w:val="1"/>
                <w:color w:val="auto"/>
              </w:rPr>
              <w:t>Amount</w:t>
            </w:r>
          </w:p>
        </w:tc>
        <w:tc>
          <w:tcPr>
            <w:tcW w:w="560" w:type="dxa"/>
            <w:vAlign w:val="bottom"/>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340" w:type="dxa"/>
            <w:vAlign w:val="bottom"/>
            <w:gridSpan w:val="2"/>
          </w:tcPr>
          <w:p>
            <w:pPr>
              <w:spacing w:after="0"/>
              <w:rPr>
                <w:sz w:val="20"/>
                <w:szCs w:val="20"/>
                <w:color w:val="auto"/>
              </w:rPr>
            </w:pPr>
            <w:r>
              <w:rPr>
                <w:rFonts w:ascii="Arial" w:cs="Arial" w:eastAsia="Arial" w:hAnsi="Arial"/>
                <w:sz w:val="10"/>
                <w:szCs w:val="10"/>
                <w:b w:val="1"/>
                <w:bCs w:val="1"/>
                <w:color w:val="auto"/>
                <w:w w:val="84"/>
              </w:rPr>
              <w:t>Amount</w:t>
            </w:r>
          </w:p>
        </w:tc>
        <w:tc>
          <w:tcPr>
            <w:tcW w:w="18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Capital</w:t>
            </w:r>
          </w:p>
        </w:tc>
        <w:tc>
          <w:tcPr>
            <w:tcW w:w="100" w:type="dxa"/>
            <w:vAlign w:val="bottom"/>
          </w:tcPr>
          <w:p>
            <w:pPr>
              <w:spacing w:after="0"/>
              <w:rPr>
                <w:sz w:val="11"/>
                <w:szCs w:val="11"/>
                <w:color w:val="auto"/>
              </w:rPr>
            </w:pPr>
          </w:p>
        </w:tc>
        <w:tc>
          <w:tcPr>
            <w:tcW w:w="500" w:type="dxa"/>
            <w:vAlign w:val="bottom"/>
          </w:tcPr>
          <w:p>
            <w:pPr>
              <w:jc w:val="right"/>
              <w:ind w:right="111"/>
              <w:spacing w:after="0"/>
              <w:rPr>
                <w:sz w:val="20"/>
                <w:szCs w:val="20"/>
                <w:color w:val="auto"/>
              </w:rPr>
            </w:pPr>
            <w:r>
              <w:rPr>
                <w:rFonts w:ascii="Arial" w:cs="Arial" w:eastAsia="Arial" w:hAnsi="Arial"/>
                <w:sz w:val="10"/>
                <w:szCs w:val="10"/>
                <w:b w:val="1"/>
                <w:bCs w:val="1"/>
                <w:color w:val="auto"/>
              </w:rPr>
              <w:t>Deficit</w:t>
            </w:r>
          </w:p>
        </w:tc>
        <w:tc>
          <w:tcPr>
            <w:tcW w:w="18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Income (Loss)</w:t>
            </w:r>
          </w:p>
        </w:tc>
        <w:tc>
          <w:tcPr>
            <w:tcW w:w="12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Equity</w:t>
            </w:r>
          </w:p>
        </w:tc>
        <w:tc>
          <w:tcPr>
            <w:tcW w:w="160" w:type="dxa"/>
            <w:vAlign w:val="bottom"/>
          </w:tcPr>
          <w:p>
            <w:pPr>
              <w:spacing w:after="0"/>
              <w:rPr>
                <w:sz w:val="11"/>
                <w:szCs w:val="11"/>
                <w:color w:val="auto"/>
              </w:rPr>
            </w:pPr>
          </w:p>
        </w:tc>
        <w:tc>
          <w:tcPr>
            <w:tcW w:w="520" w:type="dxa"/>
            <w:vAlign w:val="bottom"/>
          </w:tcPr>
          <w:p>
            <w:pPr>
              <w:jc w:val="right"/>
              <w:ind w:right="191"/>
              <w:spacing w:after="0"/>
              <w:rPr>
                <w:sz w:val="20"/>
                <w:szCs w:val="20"/>
                <w:color w:val="auto"/>
              </w:rPr>
            </w:pPr>
            <w:r>
              <w:rPr>
                <w:rFonts w:ascii="Arial" w:cs="Arial" w:eastAsia="Arial" w:hAnsi="Arial"/>
                <w:sz w:val="10"/>
                <w:szCs w:val="10"/>
                <w:b w:val="1"/>
                <w:bCs w:val="1"/>
                <w:color w:val="auto"/>
              </w:rPr>
              <w:t>Loss</w:t>
            </w:r>
          </w:p>
        </w:tc>
      </w:tr>
      <w:tr>
        <w:trPr>
          <w:trHeight w:val="30"/>
        </w:trPr>
        <w:tc>
          <w:tcPr>
            <w:tcW w:w="5780" w:type="dxa"/>
            <w:vAlign w:val="bottom"/>
            <w:tcBorders>
              <w:bottom w:val="single" w:sz="8" w:color="C0C0C0"/>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C0C0C0"/>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0C0C0"/>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44"/>
        </w:trPr>
        <w:tc>
          <w:tcPr>
            <w:tcW w:w="57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0"/>
                <w:szCs w:val="10"/>
                <w:b w:val="1"/>
                <w:bCs w:val="1"/>
                <w:color w:val="auto"/>
              </w:rPr>
              <w:t>Balance, December 31, 2010</w:t>
            </w:r>
          </w:p>
        </w:tc>
        <w:tc>
          <w:tcPr>
            <w:tcW w:w="5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0"/>
                <w:szCs w:val="10"/>
                <w:color w:val="auto"/>
              </w:rPr>
              <w:t>2,182</w:t>
            </w:r>
          </w:p>
        </w:tc>
        <w:tc>
          <w:tcPr>
            <w:tcW w:w="360" w:type="dxa"/>
            <w:vAlign w:val="bottom"/>
            <w:tcBorders>
              <w:bottom w:val="single" w:sz="8" w:color="C0C0C0"/>
            </w:tcBorders>
            <w:gridSpan w:val="2"/>
            <w:shd w:val="clear" w:color="auto" w:fill="C0C0C0"/>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C0C0C0"/>
            </w:tcBorders>
            <w:shd w:val="clear" w:color="auto" w:fill="C0C0C0"/>
          </w:tcPr>
          <w:p>
            <w:pPr>
              <w:spacing w:after="0"/>
              <w:rPr>
                <w:sz w:val="12"/>
                <w:szCs w:val="12"/>
                <w:color w:val="auto"/>
              </w:rPr>
            </w:pPr>
          </w:p>
        </w:tc>
        <w:tc>
          <w:tcPr>
            <w:tcW w:w="56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0"/>
                <w:szCs w:val="10"/>
                <w:color w:val="auto"/>
              </w:rPr>
              <w:t>87,238</w:t>
            </w:r>
          </w:p>
        </w:tc>
        <w:tc>
          <w:tcPr>
            <w:tcW w:w="2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89"/>
              </w:rPr>
              <w:t>87</w:t>
            </w:r>
          </w:p>
        </w:tc>
        <w:tc>
          <w:tcPr>
            <w:tcW w:w="180" w:type="dxa"/>
            <w:vAlign w:val="bottom"/>
            <w:tcBorders>
              <w:bottom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1,575,780</w:t>
            </w:r>
          </w:p>
        </w:tc>
        <w:tc>
          <w:tcPr>
            <w:tcW w:w="120" w:type="dxa"/>
            <w:vAlign w:val="bottom"/>
            <w:tcBorders>
              <w:bottom w:val="single" w:sz="8" w:color="C0C0C0"/>
            </w:tcBorders>
            <w:shd w:val="clear" w:color="auto" w:fill="C0C0C0"/>
          </w:tcPr>
          <w:p>
            <w:pPr>
              <w:spacing w:after="0"/>
              <w:rPr>
                <w:sz w:val="12"/>
                <w:szCs w:val="12"/>
                <w:color w:val="auto"/>
              </w:rPr>
            </w:pPr>
          </w:p>
        </w:tc>
        <w:tc>
          <w:tcPr>
            <w:tcW w:w="100" w:type="dxa"/>
            <w:vAlign w:val="bottom"/>
            <w:tcBorders>
              <w:bottom w:val="single" w:sz="8" w:color="C0C0C0"/>
            </w:tcBorders>
            <w:shd w:val="clear" w:color="auto" w:fill="C0C0C0"/>
          </w:tcPr>
          <w:p>
            <w:pPr>
              <w:jc w:val="right"/>
              <w:ind w:right="31"/>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93"/>
              </w:rPr>
              <w:t>(1,045,563)</w:t>
            </w:r>
          </w:p>
        </w:tc>
        <w:tc>
          <w:tcPr>
            <w:tcW w:w="180" w:type="dxa"/>
            <w:vAlign w:val="bottom"/>
            <w:tcBorders>
              <w:bottom w:val="single" w:sz="8" w:color="C0C0C0"/>
              <w:right w:val="single" w:sz="8" w:color="C0C0C0"/>
            </w:tcBorders>
            <w:shd w:val="clear" w:color="auto" w:fill="C0C0C0"/>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(2,491)</w:t>
            </w:r>
          </w:p>
        </w:tc>
        <w:tc>
          <w:tcPr>
            <w:tcW w:w="120" w:type="dxa"/>
            <w:vAlign w:val="bottom"/>
            <w:tcBorders>
              <w:bottom w:val="single" w:sz="8" w:color="C0C0C0"/>
            </w:tcBorders>
            <w:shd w:val="clear" w:color="auto" w:fill="C0C0C0"/>
          </w:tcPr>
          <w:p>
            <w:pPr>
              <w:spacing w:after="0"/>
              <w:rPr>
                <w:sz w:val="12"/>
                <w:szCs w:val="12"/>
                <w:color w:val="auto"/>
              </w:rPr>
            </w:pPr>
          </w:p>
        </w:tc>
        <w:tc>
          <w:tcPr>
            <w:tcW w:w="120" w:type="dxa"/>
            <w:vAlign w:val="bottom"/>
            <w:tcBorders>
              <w:bottom w:val="single" w:sz="8" w:color="C0C0C0"/>
            </w:tcBorders>
            <w:shd w:val="clear" w:color="auto" w:fill="C0C0C0"/>
          </w:tcPr>
          <w:p>
            <w:pPr>
              <w:jc w:val="right"/>
              <w:ind w:right="51"/>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527,815</w:t>
            </w:r>
          </w:p>
        </w:tc>
        <w:tc>
          <w:tcPr>
            <w:tcW w:w="100" w:type="dxa"/>
            <w:vAlign w:val="bottom"/>
            <w:tcBorders>
              <w:bottom w:val="single" w:sz="8" w:color="C0C0C0"/>
            </w:tcBorders>
            <w:shd w:val="clear" w:color="auto" w:fill="C0C0C0"/>
          </w:tcPr>
          <w:p>
            <w:pPr>
              <w:spacing w:after="0"/>
              <w:rPr>
                <w:sz w:val="12"/>
                <w:szCs w:val="12"/>
                <w:color w:val="auto"/>
              </w:rPr>
            </w:pPr>
          </w:p>
        </w:tc>
        <w:tc>
          <w:tcPr>
            <w:tcW w:w="160" w:type="dxa"/>
            <w:vAlign w:val="bottom"/>
            <w:tcBorders>
              <w:bottom w:val="single" w:sz="8" w:color="C0C0C0"/>
            </w:tcBorders>
            <w:shd w:val="clear" w:color="auto" w:fill="C0C0C0"/>
          </w:tcPr>
          <w:p>
            <w:pPr>
              <w:spacing w:after="0"/>
              <w:rPr>
                <w:sz w:val="12"/>
                <w:szCs w:val="12"/>
                <w:color w:val="auto"/>
              </w:rPr>
            </w:pPr>
          </w:p>
        </w:tc>
        <w:tc>
          <w:tcPr>
            <w:tcW w:w="520" w:type="dxa"/>
            <w:vAlign w:val="bottom"/>
            <w:tcBorders>
              <w:bottom w:val="single" w:sz="8" w:color="C0C0C0"/>
            </w:tcBorders>
            <w:shd w:val="clear" w:color="auto" w:fill="C0C0C0"/>
          </w:tcPr>
          <w:p>
            <w:pPr>
              <w:spacing w:after="0"/>
              <w:rPr>
                <w:sz w:val="12"/>
                <w:szCs w:val="12"/>
                <w:color w:val="auto"/>
              </w:rPr>
            </w:pPr>
          </w:p>
        </w:tc>
      </w:tr>
      <w:tr>
        <w:trPr>
          <w:trHeight w:val="144"/>
        </w:trPr>
        <w:tc>
          <w:tcPr>
            <w:tcW w:w="5780" w:type="dxa"/>
            <w:vAlign w:val="bottom"/>
          </w:tcPr>
          <w:p>
            <w:pPr>
              <w:spacing w:after="0"/>
              <w:rPr>
                <w:sz w:val="20"/>
                <w:szCs w:val="20"/>
                <w:color w:val="auto"/>
              </w:rPr>
            </w:pPr>
            <w:r>
              <w:rPr>
                <w:rFonts w:ascii="Arial" w:cs="Arial" w:eastAsia="Arial" w:hAnsi="Arial"/>
                <w:sz w:val="10"/>
                <w:szCs w:val="10"/>
                <w:color w:val="auto"/>
              </w:rPr>
              <w:t>Issuance of Common Stock in connection with</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5"/>
        </w:trPr>
        <w:tc>
          <w:tcPr>
            <w:tcW w:w="5780" w:type="dxa"/>
            <w:vAlign w:val="bottom"/>
          </w:tcPr>
          <w:p>
            <w:pPr>
              <w:ind w:left="220"/>
              <w:spacing w:after="0"/>
              <w:rPr>
                <w:sz w:val="20"/>
                <w:szCs w:val="20"/>
                <w:color w:val="auto"/>
              </w:rPr>
            </w:pPr>
            <w:r>
              <w:rPr>
                <w:rFonts w:ascii="Arial" w:cs="Arial" w:eastAsia="Arial" w:hAnsi="Arial"/>
                <w:sz w:val="10"/>
                <w:szCs w:val="10"/>
                <w:color w:val="auto"/>
              </w:rPr>
              <w:t>exercise of stock options, net of shares tendered</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1,218</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2</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15,102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15,104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0"/>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44"/>
        </w:trPr>
        <w:tc>
          <w:tcPr>
            <w:tcW w:w="5780" w:type="dxa"/>
            <w:vAlign w:val="bottom"/>
            <w:shd w:val="clear" w:color="auto" w:fill="C0C0C0"/>
          </w:tcPr>
          <w:p>
            <w:pPr>
              <w:spacing w:after="0"/>
              <w:rPr>
                <w:sz w:val="20"/>
                <w:szCs w:val="20"/>
                <w:color w:val="auto"/>
              </w:rPr>
            </w:pPr>
            <w:r>
              <w:rPr>
                <w:rFonts w:ascii="Arial" w:cs="Arial" w:eastAsia="Arial" w:hAnsi="Arial"/>
                <w:sz w:val="10"/>
                <w:szCs w:val="10"/>
                <w:color w:val="auto"/>
              </w:rPr>
              <w:t>Issuance of Common Stock in connection with</w:t>
            </w:r>
          </w:p>
        </w:tc>
        <w:tc>
          <w:tcPr>
            <w:tcW w:w="100" w:type="dxa"/>
            <w:vAlign w:val="bottom"/>
            <w:shd w:val="clear" w:color="auto" w:fill="C0C0C0"/>
          </w:tcPr>
          <w:p>
            <w:pPr>
              <w:spacing w:after="0"/>
              <w:rPr>
                <w:sz w:val="12"/>
                <w:szCs w:val="12"/>
                <w:color w:val="auto"/>
              </w:rPr>
            </w:pPr>
          </w:p>
        </w:tc>
        <w:tc>
          <w:tcPr>
            <w:tcW w:w="4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80" w:type="dxa"/>
            <w:vAlign w:val="bottom"/>
            <w:tcBorders>
              <w:right w:val="single" w:sz="8" w:color="C0C0C0"/>
            </w:tcBorders>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500" w:type="dxa"/>
            <w:vAlign w:val="bottom"/>
            <w:shd w:val="clear" w:color="auto" w:fill="C0C0C0"/>
          </w:tcPr>
          <w:p>
            <w:pPr>
              <w:spacing w:after="0"/>
              <w:rPr>
                <w:sz w:val="12"/>
                <w:szCs w:val="12"/>
                <w:color w:val="auto"/>
              </w:rPr>
            </w:pPr>
          </w:p>
        </w:tc>
        <w:tc>
          <w:tcPr>
            <w:tcW w:w="180" w:type="dxa"/>
            <w:vAlign w:val="bottom"/>
            <w:tcBorders>
              <w:right w:val="single" w:sz="8" w:color="C0C0C0"/>
            </w:tcBorders>
            <w:shd w:val="clear" w:color="auto" w:fill="C0C0C0"/>
          </w:tcPr>
          <w:p>
            <w:pPr>
              <w:spacing w:after="0"/>
              <w:rPr>
                <w:sz w:val="12"/>
                <w:szCs w:val="12"/>
                <w:color w:val="auto"/>
              </w:rPr>
            </w:pPr>
          </w:p>
        </w:tc>
        <w:tc>
          <w:tcPr>
            <w:tcW w:w="60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60" w:type="dxa"/>
            <w:vAlign w:val="bottom"/>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r>
      <w:tr>
        <w:trPr>
          <w:trHeight w:val="185"/>
        </w:trPr>
        <w:tc>
          <w:tcPr>
            <w:tcW w:w="578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0"/>
                <w:szCs w:val="10"/>
                <w:color w:val="auto"/>
              </w:rPr>
              <w:t>Company 401(k) Savings Plan contribution</w:t>
            </w:r>
          </w:p>
        </w:tc>
        <w:tc>
          <w:tcPr>
            <w:tcW w:w="100" w:type="dxa"/>
            <w:vAlign w:val="bottom"/>
            <w:tcBorders>
              <w:bottom w:val="single" w:sz="8" w:color="C0C0C0"/>
            </w:tcBorders>
            <w:shd w:val="clear" w:color="auto" w:fill="C0C0C0"/>
          </w:tcPr>
          <w:p>
            <w:pPr>
              <w:spacing w:after="0"/>
              <w:rPr>
                <w:sz w:val="16"/>
                <w:szCs w:val="16"/>
                <w:color w:val="auto"/>
              </w:rPr>
            </w:pPr>
          </w:p>
        </w:tc>
        <w:tc>
          <w:tcPr>
            <w:tcW w:w="440" w:type="dxa"/>
            <w:vAlign w:val="bottom"/>
            <w:tcBorders>
              <w:bottom w:val="single" w:sz="8" w:color="C0C0C0"/>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240" w:type="dxa"/>
            <w:vAlign w:val="bottom"/>
            <w:tcBorders>
              <w:bottom w:val="single" w:sz="8" w:color="C0C0C0"/>
            </w:tcBorders>
            <w:shd w:val="clear" w:color="auto" w:fill="C0C0C0"/>
          </w:tcPr>
          <w:p>
            <w:pPr>
              <w:spacing w:after="0"/>
              <w:rPr>
                <w:sz w:val="16"/>
                <w:szCs w:val="16"/>
                <w:color w:val="auto"/>
              </w:rPr>
            </w:pPr>
          </w:p>
        </w:tc>
        <w:tc>
          <w:tcPr>
            <w:tcW w:w="100" w:type="dxa"/>
            <w:vAlign w:val="bottom"/>
            <w:tcBorders>
              <w:bottom w:val="single" w:sz="8" w:color="C0C0C0"/>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56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0"/>
                <w:szCs w:val="10"/>
                <w:color w:val="auto"/>
              </w:rPr>
              <w:t>92</w:t>
            </w:r>
          </w:p>
        </w:tc>
        <w:tc>
          <w:tcPr>
            <w:tcW w:w="220" w:type="dxa"/>
            <w:vAlign w:val="bottom"/>
            <w:tcBorders>
              <w:bottom w:val="single" w:sz="8" w:color="C0C0C0"/>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180" w:type="dxa"/>
            <w:vAlign w:val="bottom"/>
            <w:tcBorders>
              <w:bottom w:val="single" w:sz="8" w:color="C0C0C0"/>
              <w:right w:val="single" w:sz="8" w:color="C0C0C0"/>
            </w:tcBorders>
            <w:shd w:val="clear" w:color="auto" w:fill="C0C0C0"/>
          </w:tcPr>
          <w:p>
            <w:pPr>
              <w:spacing w:after="0"/>
              <w:rPr>
                <w:sz w:val="16"/>
                <w:szCs w:val="16"/>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3,405</w:t>
            </w:r>
          </w:p>
        </w:tc>
        <w:tc>
          <w:tcPr>
            <w:tcW w:w="120" w:type="dxa"/>
            <w:vAlign w:val="bottom"/>
            <w:tcBorders>
              <w:bottom w:val="single" w:sz="8" w:color="C0C0C0"/>
            </w:tcBorders>
            <w:shd w:val="clear" w:color="auto" w:fill="C0C0C0"/>
          </w:tcPr>
          <w:p>
            <w:pPr>
              <w:spacing w:after="0"/>
              <w:rPr>
                <w:sz w:val="16"/>
                <w:szCs w:val="16"/>
                <w:color w:val="auto"/>
              </w:rPr>
            </w:pPr>
          </w:p>
        </w:tc>
        <w:tc>
          <w:tcPr>
            <w:tcW w:w="100" w:type="dxa"/>
            <w:vAlign w:val="bottom"/>
            <w:tcBorders>
              <w:bottom w:val="single" w:sz="8" w:color="C0C0C0"/>
            </w:tcBorders>
            <w:shd w:val="clear" w:color="auto" w:fill="C0C0C0"/>
          </w:tcPr>
          <w:p>
            <w:pPr>
              <w:spacing w:after="0"/>
              <w:rPr>
                <w:sz w:val="16"/>
                <w:szCs w:val="16"/>
                <w:color w:val="auto"/>
              </w:rPr>
            </w:pPr>
          </w:p>
        </w:tc>
        <w:tc>
          <w:tcPr>
            <w:tcW w:w="500" w:type="dxa"/>
            <w:vAlign w:val="bottom"/>
            <w:tcBorders>
              <w:bottom w:val="single" w:sz="8" w:color="C0C0C0"/>
            </w:tcBorders>
            <w:shd w:val="clear" w:color="auto" w:fill="C0C0C0"/>
          </w:tcPr>
          <w:p>
            <w:pPr>
              <w:spacing w:after="0"/>
              <w:rPr>
                <w:sz w:val="16"/>
                <w:szCs w:val="16"/>
                <w:color w:val="auto"/>
              </w:rPr>
            </w:pPr>
          </w:p>
        </w:tc>
        <w:tc>
          <w:tcPr>
            <w:tcW w:w="180" w:type="dxa"/>
            <w:vAlign w:val="bottom"/>
            <w:tcBorders>
              <w:bottom w:val="single" w:sz="8" w:color="C0C0C0"/>
              <w:right w:val="single" w:sz="8" w:color="C0C0C0"/>
            </w:tcBorders>
            <w:shd w:val="clear" w:color="auto" w:fill="C0C0C0"/>
          </w:tcPr>
          <w:p>
            <w:pPr>
              <w:spacing w:after="0"/>
              <w:rPr>
                <w:sz w:val="16"/>
                <w:szCs w:val="16"/>
                <w:color w:val="auto"/>
              </w:rPr>
            </w:pPr>
          </w:p>
        </w:tc>
        <w:tc>
          <w:tcPr>
            <w:tcW w:w="600" w:type="dxa"/>
            <w:vAlign w:val="bottom"/>
            <w:tcBorders>
              <w:bottom w:val="single" w:sz="8" w:color="C0C0C0"/>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3,405</w:t>
            </w:r>
          </w:p>
        </w:tc>
        <w:tc>
          <w:tcPr>
            <w:tcW w:w="100" w:type="dxa"/>
            <w:vAlign w:val="bottom"/>
            <w:tcBorders>
              <w:bottom w:val="single" w:sz="8" w:color="C0C0C0"/>
            </w:tcBorders>
            <w:shd w:val="clear" w:color="auto" w:fill="C0C0C0"/>
          </w:tcPr>
          <w:p>
            <w:pPr>
              <w:spacing w:after="0"/>
              <w:rPr>
                <w:sz w:val="16"/>
                <w:szCs w:val="16"/>
                <w:color w:val="auto"/>
              </w:rPr>
            </w:pPr>
          </w:p>
        </w:tc>
        <w:tc>
          <w:tcPr>
            <w:tcW w:w="160" w:type="dxa"/>
            <w:vAlign w:val="bottom"/>
            <w:tcBorders>
              <w:bottom w:val="single" w:sz="8" w:color="C0C0C0"/>
            </w:tcBorders>
            <w:shd w:val="clear" w:color="auto" w:fill="C0C0C0"/>
          </w:tcPr>
          <w:p>
            <w:pPr>
              <w:spacing w:after="0"/>
              <w:rPr>
                <w:sz w:val="16"/>
                <w:szCs w:val="16"/>
                <w:color w:val="auto"/>
              </w:rPr>
            </w:pPr>
          </w:p>
        </w:tc>
        <w:tc>
          <w:tcPr>
            <w:tcW w:w="520" w:type="dxa"/>
            <w:vAlign w:val="bottom"/>
            <w:tcBorders>
              <w:bottom w:val="single" w:sz="8" w:color="C0C0C0"/>
            </w:tcBorders>
            <w:shd w:val="clear" w:color="auto" w:fill="C0C0C0"/>
          </w:tcPr>
          <w:p>
            <w:pPr>
              <w:spacing w:after="0"/>
              <w:rPr>
                <w:sz w:val="16"/>
                <w:szCs w:val="16"/>
                <w:color w:val="auto"/>
              </w:rPr>
            </w:pPr>
          </w:p>
        </w:tc>
      </w:tr>
      <w:tr>
        <w:trPr>
          <w:trHeight w:val="144"/>
        </w:trPr>
        <w:tc>
          <w:tcPr>
            <w:tcW w:w="5780" w:type="dxa"/>
            <w:vAlign w:val="bottom"/>
          </w:tcPr>
          <w:p>
            <w:pPr>
              <w:spacing w:after="0"/>
              <w:rPr>
                <w:sz w:val="20"/>
                <w:szCs w:val="20"/>
                <w:color w:val="auto"/>
              </w:rPr>
            </w:pPr>
            <w:r>
              <w:rPr>
                <w:rFonts w:ascii="Arial" w:cs="Arial" w:eastAsia="Arial" w:hAnsi="Arial"/>
                <w:sz w:val="10"/>
                <w:szCs w:val="10"/>
                <w:color w:val="auto"/>
              </w:rPr>
              <w:t>Stock-based compensation charges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14,898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14,898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30"/>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55"/>
        </w:trPr>
        <w:tc>
          <w:tcPr>
            <w:tcW w:w="57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0"/>
                <w:szCs w:val="10"/>
                <w:color w:val="auto"/>
              </w:rPr>
              <w:t>Net loss</w:t>
            </w:r>
          </w:p>
        </w:tc>
        <w:tc>
          <w:tcPr>
            <w:tcW w:w="100" w:type="dxa"/>
            <w:vAlign w:val="bottom"/>
            <w:tcBorders>
              <w:bottom w:val="single" w:sz="8" w:color="C0C0C0"/>
            </w:tcBorders>
            <w:shd w:val="clear" w:color="auto" w:fill="C0C0C0"/>
          </w:tcPr>
          <w:p>
            <w:pPr>
              <w:spacing w:after="0"/>
              <w:rPr>
                <w:sz w:val="13"/>
                <w:szCs w:val="13"/>
                <w:color w:val="auto"/>
              </w:rPr>
            </w:pPr>
          </w:p>
        </w:tc>
        <w:tc>
          <w:tcPr>
            <w:tcW w:w="44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240" w:type="dxa"/>
            <w:vAlign w:val="bottom"/>
            <w:tcBorders>
              <w:bottom w:val="single" w:sz="8" w:color="C0C0C0"/>
            </w:tcBorders>
            <w:shd w:val="clear" w:color="auto" w:fill="C0C0C0"/>
          </w:tcPr>
          <w:p>
            <w:pPr>
              <w:spacing w:after="0"/>
              <w:rPr>
                <w:sz w:val="13"/>
                <w:szCs w:val="13"/>
                <w:color w:val="auto"/>
              </w:rPr>
            </w:pPr>
          </w:p>
        </w:tc>
        <w:tc>
          <w:tcPr>
            <w:tcW w:w="10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44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22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C0C0C0"/>
            </w:tcBorders>
            <w:shd w:val="clear" w:color="auto" w:fill="C0C0C0"/>
          </w:tcPr>
          <w:p>
            <w:pPr>
              <w:spacing w:after="0"/>
              <w:rPr>
                <w:sz w:val="13"/>
                <w:szCs w:val="13"/>
                <w:color w:val="auto"/>
              </w:rPr>
            </w:pPr>
          </w:p>
        </w:tc>
        <w:tc>
          <w:tcPr>
            <w:tcW w:w="52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100" w:type="dxa"/>
            <w:vAlign w:val="bottom"/>
            <w:tcBorders>
              <w:bottom w:val="single" w:sz="8" w:color="C0C0C0"/>
            </w:tcBorders>
            <w:shd w:val="clear" w:color="auto" w:fill="C0C0C0"/>
          </w:tcPr>
          <w:p>
            <w:pPr>
              <w:spacing w:after="0"/>
              <w:rPr>
                <w:sz w:val="13"/>
                <w:szCs w:val="13"/>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(43,447)</w:t>
            </w:r>
          </w:p>
        </w:tc>
        <w:tc>
          <w:tcPr>
            <w:tcW w:w="180" w:type="dxa"/>
            <w:vAlign w:val="bottom"/>
            <w:tcBorders>
              <w:bottom w:val="single" w:sz="8" w:color="C0C0C0"/>
              <w:right w:val="single" w:sz="8" w:color="C0C0C0"/>
            </w:tcBorders>
            <w:shd w:val="clear" w:color="auto" w:fill="C0C0C0"/>
          </w:tcPr>
          <w:p>
            <w:pPr>
              <w:spacing w:after="0"/>
              <w:rPr>
                <w:sz w:val="13"/>
                <w:szCs w:val="13"/>
                <w:color w:val="auto"/>
              </w:rPr>
            </w:pPr>
          </w:p>
        </w:tc>
        <w:tc>
          <w:tcPr>
            <w:tcW w:w="60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(43,447)</w:t>
            </w:r>
          </w:p>
        </w:tc>
        <w:tc>
          <w:tcPr>
            <w:tcW w:w="100" w:type="dxa"/>
            <w:vAlign w:val="bottom"/>
            <w:tcBorders>
              <w:bottom w:val="single" w:sz="8" w:color="C0C0C0"/>
            </w:tcBorders>
            <w:shd w:val="clear" w:color="auto" w:fill="C0C0C0"/>
          </w:tcPr>
          <w:p>
            <w:pPr>
              <w:spacing w:after="0"/>
              <w:rPr>
                <w:sz w:val="13"/>
                <w:szCs w:val="13"/>
                <w:color w:val="auto"/>
              </w:rPr>
            </w:pPr>
          </w:p>
        </w:tc>
        <w:tc>
          <w:tcPr>
            <w:tcW w:w="160" w:type="dxa"/>
            <w:vAlign w:val="bottom"/>
            <w:tcBorders>
              <w:bottom w:val="single" w:sz="8" w:color="C0C0C0"/>
            </w:tcBorders>
            <w:shd w:val="clear" w:color="auto" w:fill="C0C0C0"/>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(43,447)</w:t>
            </w:r>
          </w:p>
        </w:tc>
      </w:tr>
      <w:tr>
        <w:trPr>
          <w:trHeight w:val="144"/>
        </w:trPr>
        <w:tc>
          <w:tcPr>
            <w:tcW w:w="5780" w:type="dxa"/>
            <w:vAlign w:val="bottom"/>
          </w:tcPr>
          <w:p>
            <w:pPr>
              <w:spacing w:after="0"/>
              <w:rPr>
                <w:sz w:val="20"/>
                <w:szCs w:val="20"/>
                <w:color w:val="auto"/>
              </w:rPr>
            </w:pPr>
            <w:r>
              <w:rPr>
                <w:rFonts w:ascii="Arial" w:cs="Arial" w:eastAsia="Arial" w:hAnsi="Arial"/>
                <w:sz w:val="10"/>
                <w:szCs w:val="10"/>
                <w:color w:val="auto"/>
              </w:rPr>
              <w:t>Change in net unrealized gain (loss) on marketable securities,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5"/>
        </w:trPr>
        <w:tc>
          <w:tcPr>
            <w:tcW w:w="5780" w:type="dxa"/>
            <w:vAlign w:val="bottom"/>
          </w:tcPr>
          <w:p>
            <w:pPr>
              <w:ind w:left="220"/>
              <w:spacing w:after="0"/>
              <w:rPr>
                <w:sz w:val="20"/>
                <w:szCs w:val="20"/>
                <w:color w:val="auto"/>
              </w:rPr>
            </w:pPr>
            <w:r>
              <w:rPr>
                <w:rFonts w:ascii="Arial" w:cs="Arial" w:eastAsia="Arial" w:hAnsi="Arial"/>
                <w:sz w:val="10"/>
                <w:szCs w:val="10"/>
                <w:color w:val="auto"/>
              </w:rPr>
              <w:t>net of tax effect of $0.2 million</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316</w:t>
            </w:r>
          </w:p>
        </w:tc>
      </w:tr>
      <w:tr>
        <w:trPr>
          <w:trHeight w:val="30"/>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16"/>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80"/>
        </w:trPr>
        <w:tc>
          <w:tcPr>
            <w:tcW w:w="57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0"/>
                <w:szCs w:val="10"/>
                <w:b w:val="1"/>
                <w:bCs w:val="1"/>
                <w:color w:val="auto"/>
              </w:rPr>
              <w:t>Balance, March 31, 2011</w:t>
            </w:r>
          </w:p>
        </w:tc>
        <w:tc>
          <w:tcPr>
            <w:tcW w:w="5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0"/>
                <w:szCs w:val="10"/>
                <w:color w:val="auto"/>
              </w:rPr>
              <w:t>2,182</w:t>
            </w:r>
          </w:p>
        </w:tc>
        <w:tc>
          <w:tcPr>
            <w:tcW w:w="360" w:type="dxa"/>
            <w:vAlign w:val="bottom"/>
            <w:tcBorders>
              <w:bottom w:val="single" w:sz="8" w:color="C0C0C0"/>
            </w:tcBorders>
            <w:gridSpan w:val="2"/>
            <w:shd w:val="clear" w:color="auto" w:fill="C0C0C0"/>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C0C0C0"/>
            </w:tcBorders>
            <w:shd w:val="clear" w:color="auto" w:fill="C0C0C0"/>
          </w:tcPr>
          <w:p>
            <w:pPr>
              <w:spacing w:after="0"/>
              <w:rPr>
                <w:sz w:val="15"/>
                <w:szCs w:val="15"/>
                <w:color w:val="auto"/>
              </w:rPr>
            </w:pPr>
          </w:p>
        </w:tc>
        <w:tc>
          <w:tcPr>
            <w:tcW w:w="56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0"/>
                <w:szCs w:val="10"/>
                <w:color w:val="auto"/>
              </w:rPr>
              <w:t>88,548</w:t>
            </w:r>
          </w:p>
        </w:tc>
        <w:tc>
          <w:tcPr>
            <w:tcW w:w="2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89"/>
              </w:rPr>
              <w:t>89</w:t>
            </w:r>
          </w:p>
        </w:tc>
        <w:tc>
          <w:tcPr>
            <w:tcW w:w="180" w:type="dxa"/>
            <w:vAlign w:val="bottom"/>
            <w:tcBorders>
              <w:bottom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1,609,185</w:t>
            </w:r>
          </w:p>
        </w:tc>
        <w:tc>
          <w:tcPr>
            <w:tcW w:w="12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jc w:val="right"/>
              <w:ind w:right="31"/>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93"/>
              </w:rPr>
              <w:t>(1,089,010)</w:t>
            </w:r>
          </w:p>
        </w:tc>
        <w:tc>
          <w:tcPr>
            <w:tcW w:w="180" w:type="dxa"/>
            <w:vAlign w:val="bottom"/>
            <w:tcBorders>
              <w:bottom w:val="single" w:sz="8" w:color="C0C0C0"/>
              <w:right w:val="single" w:sz="8" w:color="C0C0C0"/>
            </w:tcBorders>
            <w:shd w:val="clear" w:color="auto" w:fill="C0C0C0"/>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(2,175)</w:t>
            </w:r>
          </w:p>
        </w:tc>
        <w:tc>
          <w:tcPr>
            <w:tcW w:w="12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jc w:val="right"/>
              <w:ind w:right="51"/>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518,091</w:t>
            </w:r>
          </w:p>
        </w:tc>
        <w:tc>
          <w:tcPr>
            <w:tcW w:w="10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(43,131)</w:t>
            </w:r>
          </w:p>
        </w:tc>
      </w:tr>
      <w:tr>
        <w:trPr>
          <w:trHeight w:val="126"/>
        </w:trPr>
        <w:tc>
          <w:tcPr>
            <w:tcW w:w="5780" w:type="dxa"/>
            <w:vAlign w:val="bottom"/>
            <w:tcBorders>
              <w:top w:val="single" w:sz="8" w:color="C0C0C0"/>
            </w:tcBorders>
          </w:tcPr>
          <w:p>
            <w:pPr>
              <w:spacing w:after="0"/>
              <w:rPr>
                <w:sz w:val="10"/>
                <w:szCs w:val="10"/>
                <w:color w:val="auto"/>
              </w:rPr>
            </w:pPr>
          </w:p>
        </w:tc>
        <w:tc>
          <w:tcPr>
            <w:tcW w:w="100" w:type="dxa"/>
            <w:vAlign w:val="bottom"/>
            <w:tcBorders>
              <w:top w:val="single" w:sz="8" w:color="C0C0C0"/>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C0C0C0"/>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C0C0C0"/>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C0C0C0"/>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C0C0C0"/>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C0C0C0"/>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C0C0C0"/>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0C0C0"/>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0C0C0"/>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r>
      <w:tr>
        <w:trPr>
          <w:trHeight w:val="155"/>
        </w:trPr>
        <w:tc>
          <w:tcPr>
            <w:tcW w:w="57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0"/>
                <w:szCs w:val="10"/>
                <w:b w:val="1"/>
                <w:bCs w:val="1"/>
                <w:color w:val="auto"/>
              </w:rPr>
              <w:t>Balance, December 31, 2009</w:t>
            </w:r>
          </w:p>
        </w:tc>
        <w:tc>
          <w:tcPr>
            <w:tcW w:w="5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0"/>
                <w:szCs w:val="10"/>
                <w:color w:val="auto"/>
              </w:rPr>
              <w:t>2,245</w:t>
            </w:r>
          </w:p>
        </w:tc>
        <w:tc>
          <w:tcPr>
            <w:tcW w:w="360" w:type="dxa"/>
            <w:vAlign w:val="bottom"/>
            <w:tcBorders>
              <w:bottom w:val="single" w:sz="8" w:color="C0C0C0"/>
            </w:tcBorders>
            <w:gridSpan w:val="2"/>
            <w:shd w:val="clear" w:color="auto" w:fill="C0C0C0"/>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C0C0C0"/>
            </w:tcBorders>
            <w:shd w:val="clear" w:color="auto" w:fill="C0C0C0"/>
          </w:tcPr>
          <w:p>
            <w:pPr>
              <w:spacing w:after="0"/>
              <w:rPr>
                <w:sz w:val="13"/>
                <w:szCs w:val="13"/>
                <w:color w:val="auto"/>
              </w:rPr>
            </w:pPr>
          </w:p>
        </w:tc>
        <w:tc>
          <w:tcPr>
            <w:tcW w:w="56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0"/>
                <w:szCs w:val="10"/>
                <w:color w:val="auto"/>
              </w:rPr>
              <w:t>78,861</w:t>
            </w:r>
          </w:p>
        </w:tc>
        <w:tc>
          <w:tcPr>
            <w:tcW w:w="2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89"/>
              </w:rPr>
              <w:t>79</w:t>
            </w:r>
          </w:p>
        </w:tc>
        <w:tc>
          <w:tcPr>
            <w:tcW w:w="180" w:type="dxa"/>
            <w:vAlign w:val="bottom"/>
            <w:tcBorders>
              <w:bottom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1,336,732</w:t>
            </w:r>
          </w:p>
        </w:tc>
        <w:tc>
          <w:tcPr>
            <w:tcW w:w="120" w:type="dxa"/>
            <w:vAlign w:val="bottom"/>
            <w:tcBorders>
              <w:bottom w:val="single" w:sz="8" w:color="C0C0C0"/>
            </w:tcBorders>
            <w:shd w:val="clear" w:color="auto" w:fill="C0C0C0"/>
          </w:tcPr>
          <w:p>
            <w:pPr>
              <w:spacing w:after="0"/>
              <w:rPr>
                <w:sz w:val="13"/>
                <w:szCs w:val="13"/>
                <w:color w:val="auto"/>
              </w:rPr>
            </w:pPr>
          </w:p>
        </w:tc>
        <w:tc>
          <w:tcPr>
            <w:tcW w:w="100" w:type="dxa"/>
            <w:vAlign w:val="bottom"/>
            <w:tcBorders>
              <w:bottom w:val="single" w:sz="8" w:color="C0C0C0"/>
            </w:tcBorders>
            <w:shd w:val="clear" w:color="auto" w:fill="C0C0C0"/>
          </w:tcPr>
          <w:p>
            <w:pPr>
              <w:jc w:val="right"/>
              <w:ind w:right="31"/>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(941,095)</w:t>
            </w:r>
          </w:p>
        </w:tc>
        <w:tc>
          <w:tcPr>
            <w:tcW w:w="180" w:type="dxa"/>
            <w:vAlign w:val="bottom"/>
            <w:tcBorders>
              <w:bottom w:val="single" w:sz="8" w:color="C0C0C0"/>
              <w:right w:val="single" w:sz="8" w:color="C0C0C0"/>
            </w:tcBorders>
            <w:shd w:val="clear" w:color="auto" w:fill="C0C0C0"/>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1,044</w:t>
            </w:r>
          </w:p>
        </w:tc>
        <w:tc>
          <w:tcPr>
            <w:tcW w:w="12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jc w:val="right"/>
              <w:ind w:right="51"/>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396,762</w:t>
            </w:r>
          </w:p>
        </w:tc>
        <w:tc>
          <w:tcPr>
            <w:tcW w:w="100" w:type="dxa"/>
            <w:vAlign w:val="bottom"/>
            <w:tcBorders>
              <w:bottom w:val="single" w:sz="8" w:color="C0C0C0"/>
            </w:tcBorders>
            <w:shd w:val="clear" w:color="auto" w:fill="C0C0C0"/>
          </w:tcPr>
          <w:p>
            <w:pPr>
              <w:spacing w:after="0"/>
              <w:rPr>
                <w:sz w:val="13"/>
                <w:szCs w:val="13"/>
                <w:color w:val="auto"/>
              </w:rPr>
            </w:pPr>
          </w:p>
        </w:tc>
        <w:tc>
          <w:tcPr>
            <w:tcW w:w="160" w:type="dxa"/>
            <w:vAlign w:val="bottom"/>
            <w:tcBorders>
              <w:bottom w:val="single" w:sz="8" w:color="C0C0C0"/>
            </w:tcBorders>
            <w:shd w:val="clear" w:color="auto" w:fill="C0C0C0"/>
          </w:tcPr>
          <w:p>
            <w:pPr>
              <w:spacing w:after="0"/>
              <w:rPr>
                <w:sz w:val="13"/>
                <w:szCs w:val="13"/>
                <w:color w:val="auto"/>
              </w:rPr>
            </w:pPr>
          </w:p>
        </w:tc>
        <w:tc>
          <w:tcPr>
            <w:tcW w:w="520" w:type="dxa"/>
            <w:vAlign w:val="bottom"/>
            <w:tcBorders>
              <w:bottom w:val="single" w:sz="8" w:color="C0C0C0"/>
            </w:tcBorders>
            <w:shd w:val="clear" w:color="auto" w:fill="C0C0C0"/>
          </w:tcPr>
          <w:p>
            <w:pPr>
              <w:spacing w:after="0"/>
              <w:rPr>
                <w:sz w:val="13"/>
                <w:szCs w:val="13"/>
                <w:color w:val="auto"/>
              </w:rPr>
            </w:pPr>
          </w:p>
        </w:tc>
      </w:tr>
      <w:tr>
        <w:trPr>
          <w:trHeight w:val="144"/>
        </w:trPr>
        <w:tc>
          <w:tcPr>
            <w:tcW w:w="5780" w:type="dxa"/>
            <w:vAlign w:val="bottom"/>
          </w:tcPr>
          <w:p>
            <w:pPr>
              <w:spacing w:after="0"/>
              <w:rPr>
                <w:sz w:val="20"/>
                <w:szCs w:val="20"/>
                <w:color w:val="auto"/>
              </w:rPr>
            </w:pPr>
            <w:r>
              <w:rPr>
                <w:rFonts w:ascii="Arial" w:cs="Arial" w:eastAsia="Arial" w:hAnsi="Arial"/>
                <w:sz w:val="10"/>
                <w:szCs w:val="10"/>
                <w:color w:val="auto"/>
              </w:rPr>
              <w:t>Issuance of Common Stock in connection with</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5"/>
        </w:trPr>
        <w:tc>
          <w:tcPr>
            <w:tcW w:w="5780" w:type="dxa"/>
            <w:vAlign w:val="bottom"/>
          </w:tcPr>
          <w:p>
            <w:pPr>
              <w:ind w:left="220"/>
              <w:spacing w:after="0"/>
              <w:rPr>
                <w:sz w:val="20"/>
                <w:szCs w:val="20"/>
                <w:color w:val="auto"/>
              </w:rPr>
            </w:pPr>
            <w:r>
              <w:rPr>
                <w:rFonts w:ascii="Arial" w:cs="Arial" w:eastAsia="Arial" w:hAnsi="Arial"/>
                <w:sz w:val="10"/>
                <w:szCs w:val="10"/>
                <w:color w:val="auto"/>
              </w:rPr>
              <w:t>exercise of stock options, net of shares tendered</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685</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1</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8,656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8,657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0"/>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44"/>
        </w:trPr>
        <w:tc>
          <w:tcPr>
            <w:tcW w:w="5780" w:type="dxa"/>
            <w:vAlign w:val="bottom"/>
            <w:shd w:val="clear" w:color="auto" w:fill="C0C0C0"/>
          </w:tcPr>
          <w:p>
            <w:pPr>
              <w:spacing w:after="0"/>
              <w:rPr>
                <w:sz w:val="20"/>
                <w:szCs w:val="20"/>
                <w:color w:val="auto"/>
              </w:rPr>
            </w:pPr>
            <w:r>
              <w:rPr>
                <w:rFonts w:ascii="Arial" w:cs="Arial" w:eastAsia="Arial" w:hAnsi="Arial"/>
                <w:sz w:val="10"/>
                <w:szCs w:val="10"/>
                <w:color w:val="auto"/>
              </w:rPr>
              <w:t>Issuance of Common Stock in connection with</w:t>
            </w:r>
          </w:p>
        </w:tc>
        <w:tc>
          <w:tcPr>
            <w:tcW w:w="100" w:type="dxa"/>
            <w:vAlign w:val="bottom"/>
            <w:shd w:val="clear" w:color="auto" w:fill="C0C0C0"/>
          </w:tcPr>
          <w:p>
            <w:pPr>
              <w:spacing w:after="0"/>
              <w:rPr>
                <w:sz w:val="12"/>
                <w:szCs w:val="12"/>
                <w:color w:val="auto"/>
              </w:rPr>
            </w:pPr>
          </w:p>
        </w:tc>
        <w:tc>
          <w:tcPr>
            <w:tcW w:w="4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80" w:type="dxa"/>
            <w:vAlign w:val="bottom"/>
            <w:tcBorders>
              <w:right w:val="single" w:sz="8" w:color="C0C0C0"/>
            </w:tcBorders>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500" w:type="dxa"/>
            <w:vAlign w:val="bottom"/>
            <w:shd w:val="clear" w:color="auto" w:fill="C0C0C0"/>
          </w:tcPr>
          <w:p>
            <w:pPr>
              <w:spacing w:after="0"/>
              <w:rPr>
                <w:sz w:val="12"/>
                <w:szCs w:val="12"/>
                <w:color w:val="auto"/>
              </w:rPr>
            </w:pPr>
          </w:p>
        </w:tc>
        <w:tc>
          <w:tcPr>
            <w:tcW w:w="180" w:type="dxa"/>
            <w:vAlign w:val="bottom"/>
            <w:tcBorders>
              <w:right w:val="single" w:sz="8" w:color="C0C0C0"/>
            </w:tcBorders>
            <w:shd w:val="clear" w:color="auto" w:fill="C0C0C0"/>
          </w:tcPr>
          <w:p>
            <w:pPr>
              <w:spacing w:after="0"/>
              <w:rPr>
                <w:sz w:val="12"/>
                <w:szCs w:val="12"/>
                <w:color w:val="auto"/>
              </w:rPr>
            </w:pPr>
          </w:p>
        </w:tc>
        <w:tc>
          <w:tcPr>
            <w:tcW w:w="60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60" w:type="dxa"/>
            <w:vAlign w:val="bottom"/>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r>
      <w:tr>
        <w:trPr>
          <w:trHeight w:val="185"/>
        </w:trPr>
        <w:tc>
          <w:tcPr>
            <w:tcW w:w="578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0"/>
                <w:szCs w:val="10"/>
                <w:color w:val="auto"/>
              </w:rPr>
              <w:t>Company 401(k) Savings Plan contribution</w:t>
            </w:r>
          </w:p>
        </w:tc>
        <w:tc>
          <w:tcPr>
            <w:tcW w:w="100" w:type="dxa"/>
            <w:vAlign w:val="bottom"/>
            <w:tcBorders>
              <w:bottom w:val="single" w:sz="8" w:color="C0C0C0"/>
            </w:tcBorders>
            <w:shd w:val="clear" w:color="auto" w:fill="C0C0C0"/>
          </w:tcPr>
          <w:p>
            <w:pPr>
              <w:spacing w:after="0"/>
              <w:rPr>
                <w:sz w:val="16"/>
                <w:szCs w:val="16"/>
                <w:color w:val="auto"/>
              </w:rPr>
            </w:pPr>
          </w:p>
        </w:tc>
        <w:tc>
          <w:tcPr>
            <w:tcW w:w="440" w:type="dxa"/>
            <w:vAlign w:val="bottom"/>
            <w:tcBorders>
              <w:bottom w:val="single" w:sz="8" w:color="C0C0C0"/>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240" w:type="dxa"/>
            <w:vAlign w:val="bottom"/>
            <w:tcBorders>
              <w:bottom w:val="single" w:sz="8" w:color="C0C0C0"/>
            </w:tcBorders>
            <w:shd w:val="clear" w:color="auto" w:fill="C0C0C0"/>
          </w:tcPr>
          <w:p>
            <w:pPr>
              <w:spacing w:after="0"/>
              <w:rPr>
                <w:sz w:val="16"/>
                <w:szCs w:val="16"/>
                <w:color w:val="auto"/>
              </w:rPr>
            </w:pPr>
          </w:p>
        </w:tc>
        <w:tc>
          <w:tcPr>
            <w:tcW w:w="100" w:type="dxa"/>
            <w:vAlign w:val="bottom"/>
            <w:tcBorders>
              <w:bottom w:val="single" w:sz="8" w:color="C0C0C0"/>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56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0"/>
                <w:szCs w:val="10"/>
                <w:color w:val="auto"/>
              </w:rPr>
              <w:t>111</w:t>
            </w:r>
          </w:p>
        </w:tc>
        <w:tc>
          <w:tcPr>
            <w:tcW w:w="220" w:type="dxa"/>
            <w:vAlign w:val="bottom"/>
            <w:tcBorders>
              <w:bottom w:val="single" w:sz="8" w:color="C0C0C0"/>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180" w:type="dxa"/>
            <w:vAlign w:val="bottom"/>
            <w:tcBorders>
              <w:bottom w:val="single" w:sz="8" w:color="C0C0C0"/>
              <w:right w:val="single" w:sz="8" w:color="C0C0C0"/>
            </w:tcBorders>
            <w:shd w:val="clear" w:color="auto" w:fill="C0C0C0"/>
          </w:tcPr>
          <w:p>
            <w:pPr>
              <w:spacing w:after="0"/>
              <w:rPr>
                <w:sz w:val="16"/>
                <w:szCs w:val="16"/>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2,867</w:t>
            </w:r>
          </w:p>
        </w:tc>
        <w:tc>
          <w:tcPr>
            <w:tcW w:w="120" w:type="dxa"/>
            <w:vAlign w:val="bottom"/>
            <w:tcBorders>
              <w:bottom w:val="single" w:sz="8" w:color="C0C0C0"/>
            </w:tcBorders>
            <w:shd w:val="clear" w:color="auto" w:fill="C0C0C0"/>
          </w:tcPr>
          <w:p>
            <w:pPr>
              <w:spacing w:after="0"/>
              <w:rPr>
                <w:sz w:val="16"/>
                <w:szCs w:val="16"/>
                <w:color w:val="auto"/>
              </w:rPr>
            </w:pPr>
          </w:p>
        </w:tc>
        <w:tc>
          <w:tcPr>
            <w:tcW w:w="100" w:type="dxa"/>
            <w:vAlign w:val="bottom"/>
            <w:tcBorders>
              <w:bottom w:val="single" w:sz="8" w:color="C0C0C0"/>
            </w:tcBorders>
            <w:shd w:val="clear" w:color="auto" w:fill="C0C0C0"/>
          </w:tcPr>
          <w:p>
            <w:pPr>
              <w:spacing w:after="0"/>
              <w:rPr>
                <w:sz w:val="16"/>
                <w:szCs w:val="16"/>
                <w:color w:val="auto"/>
              </w:rPr>
            </w:pPr>
          </w:p>
        </w:tc>
        <w:tc>
          <w:tcPr>
            <w:tcW w:w="500" w:type="dxa"/>
            <w:vAlign w:val="bottom"/>
            <w:tcBorders>
              <w:bottom w:val="single" w:sz="8" w:color="C0C0C0"/>
            </w:tcBorders>
            <w:shd w:val="clear" w:color="auto" w:fill="C0C0C0"/>
          </w:tcPr>
          <w:p>
            <w:pPr>
              <w:spacing w:after="0"/>
              <w:rPr>
                <w:sz w:val="16"/>
                <w:szCs w:val="16"/>
                <w:color w:val="auto"/>
              </w:rPr>
            </w:pPr>
          </w:p>
        </w:tc>
        <w:tc>
          <w:tcPr>
            <w:tcW w:w="180" w:type="dxa"/>
            <w:vAlign w:val="bottom"/>
            <w:tcBorders>
              <w:bottom w:val="single" w:sz="8" w:color="C0C0C0"/>
              <w:right w:val="single" w:sz="8" w:color="C0C0C0"/>
            </w:tcBorders>
            <w:shd w:val="clear" w:color="auto" w:fill="C0C0C0"/>
          </w:tcPr>
          <w:p>
            <w:pPr>
              <w:spacing w:after="0"/>
              <w:rPr>
                <w:sz w:val="16"/>
                <w:szCs w:val="16"/>
                <w:color w:val="auto"/>
              </w:rPr>
            </w:pPr>
          </w:p>
        </w:tc>
        <w:tc>
          <w:tcPr>
            <w:tcW w:w="600" w:type="dxa"/>
            <w:vAlign w:val="bottom"/>
            <w:tcBorders>
              <w:bottom w:val="single" w:sz="8" w:color="C0C0C0"/>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2,867</w:t>
            </w:r>
          </w:p>
        </w:tc>
        <w:tc>
          <w:tcPr>
            <w:tcW w:w="100" w:type="dxa"/>
            <w:vAlign w:val="bottom"/>
            <w:tcBorders>
              <w:bottom w:val="single" w:sz="8" w:color="C0C0C0"/>
            </w:tcBorders>
            <w:shd w:val="clear" w:color="auto" w:fill="C0C0C0"/>
          </w:tcPr>
          <w:p>
            <w:pPr>
              <w:spacing w:after="0"/>
              <w:rPr>
                <w:sz w:val="16"/>
                <w:szCs w:val="16"/>
                <w:color w:val="auto"/>
              </w:rPr>
            </w:pPr>
          </w:p>
        </w:tc>
        <w:tc>
          <w:tcPr>
            <w:tcW w:w="160" w:type="dxa"/>
            <w:vAlign w:val="bottom"/>
            <w:tcBorders>
              <w:bottom w:val="single" w:sz="8" w:color="C0C0C0"/>
            </w:tcBorders>
            <w:shd w:val="clear" w:color="auto" w:fill="C0C0C0"/>
          </w:tcPr>
          <w:p>
            <w:pPr>
              <w:spacing w:after="0"/>
              <w:rPr>
                <w:sz w:val="16"/>
                <w:szCs w:val="16"/>
                <w:color w:val="auto"/>
              </w:rPr>
            </w:pPr>
          </w:p>
        </w:tc>
        <w:tc>
          <w:tcPr>
            <w:tcW w:w="520" w:type="dxa"/>
            <w:vAlign w:val="bottom"/>
            <w:tcBorders>
              <w:bottom w:val="single" w:sz="8" w:color="C0C0C0"/>
            </w:tcBorders>
            <w:shd w:val="clear" w:color="auto" w:fill="C0C0C0"/>
          </w:tcPr>
          <w:p>
            <w:pPr>
              <w:spacing w:after="0"/>
              <w:rPr>
                <w:sz w:val="16"/>
                <w:szCs w:val="16"/>
                <w:color w:val="auto"/>
              </w:rPr>
            </w:pPr>
          </w:p>
        </w:tc>
      </w:tr>
      <w:tr>
        <w:trPr>
          <w:trHeight w:val="144"/>
        </w:trPr>
        <w:tc>
          <w:tcPr>
            <w:tcW w:w="5780" w:type="dxa"/>
            <w:vAlign w:val="bottom"/>
          </w:tcPr>
          <w:p>
            <w:pPr>
              <w:spacing w:after="0"/>
              <w:rPr>
                <w:sz w:val="20"/>
                <w:szCs w:val="20"/>
                <w:color w:val="auto"/>
              </w:rPr>
            </w:pPr>
            <w:r>
              <w:rPr>
                <w:rFonts w:ascii="Arial" w:cs="Arial" w:eastAsia="Arial" w:hAnsi="Arial"/>
                <w:sz w:val="10"/>
                <w:szCs w:val="10"/>
                <w:color w:val="auto"/>
              </w:rPr>
              <w:t>Conversion of Class A Stock to Common Stock</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(33)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30"/>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55"/>
        </w:trPr>
        <w:tc>
          <w:tcPr>
            <w:tcW w:w="57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0"/>
                <w:szCs w:val="10"/>
                <w:color w:val="auto"/>
              </w:rPr>
              <w:t>Stock-based compensation charges</w:t>
            </w:r>
          </w:p>
        </w:tc>
        <w:tc>
          <w:tcPr>
            <w:tcW w:w="100" w:type="dxa"/>
            <w:vAlign w:val="bottom"/>
            <w:tcBorders>
              <w:bottom w:val="single" w:sz="8" w:color="C0C0C0"/>
            </w:tcBorders>
            <w:shd w:val="clear" w:color="auto" w:fill="C0C0C0"/>
          </w:tcPr>
          <w:p>
            <w:pPr>
              <w:spacing w:after="0"/>
              <w:rPr>
                <w:sz w:val="13"/>
                <w:szCs w:val="13"/>
                <w:color w:val="auto"/>
              </w:rPr>
            </w:pPr>
          </w:p>
        </w:tc>
        <w:tc>
          <w:tcPr>
            <w:tcW w:w="44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240" w:type="dxa"/>
            <w:vAlign w:val="bottom"/>
            <w:tcBorders>
              <w:bottom w:val="single" w:sz="8" w:color="C0C0C0"/>
            </w:tcBorders>
            <w:shd w:val="clear" w:color="auto" w:fill="C0C0C0"/>
          </w:tcPr>
          <w:p>
            <w:pPr>
              <w:spacing w:after="0"/>
              <w:rPr>
                <w:sz w:val="13"/>
                <w:szCs w:val="13"/>
                <w:color w:val="auto"/>
              </w:rPr>
            </w:pPr>
          </w:p>
        </w:tc>
        <w:tc>
          <w:tcPr>
            <w:tcW w:w="10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44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22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C0C0C0"/>
            </w:tcBorders>
            <w:shd w:val="clear" w:color="auto" w:fill="C0C0C0"/>
          </w:tcPr>
          <w:p>
            <w:pPr>
              <w:spacing w:after="0"/>
              <w:rPr>
                <w:sz w:val="13"/>
                <w:szCs w:val="13"/>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8,834</w:t>
            </w:r>
          </w:p>
        </w:tc>
        <w:tc>
          <w:tcPr>
            <w:tcW w:w="120" w:type="dxa"/>
            <w:vAlign w:val="bottom"/>
            <w:tcBorders>
              <w:bottom w:val="single" w:sz="8" w:color="C0C0C0"/>
            </w:tcBorders>
            <w:shd w:val="clear" w:color="auto" w:fill="C0C0C0"/>
          </w:tcPr>
          <w:p>
            <w:pPr>
              <w:spacing w:after="0"/>
              <w:rPr>
                <w:sz w:val="13"/>
                <w:szCs w:val="13"/>
                <w:color w:val="auto"/>
              </w:rPr>
            </w:pPr>
          </w:p>
        </w:tc>
        <w:tc>
          <w:tcPr>
            <w:tcW w:w="100" w:type="dxa"/>
            <w:vAlign w:val="bottom"/>
            <w:tcBorders>
              <w:bottom w:val="single" w:sz="8" w:color="C0C0C0"/>
            </w:tcBorders>
            <w:shd w:val="clear" w:color="auto" w:fill="C0C0C0"/>
          </w:tcPr>
          <w:p>
            <w:pPr>
              <w:spacing w:after="0"/>
              <w:rPr>
                <w:sz w:val="13"/>
                <w:szCs w:val="13"/>
                <w:color w:val="auto"/>
              </w:rPr>
            </w:pPr>
          </w:p>
        </w:tc>
        <w:tc>
          <w:tcPr>
            <w:tcW w:w="50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C0C0C0"/>
            </w:tcBorders>
            <w:shd w:val="clear" w:color="auto" w:fill="C0C0C0"/>
          </w:tcPr>
          <w:p>
            <w:pPr>
              <w:spacing w:after="0"/>
              <w:rPr>
                <w:sz w:val="13"/>
                <w:szCs w:val="13"/>
                <w:color w:val="auto"/>
              </w:rPr>
            </w:pPr>
          </w:p>
        </w:tc>
        <w:tc>
          <w:tcPr>
            <w:tcW w:w="60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8,834</w:t>
            </w:r>
          </w:p>
        </w:tc>
        <w:tc>
          <w:tcPr>
            <w:tcW w:w="100" w:type="dxa"/>
            <w:vAlign w:val="bottom"/>
            <w:tcBorders>
              <w:bottom w:val="single" w:sz="8" w:color="C0C0C0"/>
            </w:tcBorders>
            <w:shd w:val="clear" w:color="auto" w:fill="C0C0C0"/>
          </w:tcPr>
          <w:p>
            <w:pPr>
              <w:spacing w:after="0"/>
              <w:rPr>
                <w:sz w:val="13"/>
                <w:szCs w:val="13"/>
                <w:color w:val="auto"/>
              </w:rPr>
            </w:pPr>
          </w:p>
        </w:tc>
        <w:tc>
          <w:tcPr>
            <w:tcW w:w="160" w:type="dxa"/>
            <w:vAlign w:val="bottom"/>
            <w:tcBorders>
              <w:bottom w:val="single" w:sz="8" w:color="C0C0C0"/>
            </w:tcBorders>
            <w:shd w:val="clear" w:color="auto" w:fill="C0C0C0"/>
          </w:tcPr>
          <w:p>
            <w:pPr>
              <w:spacing w:after="0"/>
              <w:rPr>
                <w:sz w:val="13"/>
                <w:szCs w:val="13"/>
                <w:color w:val="auto"/>
              </w:rPr>
            </w:pPr>
          </w:p>
        </w:tc>
        <w:tc>
          <w:tcPr>
            <w:tcW w:w="520" w:type="dxa"/>
            <w:vAlign w:val="bottom"/>
            <w:tcBorders>
              <w:bottom w:val="single" w:sz="8" w:color="C0C0C0"/>
            </w:tcBorders>
            <w:shd w:val="clear" w:color="auto" w:fill="C0C0C0"/>
          </w:tcPr>
          <w:p>
            <w:pPr>
              <w:spacing w:after="0"/>
              <w:rPr>
                <w:sz w:val="13"/>
                <w:szCs w:val="13"/>
                <w:color w:val="auto"/>
              </w:rPr>
            </w:pPr>
          </w:p>
        </w:tc>
      </w:tr>
      <w:tr>
        <w:trPr>
          <w:trHeight w:val="144"/>
        </w:trPr>
        <w:tc>
          <w:tcPr>
            <w:tcW w:w="5780" w:type="dxa"/>
            <w:vAlign w:val="bottom"/>
          </w:tcPr>
          <w:p>
            <w:pPr>
              <w:spacing w:after="0"/>
              <w:rPr>
                <w:sz w:val="20"/>
                <w:szCs w:val="20"/>
                <w:color w:val="auto"/>
              </w:rPr>
            </w:pPr>
            <w:r>
              <w:rPr>
                <w:rFonts w:ascii="Arial" w:cs="Arial" w:eastAsia="Arial" w:hAnsi="Arial"/>
                <w:sz w:val="10"/>
                <w:szCs w:val="10"/>
                <w:color w:val="auto"/>
              </w:rPr>
              <w:t>Net loss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(30,522)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(30,522)</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(30,522)</w:t>
            </w:r>
          </w:p>
        </w:tc>
      </w:tr>
      <w:tr>
        <w:trPr>
          <w:trHeight w:val="30"/>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44"/>
        </w:trPr>
        <w:tc>
          <w:tcPr>
            <w:tcW w:w="5780" w:type="dxa"/>
            <w:vAlign w:val="bottom"/>
            <w:shd w:val="clear" w:color="auto" w:fill="C0C0C0"/>
          </w:tcPr>
          <w:p>
            <w:pPr>
              <w:spacing w:after="0"/>
              <w:rPr>
                <w:sz w:val="20"/>
                <w:szCs w:val="20"/>
                <w:color w:val="auto"/>
              </w:rPr>
            </w:pPr>
            <w:r>
              <w:rPr>
                <w:rFonts w:ascii="Arial" w:cs="Arial" w:eastAsia="Arial" w:hAnsi="Arial"/>
                <w:sz w:val="10"/>
                <w:szCs w:val="10"/>
                <w:color w:val="auto"/>
              </w:rPr>
              <w:t>Change in net unrealized gain (loss) on</w:t>
            </w:r>
          </w:p>
        </w:tc>
        <w:tc>
          <w:tcPr>
            <w:tcW w:w="100" w:type="dxa"/>
            <w:vAlign w:val="bottom"/>
            <w:shd w:val="clear" w:color="auto" w:fill="C0C0C0"/>
          </w:tcPr>
          <w:p>
            <w:pPr>
              <w:spacing w:after="0"/>
              <w:rPr>
                <w:sz w:val="12"/>
                <w:szCs w:val="12"/>
                <w:color w:val="auto"/>
              </w:rPr>
            </w:pPr>
          </w:p>
        </w:tc>
        <w:tc>
          <w:tcPr>
            <w:tcW w:w="4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80" w:type="dxa"/>
            <w:vAlign w:val="bottom"/>
            <w:tcBorders>
              <w:right w:val="single" w:sz="8" w:color="C0C0C0"/>
            </w:tcBorders>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500" w:type="dxa"/>
            <w:vAlign w:val="bottom"/>
            <w:shd w:val="clear" w:color="auto" w:fill="C0C0C0"/>
          </w:tcPr>
          <w:p>
            <w:pPr>
              <w:spacing w:after="0"/>
              <w:rPr>
                <w:sz w:val="12"/>
                <w:szCs w:val="12"/>
                <w:color w:val="auto"/>
              </w:rPr>
            </w:pPr>
          </w:p>
        </w:tc>
        <w:tc>
          <w:tcPr>
            <w:tcW w:w="180" w:type="dxa"/>
            <w:vAlign w:val="bottom"/>
            <w:tcBorders>
              <w:right w:val="single" w:sz="8" w:color="C0C0C0"/>
            </w:tcBorders>
            <w:shd w:val="clear" w:color="auto" w:fill="C0C0C0"/>
          </w:tcPr>
          <w:p>
            <w:pPr>
              <w:spacing w:after="0"/>
              <w:rPr>
                <w:sz w:val="12"/>
                <w:szCs w:val="12"/>
                <w:color w:val="auto"/>
              </w:rPr>
            </w:pPr>
          </w:p>
        </w:tc>
        <w:tc>
          <w:tcPr>
            <w:tcW w:w="60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60" w:type="dxa"/>
            <w:vAlign w:val="bottom"/>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r>
      <w:tr>
        <w:trPr>
          <w:trHeight w:val="205"/>
        </w:trPr>
        <w:tc>
          <w:tcPr>
            <w:tcW w:w="578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0"/>
                <w:szCs w:val="10"/>
                <w:color w:val="auto"/>
              </w:rPr>
              <w:t>marketable securities</w:t>
            </w:r>
          </w:p>
        </w:tc>
        <w:tc>
          <w:tcPr>
            <w:tcW w:w="100" w:type="dxa"/>
            <w:vAlign w:val="bottom"/>
            <w:tcBorders>
              <w:bottom w:val="single" w:sz="8" w:color="C0C0C0"/>
            </w:tcBorders>
            <w:shd w:val="clear" w:color="auto" w:fill="C0C0C0"/>
          </w:tcPr>
          <w:p>
            <w:pPr>
              <w:spacing w:after="0"/>
              <w:rPr>
                <w:sz w:val="17"/>
                <w:szCs w:val="17"/>
                <w:color w:val="auto"/>
              </w:rPr>
            </w:pPr>
          </w:p>
        </w:tc>
        <w:tc>
          <w:tcPr>
            <w:tcW w:w="44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10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44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2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right w:val="single" w:sz="8" w:color="C0C0C0"/>
            </w:tcBorders>
            <w:shd w:val="clear" w:color="auto" w:fill="C0C0C0"/>
          </w:tcPr>
          <w:p>
            <w:pPr>
              <w:spacing w:after="0"/>
              <w:rPr>
                <w:sz w:val="17"/>
                <w:szCs w:val="17"/>
                <w:color w:val="auto"/>
              </w:rPr>
            </w:pPr>
          </w:p>
        </w:tc>
        <w:tc>
          <w:tcPr>
            <w:tcW w:w="5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100" w:type="dxa"/>
            <w:vAlign w:val="bottom"/>
            <w:tcBorders>
              <w:bottom w:val="single" w:sz="8" w:color="C0C0C0"/>
            </w:tcBorders>
            <w:shd w:val="clear" w:color="auto" w:fill="C0C0C0"/>
          </w:tcPr>
          <w:p>
            <w:pPr>
              <w:spacing w:after="0"/>
              <w:rPr>
                <w:sz w:val="17"/>
                <w:szCs w:val="17"/>
                <w:color w:val="auto"/>
              </w:rPr>
            </w:pPr>
          </w:p>
        </w:tc>
        <w:tc>
          <w:tcPr>
            <w:tcW w:w="50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right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(327)</w:t>
            </w:r>
          </w:p>
        </w:tc>
        <w:tc>
          <w:tcPr>
            <w:tcW w:w="1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(327)</w:t>
            </w:r>
          </w:p>
        </w:tc>
        <w:tc>
          <w:tcPr>
            <w:tcW w:w="10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C0C0C0"/>
            </w:tcBorders>
            <w:shd w:val="clear" w:color="auto" w:fill="C0C0C0"/>
          </w:tcPr>
          <w:p>
            <w:pPr>
              <w:spacing w:after="0"/>
              <w:rPr>
                <w:sz w:val="17"/>
                <w:szCs w:val="17"/>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(327)</w:t>
            </w:r>
          </w:p>
        </w:tc>
      </w:tr>
      <w:tr>
        <w:trPr>
          <w:trHeight w:val="116"/>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r>
      <w:tr>
        <w:trPr>
          <w:trHeight w:val="155"/>
        </w:trPr>
        <w:tc>
          <w:tcPr>
            <w:tcW w:w="57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0"/>
                <w:szCs w:val="10"/>
                <w:b w:val="1"/>
                <w:bCs w:val="1"/>
                <w:color w:val="auto"/>
              </w:rPr>
              <w:t>Balance, March 31, 2010</w:t>
            </w:r>
          </w:p>
        </w:tc>
        <w:tc>
          <w:tcPr>
            <w:tcW w:w="100" w:type="dxa"/>
            <w:vAlign w:val="bottom"/>
            <w:tcBorders>
              <w:bottom w:val="single" w:sz="8" w:color="C0C0C0"/>
            </w:tcBorders>
            <w:shd w:val="clear" w:color="auto" w:fill="C0C0C0"/>
          </w:tcPr>
          <w:p>
            <w:pPr>
              <w:spacing w:after="0"/>
              <w:rPr>
                <w:sz w:val="13"/>
                <w:szCs w:val="13"/>
                <w:color w:val="auto"/>
              </w:rPr>
            </w:pPr>
          </w:p>
        </w:tc>
        <w:tc>
          <w:tcPr>
            <w:tcW w:w="4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2,212</w:t>
            </w:r>
          </w:p>
        </w:tc>
        <w:tc>
          <w:tcPr>
            <w:tcW w:w="360" w:type="dxa"/>
            <w:vAlign w:val="bottom"/>
            <w:tcBorders>
              <w:bottom w:val="single" w:sz="8" w:color="C0C0C0"/>
            </w:tcBorders>
            <w:gridSpan w:val="2"/>
            <w:shd w:val="clear" w:color="auto" w:fill="C0C0C0"/>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C0C0C0"/>
            </w:tcBorders>
            <w:shd w:val="clear" w:color="auto" w:fill="C0C0C0"/>
          </w:tcPr>
          <w:p>
            <w:pPr>
              <w:spacing w:after="0"/>
              <w:rPr>
                <w:sz w:val="13"/>
                <w:szCs w:val="13"/>
                <w:color w:val="auto"/>
              </w:rPr>
            </w:pPr>
          </w:p>
        </w:tc>
        <w:tc>
          <w:tcPr>
            <w:tcW w:w="56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0"/>
                <w:szCs w:val="10"/>
                <w:color w:val="auto"/>
              </w:rPr>
              <w:t>79,690</w:t>
            </w:r>
          </w:p>
        </w:tc>
        <w:tc>
          <w:tcPr>
            <w:tcW w:w="2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89"/>
              </w:rPr>
              <w:t>80</w:t>
            </w:r>
          </w:p>
        </w:tc>
        <w:tc>
          <w:tcPr>
            <w:tcW w:w="180" w:type="dxa"/>
            <w:vAlign w:val="bottom"/>
            <w:tcBorders>
              <w:bottom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1,357,089</w:t>
            </w:r>
          </w:p>
        </w:tc>
        <w:tc>
          <w:tcPr>
            <w:tcW w:w="120" w:type="dxa"/>
            <w:vAlign w:val="bottom"/>
            <w:tcBorders>
              <w:bottom w:val="single" w:sz="8" w:color="C0C0C0"/>
            </w:tcBorders>
            <w:shd w:val="clear" w:color="auto" w:fill="C0C0C0"/>
          </w:tcPr>
          <w:p>
            <w:pPr>
              <w:spacing w:after="0"/>
              <w:rPr>
                <w:sz w:val="13"/>
                <w:szCs w:val="13"/>
                <w:color w:val="auto"/>
              </w:rPr>
            </w:pPr>
          </w:p>
        </w:tc>
        <w:tc>
          <w:tcPr>
            <w:tcW w:w="100" w:type="dxa"/>
            <w:vAlign w:val="bottom"/>
            <w:tcBorders>
              <w:bottom w:val="single" w:sz="8" w:color="C0C0C0"/>
            </w:tcBorders>
            <w:shd w:val="clear" w:color="auto" w:fill="C0C0C0"/>
          </w:tcPr>
          <w:p>
            <w:pPr>
              <w:jc w:val="right"/>
              <w:ind w:right="31"/>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(971,617)</w:t>
            </w:r>
          </w:p>
        </w:tc>
        <w:tc>
          <w:tcPr>
            <w:tcW w:w="180" w:type="dxa"/>
            <w:vAlign w:val="bottom"/>
            <w:tcBorders>
              <w:bottom w:val="single" w:sz="8" w:color="C0C0C0"/>
              <w:right w:val="single" w:sz="8" w:color="C0C0C0"/>
            </w:tcBorders>
            <w:shd w:val="clear" w:color="auto" w:fill="C0C0C0"/>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717</w:t>
            </w:r>
          </w:p>
        </w:tc>
        <w:tc>
          <w:tcPr>
            <w:tcW w:w="12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jc w:val="right"/>
              <w:ind w:right="51"/>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386,271</w:t>
            </w:r>
          </w:p>
        </w:tc>
        <w:tc>
          <w:tcPr>
            <w:tcW w:w="100" w:type="dxa"/>
            <w:vAlign w:val="bottom"/>
            <w:tcBorders>
              <w:bottom w:val="single" w:sz="8" w:color="C0C0C0"/>
            </w:tcBorders>
            <w:shd w:val="clear" w:color="auto" w:fill="C0C0C0"/>
          </w:tcPr>
          <w:p>
            <w:pPr>
              <w:spacing w:after="0"/>
              <w:rPr>
                <w:sz w:val="13"/>
                <w:szCs w:val="13"/>
                <w:color w:val="auto"/>
              </w:rPr>
            </w:pPr>
          </w:p>
        </w:tc>
        <w:tc>
          <w:tcPr>
            <w:tcW w:w="160" w:type="dxa"/>
            <w:vAlign w:val="bottom"/>
            <w:tcBorders>
              <w:bottom w:val="single" w:sz="8" w:color="C0C0C0"/>
            </w:tcBorders>
            <w:shd w:val="clear" w:color="auto" w:fill="C0C0C0"/>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rPr>
              <w:t>(30,849)</w:t>
            </w:r>
          </w:p>
        </w:tc>
      </w:tr>
      <w:tr>
        <w:trPr>
          <w:trHeight w:val="20"/>
        </w:trPr>
        <w:tc>
          <w:tcPr>
            <w:tcW w:w="578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0C0C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0C0C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8535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5355" cy="184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540"/>
          </w:cols>
          <w:pgMar w:left="220" w:top="479" w:right="1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CONDENSED STATEMENTS OF CASH FLOWS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77"/>
              <w:spacing w:after="0"/>
              <w:rPr>
                <w:sz w:val="20"/>
                <w:szCs w:val="20"/>
                <w:color w:val="auto"/>
              </w:rPr>
            </w:pPr>
            <w:r>
              <w:rPr>
                <w:rFonts w:ascii="Arial" w:cs="Arial" w:eastAsia="Arial" w:hAnsi="Arial"/>
                <w:sz w:val="13"/>
                <w:szCs w:val="13"/>
                <w:b w:val="1"/>
                <w:bCs w:val="1"/>
                <w:color w:val="auto"/>
                <w:w w:val="89"/>
              </w:rPr>
              <w:t>Three months ended March 31,</w:t>
            </w:r>
          </w:p>
        </w:tc>
      </w:tr>
      <w:tr>
        <w:trPr>
          <w:trHeight w:val="180"/>
        </w:trPr>
        <w:tc>
          <w:tcPr>
            <w:tcW w:w="3700" w:type="dxa"/>
            <w:vAlign w:val="bottom"/>
            <w:tcBorders>
              <w:bottom w:val="single" w:sz="8" w:color="C0C0C0"/>
            </w:tcBorders>
          </w:tcPr>
          <w:p>
            <w:pPr>
              <w:spacing w:after="0"/>
              <w:rPr>
                <w:sz w:val="15"/>
                <w:szCs w:val="15"/>
                <w:color w:val="auto"/>
              </w:rPr>
            </w:pPr>
          </w:p>
        </w:tc>
        <w:tc>
          <w:tcPr>
            <w:tcW w:w="580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C0C0C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2010</w:t>
            </w:r>
          </w:p>
        </w:tc>
      </w:tr>
      <w:tr>
        <w:trPr>
          <w:trHeight w:val="170"/>
        </w:trPr>
        <w:tc>
          <w:tcPr>
            <w:tcW w:w="3700" w:type="dxa"/>
            <w:vAlign w:val="bottom"/>
            <w:shd w:val="clear" w:color="auto" w:fill="C0C0C0"/>
          </w:tcPr>
          <w:p>
            <w:pPr>
              <w:spacing w:after="0"/>
              <w:rPr>
                <w:sz w:val="20"/>
                <w:szCs w:val="20"/>
                <w:color w:val="auto"/>
              </w:rPr>
            </w:pPr>
            <w:r>
              <w:rPr>
                <w:rFonts w:ascii="Arial" w:cs="Arial" w:eastAsia="Arial" w:hAnsi="Arial"/>
                <w:sz w:val="13"/>
                <w:szCs w:val="13"/>
                <w:color w:val="auto"/>
              </w:rPr>
              <w:t>Cash flows from operating activities</w:t>
            </w:r>
          </w:p>
        </w:tc>
        <w:tc>
          <w:tcPr>
            <w:tcW w:w="58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76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r>
      <w:tr>
        <w:trPr>
          <w:trHeight w:val="169"/>
        </w:trPr>
        <w:tc>
          <w:tcPr>
            <w:tcW w:w="3700" w:type="dxa"/>
            <w:vAlign w:val="bottom"/>
          </w:tcPr>
          <w:p>
            <w:pPr>
              <w:ind w:left="240"/>
              <w:spacing w:after="0"/>
              <w:rPr>
                <w:sz w:val="20"/>
                <w:szCs w:val="20"/>
                <w:color w:val="auto"/>
              </w:rPr>
            </w:pPr>
            <w:r>
              <w:rPr>
                <w:rFonts w:ascii="Arial" w:cs="Arial" w:eastAsia="Arial" w:hAnsi="Arial"/>
                <w:sz w:val="13"/>
                <w:szCs w:val="13"/>
                <w:color w:val="auto"/>
              </w:rPr>
              <w:t>Net loss</w:t>
            </w:r>
          </w:p>
        </w:tc>
        <w:tc>
          <w:tcPr>
            <w:tcW w:w="59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(43,447)</w:t>
            </w:r>
          </w:p>
        </w:tc>
        <w:tc>
          <w:tcPr>
            <w:tcW w:w="4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(30,522)</w:t>
            </w:r>
          </w:p>
        </w:tc>
      </w:tr>
      <w:tr>
        <w:trPr>
          <w:trHeight w:val="159"/>
        </w:trPr>
        <w:tc>
          <w:tcPr>
            <w:tcW w:w="3700" w:type="dxa"/>
            <w:vAlign w:val="bottom"/>
            <w:tcBorders>
              <w:top w:val="single" w:sz="8" w:color="C0C0C0"/>
            </w:tcBorders>
            <w:shd w:val="clear" w:color="auto" w:fill="C0C0C0"/>
          </w:tcPr>
          <w:p>
            <w:pPr>
              <w:ind w:left="240"/>
              <w:spacing w:after="0"/>
              <w:rPr>
                <w:sz w:val="20"/>
                <w:szCs w:val="20"/>
                <w:color w:val="auto"/>
              </w:rPr>
            </w:pPr>
            <w:r>
              <w:rPr>
                <w:rFonts w:ascii="Arial" w:cs="Arial" w:eastAsia="Arial" w:hAnsi="Arial"/>
                <w:sz w:val="13"/>
                <w:szCs w:val="13"/>
                <w:color w:val="auto"/>
              </w:rPr>
              <w:t>Adjustments to reconcile net loss to net cash</w:t>
            </w:r>
          </w:p>
        </w:tc>
        <w:tc>
          <w:tcPr>
            <w:tcW w:w="5800" w:type="dxa"/>
            <w:vAlign w:val="bottom"/>
            <w:tcBorders>
              <w:top w:val="single" w:sz="8" w:color="C0C0C0"/>
            </w:tcBorders>
            <w:shd w:val="clear" w:color="auto" w:fill="C0C0C0"/>
          </w:tcPr>
          <w:p>
            <w:pPr>
              <w:spacing w:after="0"/>
              <w:rPr>
                <w:sz w:val="13"/>
                <w:szCs w:val="13"/>
                <w:color w:val="auto"/>
              </w:rPr>
            </w:pPr>
          </w:p>
        </w:tc>
        <w:tc>
          <w:tcPr>
            <w:tcW w:w="100" w:type="dxa"/>
            <w:vAlign w:val="bottom"/>
            <w:tcBorders>
              <w:top w:val="single" w:sz="8" w:color="auto"/>
            </w:tcBorders>
            <w:shd w:val="clear" w:color="auto" w:fill="C0C0C0"/>
          </w:tcPr>
          <w:p>
            <w:pPr>
              <w:spacing w:after="0"/>
              <w:rPr>
                <w:sz w:val="13"/>
                <w:szCs w:val="13"/>
                <w:color w:val="auto"/>
              </w:rPr>
            </w:pPr>
          </w:p>
        </w:tc>
        <w:tc>
          <w:tcPr>
            <w:tcW w:w="760" w:type="dxa"/>
            <w:vAlign w:val="bottom"/>
            <w:tcBorders>
              <w:top w:val="single" w:sz="8" w:color="auto"/>
            </w:tcBorders>
            <w:shd w:val="clear" w:color="auto" w:fill="C0C0C0"/>
          </w:tcPr>
          <w:p>
            <w:pPr>
              <w:spacing w:after="0"/>
              <w:rPr>
                <w:sz w:val="13"/>
                <w:szCs w:val="13"/>
                <w:color w:val="auto"/>
              </w:rPr>
            </w:pPr>
          </w:p>
        </w:tc>
        <w:tc>
          <w:tcPr>
            <w:tcW w:w="220" w:type="dxa"/>
            <w:vAlign w:val="bottom"/>
            <w:tcBorders>
              <w:top w:val="single" w:sz="8" w:color="C0C0C0"/>
            </w:tcBorders>
            <w:shd w:val="clear" w:color="auto" w:fill="C0C0C0"/>
          </w:tcPr>
          <w:p>
            <w:pPr>
              <w:spacing w:after="0"/>
              <w:rPr>
                <w:sz w:val="13"/>
                <w:szCs w:val="13"/>
                <w:color w:val="auto"/>
              </w:rPr>
            </w:pPr>
          </w:p>
        </w:tc>
        <w:tc>
          <w:tcPr>
            <w:tcW w:w="200" w:type="dxa"/>
            <w:vAlign w:val="bottom"/>
            <w:tcBorders>
              <w:top w:val="single" w:sz="8" w:color="auto"/>
            </w:tcBorders>
            <w:shd w:val="clear" w:color="auto" w:fill="C0C0C0"/>
          </w:tcPr>
          <w:p>
            <w:pPr>
              <w:spacing w:after="0"/>
              <w:rPr>
                <w:sz w:val="13"/>
                <w:szCs w:val="13"/>
                <w:color w:val="auto"/>
              </w:rPr>
            </w:pPr>
          </w:p>
        </w:tc>
        <w:tc>
          <w:tcPr>
            <w:tcW w:w="700" w:type="dxa"/>
            <w:vAlign w:val="bottom"/>
            <w:tcBorders>
              <w:top w:val="single" w:sz="8" w:color="auto"/>
            </w:tcBorders>
            <w:shd w:val="clear" w:color="auto" w:fill="C0C0C0"/>
          </w:tcPr>
          <w:p>
            <w:pPr>
              <w:spacing w:after="0"/>
              <w:rPr>
                <w:sz w:val="13"/>
                <w:szCs w:val="13"/>
                <w:color w:val="auto"/>
              </w:rPr>
            </w:pPr>
          </w:p>
        </w:tc>
      </w:tr>
      <w:tr>
        <w:trPr>
          <w:trHeight w:val="185"/>
        </w:trPr>
        <w:tc>
          <w:tcPr>
            <w:tcW w:w="3700" w:type="dxa"/>
            <w:vAlign w:val="bottom"/>
            <w:shd w:val="clear" w:color="auto" w:fill="C0C0C0"/>
          </w:tcPr>
          <w:p>
            <w:pPr>
              <w:ind w:left="460"/>
              <w:spacing w:after="0"/>
              <w:rPr>
                <w:sz w:val="20"/>
                <w:szCs w:val="20"/>
                <w:color w:val="auto"/>
              </w:rPr>
            </w:pPr>
            <w:r>
              <w:rPr>
                <w:rFonts w:ascii="Arial" w:cs="Arial" w:eastAsia="Arial" w:hAnsi="Arial"/>
                <w:sz w:val="13"/>
                <w:szCs w:val="13"/>
                <w:color w:val="auto"/>
              </w:rPr>
              <w:t>used in operating activities</w:t>
            </w:r>
          </w:p>
        </w:tc>
        <w:tc>
          <w:tcPr>
            <w:tcW w:w="58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700" w:type="dxa"/>
            <w:vAlign w:val="bottom"/>
            <w:shd w:val="clear" w:color="auto" w:fill="C0C0C0"/>
          </w:tcPr>
          <w:p>
            <w:pPr>
              <w:spacing w:after="0"/>
              <w:rPr>
                <w:sz w:val="16"/>
                <w:szCs w:val="16"/>
                <w:color w:val="auto"/>
              </w:rPr>
            </w:pPr>
          </w:p>
        </w:tc>
      </w:tr>
      <w:tr>
        <w:trPr>
          <w:trHeight w:val="169"/>
        </w:trPr>
        <w:tc>
          <w:tcPr>
            <w:tcW w:w="370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6,978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4,183</w:t>
            </w:r>
          </w:p>
        </w:tc>
      </w:tr>
      <w:tr>
        <w:trPr>
          <w:trHeight w:val="180"/>
        </w:trPr>
        <w:tc>
          <w:tcPr>
            <w:tcW w:w="3700" w:type="dxa"/>
            <w:vAlign w:val="bottom"/>
            <w:shd w:val="clear" w:color="auto" w:fill="C0C0C0"/>
          </w:tcPr>
          <w:p>
            <w:pPr>
              <w:ind w:left="460"/>
              <w:spacing w:after="0"/>
              <w:rPr>
                <w:sz w:val="20"/>
                <w:szCs w:val="20"/>
                <w:color w:val="auto"/>
              </w:rPr>
            </w:pPr>
            <w:r>
              <w:rPr>
                <w:rFonts w:ascii="Arial" w:cs="Arial" w:eastAsia="Arial" w:hAnsi="Arial"/>
                <w:sz w:val="13"/>
                <w:szCs w:val="13"/>
                <w:color w:val="auto"/>
              </w:rPr>
              <w:t>Non-cash compensation expense</w:t>
            </w:r>
          </w:p>
        </w:tc>
        <w:tc>
          <w:tcPr>
            <w:tcW w:w="58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14,801</w:t>
            </w:r>
          </w:p>
        </w:tc>
        <w:tc>
          <w:tcPr>
            <w:tcW w:w="22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8,834</w:t>
            </w:r>
          </w:p>
        </w:tc>
      </w:tr>
      <w:tr>
        <w:trPr>
          <w:trHeight w:val="169"/>
        </w:trPr>
        <w:tc>
          <w:tcPr>
            <w:tcW w:w="3700" w:type="dxa"/>
            <w:vAlign w:val="bottom"/>
          </w:tcPr>
          <w:p>
            <w:pPr>
              <w:ind w:left="460"/>
              <w:spacing w:after="0"/>
              <w:rPr>
                <w:sz w:val="20"/>
                <w:szCs w:val="20"/>
                <w:color w:val="auto"/>
              </w:rPr>
            </w:pPr>
            <w:r>
              <w:rPr>
                <w:rFonts w:ascii="Arial" w:cs="Arial" w:eastAsia="Arial" w:hAnsi="Arial"/>
                <w:sz w:val="13"/>
                <w:szCs w:val="13"/>
                <w:color w:val="auto"/>
              </w:rPr>
              <w:t>Other non-cash charges and expenses</w:t>
            </w: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582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544</w:t>
            </w:r>
          </w:p>
        </w:tc>
      </w:tr>
      <w:tr>
        <w:trPr>
          <w:trHeight w:val="180"/>
        </w:trPr>
        <w:tc>
          <w:tcPr>
            <w:tcW w:w="3700" w:type="dxa"/>
            <w:vAlign w:val="bottom"/>
            <w:shd w:val="clear" w:color="auto" w:fill="C0C0C0"/>
          </w:tcPr>
          <w:p>
            <w:pPr>
              <w:ind w:left="460"/>
              <w:spacing w:after="0"/>
              <w:rPr>
                <w:sz w:val="20"/>
                <w:szCs w:val="20"/>
                <w:color w:val="auto"/>
              </w:rPr>
            </w:pPr>
            <w:r>
              <w:rPr>
                <w:rFonts w:ascii="Arial" w:cs="Arial" w:eastAsia="Arial" w:hAnsi="Arial"/>
                <w:sz w:val="13"/>
                <w:szCs w:val="13"/>
                <w:color w:val="auto"/>
              </w:rPr>
              <w:t>Changes in assets and liabilities</w:t>
            </w:r>
          </w:p>
        </w:tc>
        <w:tc>
          <w:tcPr>
            <w:tcW w:w="58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700" w:type="dxa"/>
            <w:vAlign w:val="bottom"/>
            <w:shd w:val="clear" w:color="auto" w:fill="C0C0C0"/>
          </w:tcPr>
          <w:p>
            <w:pPr>
              <w:spacing w:after="0"/>
              <w:rPr>
                <w:sz w:val="15"/>
                <w:szCs w:val="15"/>
                <w:color w:val="auto"/>
              </w:rPr>
            </w:pPr>
          </w:p>
        </w:tc>
      </w:tr>
      <w:tr>
        <w:trPr>
          <w:trHeight w:val="169"/>
        </w:trPr>
        <w:tc>
          <w:tcPr>
            <w:tcW w:w="3700" w:type="dxa"/>
            <w:vAlign w:val="bottom"/>
          </w:tcPr>
          <w:p>
            <w:pPr>
              <w:ind w:left="660"/>
              <w:spacing w:after="0"/>
              <w:rPr>
                <w:sz w:val="20"/>
                <w:szCs w:val="20"/>
                <w:color w:val="auto"/>
              </w:rPr>
            </w:pPr>
            <w:r>
              <w:rPr>
                <w:rFonts w:ascii="Arial" w:cs="Arial" w:eastAsia="Arial" w:hAnsi="Arial"/>
                <w:sz w:val="13"/>
                <w:szCs w:val="13"/>
                <w:color w:val="auto"/>
              </w:rPr>
              <w:t>Decrease (increase) in accounts receivable</w:t>
            </w: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4,956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(6,290)</w:t>
            </w:r>
          </w:p>
        </w:tc>
      </w:tr>
      <w:tr>
        <w:trPr>
          <w:trHeight w:val="180"/>
        </w:trPr>
        <w:tc>
          <w:tcPr>
            <w:tcW w:w="3700" w:type="dxa"/>
            <w:vAlign w:val="bottom"/>
            <w:shd w:val="clear" w:color="auto" w:fill="C0C0C0"/>
          </w:tcPr>
          <w:p>
            <w:pPr>
              <w:ind w:left="660"/>
              <w:spacing w:after="0"/>
              <w:rPr>
                <w:sz w:val="20"/>
                <w:szCs w:val="20"/>
                <w:color w:val="auto"/>
              </w:rPr>
            </w:pPr>
            <w:r>
              <w:rPr>
                <w:rFonts w:ascii="Arial" w:cs="Arial" w:eastAsia="Arial" w:hAnsi="Arial"/>
                <w:sz w:val="13"/>
                <w:szCs w:val="13"/>
                <w:color w:val="auto"/>
                <w:w w:val="89"/>
              </w:rPr>
              <w:t>Decrease (increase) in prepaid expenses and other assets</w:t>
            </w:r>
          </w:p>
        </w:tc>
        <w:tc>
          <w:tcPr>
            <w:tcW w:w="58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2,286</w:t>
            </w:r>
          </w:p>
        </w:tc>
        <w:tc>
          <w:tcPr>
            <w:tcW w:w="22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(2,483)</w:t>
            </w:r>
          </w:p>
        </w:tc>
      </w:tr>
      <w:tr>
        <w:trPr>
          <w:trHeight w:val="169"/>
        </w:trPr>
        <w:tc>
          <w:tcPr>
            <w:tcW w:w="3700" w:type="dxa"/>
            <w:vAlign w:val="bottom"/>
          </w:tcPr>
          <w:p>
            <w:pPr>
              <w:ind w:left="660"/>
              <w:spacing w:after="0"/>
              <w:rPr>
                <w:sz w:val="20"/>
                <w:szCs w:val="20"/>
                <w:color w:val="auto"/>
              </w:rPr>
            </w:pPr>
            <w:r>
              <w:rPr>
                <w:rFonts w:ascii="Arial" w:cs="Arial" w:eastAsia="Arial" w:hAnsi="Arial"/>
                <w:sz w:val="13"/>
                <w:szCs w:val="13"/>
                <w:color w:val="auto"/>
              </w:rPr>
              <w:t>(Decrease) increase in deferred revenue</w:t>
            </w: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(10,310)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3,513</w:t>
            </w:r>
          </w:p>
        </w:tc>
      </w:tr>
      <w:tr>
        <w:trPr>
          <w:trHeight w:val="169"/>
        </w:trPr>
        <w:tc>
          <w:tcPr>
            <w:tcW w:w="3700" w:type="dxa"/>
            <w:vAlign w:val="bottom"/>
            <w:shd w:val="clear" w:color="auto" w:fill="C0C0C0"/>
          </w:tcPr>
          <w:p>
            <w:pPr>
              <w:ind w:left="660"/>
              <w:spacing w:after="0"/>
              <w:rPr>
                <w:sz w:val="20"/>
                <w:szCs w:val="20"/>
                <w:color w:val="auto"/>
              </w:rPr>
            </w:pPr>
            <w:r>
              <w:rPr>
                <w:rFonts w:ascii="Arial" w:cs="Arial" w:eastAsia="Arial" w:hAnsi="Arial"/>
                <w:sz w:val="13"/>
                <w:szCs w:val="13"/>
                <w:color w:val="auto"/>
              </w:rPr>
              <w:t>Increase in accounts payable, accrued expenses,</w:t>
            </w:r>
          </w:p>
        </w:tc>
        <w:tc>
          <w:tcPr>
            <w:tcW w:w="58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76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r>
      <w:tr>
        <w:trPr>
          <w:trHeight w:val="185"/>
        </w:trPr>
        <w:tc>
          <w:tcPr>
            <w:tcW w:w="3700" w:type="dxa"/>
            <w:vAlign w:val="bottom"/>
            <w:shd w:val="clear" w:color="auto" w:fill="C0C0C0"/>
          </w:tcPr>
          <w:p>
            <w:pPr>
              <w:ind w:left="880"/>
              <w:spacing w:after="0"/>
              <w:rPr>
                <w:sz w:val="20"/>
                <w:szCs w:val="20"/>
                <w:color w:val="auto"/>
              </w:rPr>
            </w:pPr>
            <w:r>
              <w:rPr>
                <w:rFonts w:ascii="Arial" w:cs="Arial" w:eastAsia="Arial" w:hAnsi="Arial"/>
                <w:sz w:val="13"/>
                <w:szCs w:val="13"/>
                <w:color w:val="auto"/>
              </w:rPr>
              <w:t>and other liabilities</w:t>
            </w:r>
          </w:p>
        </w:tc>
        <w:tc>
          <w:tcPr>
            <w:tcW w:w="580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76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rPr>
              <w:t>13,574</w:t>
            </w:r>
          </w:p>
        </w:tc>
        <w:tc>
          <w:tcPr>
            <w:tcW w:w="220" w:type="dxa"/>
            <w:vAlign w:val="bottom"/>
            <w:shd w:val="clear" w:color="auto" w:fill="C0C0C0"/>
          </w:tcPr>
          <w:p>
            <w:pPr>
              <w:spacing w:after="0"/>
              <w:rPr>
                <w:sz w:val="16"/>
                <w:szCs w:val="16"/>
                <w:color w:val="auto"/>
              </w:rPr>
            </w:pPr>
          </w:p>
        </w:tc>
        <w:tc>
          <w:tcPr>
            <w:tcW w:w="200" w:type="dxa"/>
            <w:vAlign w:val="bottom"/>
            <w:tcBorders>
              <w:bottom w:val="single" w:sz="8" w:color="auto"/>
            </w:tcBorders>
            <w:shd w:val="clear" w:color="auto" w:fill="C0C0C0"/>
          </w:tcPr>
          <w:p>
            <w:pPr>
              <w:spacing w:after="0"/>
              <w:rPr>
                <w:sz w:val="16"/>
                <w:szCs w:val="16"/>
                <w:color w:val="auto"/>
              </w:rPr>
            </w:pPr>
          </w:p>
        </w:tc>
        <w:tc>
          <w:tcPr>
            <w:tcW w:w="70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rPr>
              <w:t>12,643</w:t>
            </w:r>
          </w:p>
        </w:tc>
      </w:tr>
      <w:tr>
        <w:trPr>
          <w:trHeight w:val="159"/>
        </w:trPr>
        <w:tc>
          <w:tcPr>
            <w:tcW w:w="3700" w:type="dxa"/>
            <w:vAlign w:val="bottom"/>
            <w:tcBorders>
              <w:bottom w:val="single" w:sz="8" w:color="C0C0C0"/>
            </w:tcBorders>
          </w:tcPr>
          <w:p>
            <w:pPr>
              <w:ind w:left="1080"/>
              <w:spacing w:after="0"/>
              <w:rPr>
                <w:sz w:val="20"/>
                <w:szCs w:val="20"/>
                <w:color w:val="auto"/>
              </w:rPr>
            </w:pPr>
            <w:r>
              <w:rPr>
                <w:rFonts w:ascii="Arial" w:cs="Arial" w:eastAsia="Arial" w:hAnsi="Arial"/>
                <w:sz w:val="13"/>
                <w:szCs w:val="13"/>
                <w:color w:val="auto"/>
              </w:rPr>
              <w:t>Total adjustments</w:t>
            </w:r>
          </w:p>
        </w:tc>
        <w:tc>
          <w:tcPr>
            <w:tcW w:w="5800" w:type="dxa"/>
            <w:vAlign w:val="bottom"/>
            <w:tcBorders>
              <w:bottom w:val="single" w:sz="8" w:color="C0C0C0"/>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32,867</w:t>
            </w:r>
          </w:p>
        </w:tc>
        <w:tc>
          <w:tcPr>
            <w:tcW w:w="220" w:type="dxa"/>
            <w:vAlign w:val="bottom"/>
            <w:tcBorders>
              <w:bottom w:val="single" w:sz="8" w:color="C0C0C0"/>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20,944</w:t>
            </w:r>
          </w:p>
        </w:tc>
      </w:tr>
      <w:tr>
        <w:trPr>
          <w:trHeight w:val="164"/>
        </w:trPr>
        <w:tc>
          <w:tcPr>
            <w:tcW w:w="3700" w:type="dxa"/>
            <w:vAlign w:val="bottom"/>
            <w:shd w:val="clear" w:color="auto" w:fill="C0C0C0"/>
          </w:tcPr>
          <w:p>
            <w:pPr>
              <w:ind w:left="1080"/>
              <w:spacing w:after="0"/>
              <w:rPr>
                <w:sz w:val="20"/>
                <w:szCs w:val="20"/>
                <w:color w:val="auto"/>
              </w:rPr>
            </w:pPr>
            <w:r>
              <w:rPr>
                <w:rFonts w:ascii="Arial" w:cs="Arial" w:eastAsia="Arial" w:hAnsi="Arial"/>
                <w:sz w:val="13"/>
                <w:szCs w:val="13"/>
                <w:color w:val="auto"/>
              </w:rPr>
              <w:t>Net cash used in operating activities</w:t>
            </w:r>
          </w:p>
        </w:tc>
        <w:tc>
          <w:tcPr>
            <w:tcW w:w="5800" w:type="dxa"/>
            <w:vAlign w:val="bottom"/>
            <w:shd w:val="clear" w:color="auto" w:fill="C0C0C0"/>
          </w:tcPr>
          <w:p>
            <w:pPr>
              <w:spacing w:after="0"/>
              <w:rPr>
                <w:sz w:val="14"/>
                <w:szCs w:val="14"/>
                <w:color w:val="auto"/>
              </w:rPr>
            </w:pPr>
          </w:p>
        </w:tc>
        <w:tc>
          <w:tcPr>
            <w:tcW w:w="100" w:type="dxa"/>
            <w:vAlign w:val="bottom"/>
            <w:tcBorders>
              <w:bottom w:val="single" w:sz="8" w:color="auto"/>
            </w:tcBorders>
            <w:shd w:val="clear" w:color="auto" w:fill="C0C0C0"/>
          </w:tcPr>
          <w:p>
            <w:pPr>
              <w:spacing w:after="0"/>
              <w:rPr>
                <w:sz w:val="14"/>
                <w:szCs w:val="14"/>
                <w:color w:val="auto"/>
              </w:rPr>
            </w:pPr>
          </w:p>
        </w:tc>
        <w:tc>
          <w:tcPr>
            <w:tcW w:w="76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3"/>
                <w:szCs w:val="13"/>
                <w:color w:val="auto"/>
              </w:rPr>
              <w:t>(10,580)</w:t>
            </w:r>
          </w:p>
        </w:tc>
        <w:tc>
          <w:tcPr>
            <w:tcW w:w="220" w:type="dxa"/>
            <w:vAlign w:val="bottom"/>
            <w:shd w:val="clear" w:color="auto" w:fill="C0C0C0"/>
          </w:tcPr>
          <w:p>
            <w:pPr>
              <w:spacing w:after="0"/>
              <w:rPr>
                <w:sz w:val="14"/>
                <w:szCs w:val="14"/>
                <w:color w:val="auto"/>
              </w:rPr>
            </w:pPr>
          </w:p>
        </w:tc>
        <w:tc>
          <w:tcPr>
            <w:tcW w:w="200" w:type="dxa"/>
            <w:vAlign w:val="bottom"/>
            <w:tcBorders>
              <w:bottom w:val="single" w:sz="8" w:color="auto"/>
            </w:tcBorders>
            <w:shd w:val="clear" w:color="auto" w:fill="C0C0C0"/>
          </w:tcPr>
          <w:p>
            <w:pPr>
              <w:spacing w:after="0"/>
              <w:rPr>
                <w:sz w:val="14"/>
                <w:szCs w:val="14"/>
                <w:color w:val="auto"/>
              </w:rPr>
            </w:pPr>
          </w:p>
        </w:tc>
        <w:tc>
          <w:tcPr>
            <w:tcW w:w="70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3"/>
                <w:szCs w:val="13"/>
                <w:color w:val="auto"/>
              </w:rPr>
              <w:t>(9,578)</w:t>
            </w:r>
          </w:p>
        </w:tc>
      </w:tr>
      <w:tr>
        <w:trPr>
          <w:trHeight w:val="170"/>
        </w:trPr>
        <w:tc>
          <w:tcPr>
            <w:tcW w:w="3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700" w:type="dxa"/>
            <w:vAlign w:val="bottom"/>
            <w:shd w:val="clear" w:color="auto" w:fill="C0C0C0"/>
          </w:tcPr>
          <w:p>
            <w:pPr>
              <w:spacing w:after="0"/>
              <w:rPr>
                <w:sz w:val="20"/>
                <w:szCs w:val="20"/>
                <w:color w:val="auto"/>
              </w:rPr>
            </w:pPr>
            <w:r>
              <w:rPr>
                <w:rFonts w:ascii="Arial" w:cs="Arial" w:eastAsia="Arial" w:hAnsi="Arial"/>
                <w:sz w:val="13"/>
                <w:szCs w:val="13"/>
                <w:color w:val="auto"/>
              </w:rPr>
              <w:t>Cash flows from investing activities</w:t>
            </w:r>
          </w:p>
        </w:tc>
        <w:tc>
          <w:tcPr>
            <w:tcW w:w="58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700" w:type="dxa"/>
            <w:vAlign w:val="bottom"/>
            <w:shd w:val="clear" w:color="auto" w:fill="C0C0C0"/>
          </w:tcPr>
          <w:p>
            <w:pPr>
              <w:spacing w:after="0"/>
              <w:rPr>
                <w:sz w:val="15"/>
                <w:szCs w:val="15"/>
                <w:color w:val="auto"/>
              </w:rPr>
            </w:pPr>
          </w:p>
        </w:tc>
      </w:tr>
      <w:tr>
        <w:trPr>
          <w:trHeight w:val="169"/>
        </w:trPr>
        <w:tc>
          <w:tcPr>
            <w:tcW w:w="3700" w:type="dxa"/>
            <w:vAlign w:val="bottom"/>
          </w:tcPr>
          <w:p>
            <w:pPr>
              <w:ind w:left="240"/>
              <w:spacing w:after="0"/>
              <w:rPr>
                <w:sz w:val="20"/>
                <w:szCs w:val="20"/>
                <w:color w:val="auto"/>
              </w:rPr>
            </w:pPr>
            <w:r>
              <w:rPr>
                <w:rFonts w:ascii="Arial" w:cs="Arial" w:eastAsia="Arial" w:hAnsi="Arial"/>
                <w:sz w:val="13"/>
                <w:szCs w:val="13"/>
                <w:color w:val="auto"/>
              </w:rPr>
              <w:t>Purchases of marketable securities</w:t>
            </w: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(15,638)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(177,594)</w:t>
            </w:r>
          </w:p>
        </w:tc>
      </w:tr>
      <w:tr>
        <w:trPr>
          <w:trHeight w:val="180"/>
        </w:trPr>
        <w:tc>
          <w:tcPr>
            <w:tcW w:w="3700" w:type="dxa"/>
            <w:vAlign w:val="bottom"/>
            <w:shd w:val="clear" w:color="auto" w:fill="C0C0C0"/>
          </w:tcPr>
          <w:p>
            <w:pPr>
              <w:ind w:left="240"/>
              <w:spacing w:after="0"/>
              <w:rPr>
                <w:sz w:val="20"/>
                <w:szCs w:val="20"/>
                <w:color w:val="auto"/>
              </w:rPr>
            </w:pPr>
            <w:r>
              <w:rPr>
                <w:rFonts w:ascii="Arial" w:cs="Arial" w:eastAsia="Arial" w:hAnsi="Arial"/>
                <w:sz w:val="13"/>
                <w:szCs w:val="13"/>
                <w:color w:val="auto"/>
              </w:rPr>
              <w:t>Sales or maturities of marketable securities</w:t>
            </w:r>
          </w:p>
        </w:tc>
        <w:tc>
          <w:tcPr>
            <w:tcW w:w="58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58,151</w:t>
            </w:r>
          </w:p>
        </w:tc>
        <w:tc>
          <w:tcPr>
            <w:tcW w:w="22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63,936</w:t>
            </w:r>
          </w:p>
        </w:tc>
      </w:tr>
      <w:tr>
        <w:trPr>
          <w:trHeight w:val="169"/>
        </w:trPr>
        <w:tc>
          <w:tcPr>
            <w:tcW w:w="3700" w:type="dxa"/>
            <w:vAlign w:val="bottom"/>
            <w:tcBorders>
              <w:bottom w:val="single" w:sz="8" w:color="C0C0C0"/>
            </w:tcBorders>
          </w:tcPr>
          <w:p>
            <w:pPr>
              <w:ind w:left="240"/>
              <w:spacing w:after="0"/>
              <w:rPr>
                <w:sz w:val="20"/>
                <w:szCs w:val="20"/>
                <w:color w:val="auto"/>
              </w:rPr>
            </w:pPr>
            <w:r>
              <w:rPr>
                <w:rFonts w:ascii="Arial" w:cs="Arial" w:eastAsia="Arial" w:hAnsi="Arial"/>
                <w:sz w:val="13"/>
                <w:szCs w:val="13"/>
                <w:color w:val="auto"/>
              </w:rPr>
              <w:t>Capital expenditures</w:t>
            </w:r>
          </w:p>
        </w:tc>
        <w:tc>
          <w:tcPr>
            <w:tcW w:w="5800" w:type="dxa"/>
            <w:vAlign w:val="bottom"/>
            <w:tcBorders>
              <w:bottom w:val="single" w:sz="8" w:color="C0C0C0"/>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(22,166)</w:t>
            </w:r>
          </w:p>
        </w:tc>
        <w:tc>
          <w:tcPr>
            <w:tcW w:w="220" w:type="dxa"/>
            <w:vAlign w:val="bottom"/>
            <w:tcBorders>
              <w:bottom w:val="single" w:sz="8" w:color="C0C0C0"/>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(22,743)</w:t>
            </w:r>
          </w:p>
        </w:tc>
      </w:tr>
      <w:tr>
        <w:trPr>
          <w:trHeight w:val="164"/>
        </w:trPr>
        <w:tc>
          <w:tcPr>
            <w:tcW w:w="3700" w:type="dxa"/>
            <w:vAlign w:val="bottom"/>
            <w:shd w:val="clear" w:color="auto" w:fill="C0C0C0"/>
          </w:tcPr>
          <w:p>
            <w:pPr>
              <w:ind w:left="1080"/>
              <w:spacing w:after="0"/>
              <w:rPr>
                <w:sz w:val="20"/>
                <w:szCs w:val="20"/>
                <w:color w:val="auto"/>
              </w:rPr>
            </w:pPr>
            <w:r>
              <w:rPr>
                <w:rFonts w:ascii="Arial" w:cs="Arial" w:eastAsia="Arial" w:hAnsi="Arial"/>
                <w:sz w:val="13"/>
                <w:szCs w:val="13"/>
                <w:color w:val="auto"/>
                <w:w w:val="91"/>
              </w:rPr>
              <w:t>Net cash provided by (used in) investing activities</w:t>
            </w:r>
          </w:p>
        </w:tc>
        <w:tc>
          <w:tcPr>
            <w:tcW w:w="5800" w:type="dxa"/>
            <w:vAlign w:val="bottom"/>
            <w:shd w:val="clear" w:color="auto" w:fill="C0C0C0"/>
          </w:tcPr>
          <w:p>
            <w:pPr>
              <w:spacing w:after="0"/>
              <w:rPr>
                <w:sz w:val="14"/>
                <w:szCs w:val="14"/>
                <w:color w:val="auto"/>
              </w:rPr>
            </w:pPr>
          </w:p>
        </w:tc>
        <w:tc>
          <w:tcPr>
            <w:tcW w:w="100" w:type="dxa"/>
            <w:vAlign w:val="bottom"/>
            <w:tcBorders>
              <w:bottom w:val="single" w:sz="8" w:color="auto"/>
            </w:tcBorders>
            <w:shd w:val="clear" w:color="auto" w:fill="C0C0C0"/>
          </w:tcPr>
          <w:p>
            <w:pPr>
              <w:spacing w:after="0"/>
              <w:rPr>
                <w:sz w:val="14"/>
                <w:szCs w:val="14"/>
                <w:color w:val="auto"/>
              </w:rPr>
            </w:pPr>
          </w:p>
        </w:tc>
        <w:tc>
          <w:tcPr>
            <w:tcW w:w="76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rPr>
              <w:t>20,347</w:t>
            </w:r>
          </w:p>
        </w:tc>
        <w:tc>
          <w:tcPr>
            <w:tcW w:w="220" w:type="dxa"/>
            <w:vAlign w:val="bottom"/>
            <w:shd w:val="clear" w:color="auto" w:fill="C0C0C0"/>
          </w:tcPr>
          <w:p>
            <w:pPr>
              <w:spacing w:after="0"/>
              <w:rPr>
                <w:sz w:val="14"/>
                <w:szCs w:val="14"/>
                <w:color w:val="auto"/>
              </w:rPr>
            </w:pPr>
          </w:p>
        </w:tc>
        <w:tc>
          <w:tcPr>
            <w:tcW w:w="200" w:type="dxa"/>
            <w:vAlign w:val="bottom"/>
            <w:tcBorders>
              <w:bottom w:val="single" w:sz="8" w:color="auto"/>
            </w:tcBorders>
            <w:shd w:val="clear" w:color="auto" w:fill="C0C0C0"/>
          </w:tcPr>
          <w:p>
            <w:pPr>
              <w:spacing w:after="0"/>
              <w:rPr>
                <w:sz w:val="14"/>
                <w:szCs w:val="14"/>
                <w:color w:val="auto"/>
              </w:rPr>
            </w:pPr>
          </w:p>
        </w:tc>
        <w:tc>
          <w:tcPr>
            <w:tcW w:w="70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3"/>
                <w:szCs w:val="13"/>
                <w:color w:val="auto"/>
              </w:rPr>
              <w:t>(136,401)</w:t>
            </w:r>
          </w:p>
        </w:tc>
      </w:tr>
      <w:tr>
        <w:trPr>
          <w:trHeight w:val="170"/>
        </w:trPr>
        <w:tc>
          <w:tcPr>
            <w:tcW w:w="3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700" w:type="dxa"/>
            <w:vAlign w:val="bottom"/>
            <w:shd w:val="clear" w:color="auto" w:fill="C0C0C0"/>
          </w:tcPr>
          <w:p>
            <w:pPr>
              <w:spacing w:after="0"/>
              <w:rPr>
                <w:sz w:val="20"/>
                <w:szCs w:val="20"/>
                <w:color w:val="auto"/>
              </w:rPr>
            </w:pPr>
            <w:r>
              <w:rPr>
                <w:rFonts w:ascii="Arial" w:cs="Arial" w:eastAsia="Arial" w:hAnsi="Arial"/>
                <w:sz w:val="13"/>
                <w:szCs w:val="13"/>
                <w:color w:val="auto"/>
              </w:rPr>
              <w:t>Cash flows from financing activities</w:t>
            </w:r>
          </w:p>
        </w:tc>
        <w:tc>
          <w:tcPr>
            <w:tcW w:w="58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700" w:type="dxa"/>
            <w:vAlign w:val="bottom"/>
            <w:shd w:val="clear" w:color="auto" w:fill="C0C0C0"/>
          </w:tcPr>
          <w:p>
            <w:pPr>
              <w:spacing w:after="0"/>
              <w:rPr>
                <w:sz w:val="15"/>
                <w:szCs w:val="15"/>
                <w:color w:val="auto"/>
              </w:rPr>
            </w:pPr>
          </w:p>
        </w:tc>
      </w:tr>
      <w:tr>
        <w:trPr>
          <w:trHeight w:val="169"/>
        </w:trPr>
        <w:tc>
          <w:tcPr>
            <w:tcW w:w="3700" w:type="dxa"/>
            <w:vAlign w:val="bottom"/>
          </w:tcPr>
          <w:p>
            <w:pPr>
              <w:ind w:left="240"/>
              <w:spacing w:after="0"/>
              <w:rPr>
                <w:sz w:val="20"/>
                <w:szCs w:val="20"/>
                <w:color w:val="auto"/>
              </w:rPr>
            </w:pPr>
            <w:r>
              <w:rPr>
                <w:rFonts w:ascii="Arial" w:cs="Arial" w:eastAsia="Arial" w:hAnsi="Arial"/>
                <w:sz w:val="13"/>
                <w:szCs w:val="13"/>
                <w:color w:val="auto"/>
              </w:rPr>
              <w:t>Proceeds in connection with facility lease obligations</w:t>
            </w: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47,544</w:t>
            </w:r>
          </w:p>
        </w:tc>
      </w:tr>
      <w:tr>
        <w:trPr>
          <w:trHeight w:val="180"/>
        </w:trPr>
        <w:tc>
          <w:tcPr>
            <w:tcW w:w="3700" w:type="dxa"/>
            <w:vAlign w:val="bottom"/>
            <w:shd w:val="clear" w:color="auto" w:fill="C0C0C0"/>
          </w:tcPr>
          <w:p>
            <w:pPr>
              <w:ind w:left="240"/>
              <w:spacing w:after="0"/>
              <w:rPr>
                <w:sz w:val="20"/>
                <w:szCs w:val="20"/>
                <w:color w:val="auto"/>
              </w:rPr>
            </w:pPr>
            <w:r>
              <w:rPr>
                <w:rFonts w:ascii="Arial" w:cs="Arial" w:eastAsia="Arial" w:hAnsi="Arial"/>
                <w:sz w:val="13"/>
                <w:szCs w:val="13"/>
                <w:color w:val="auto"/>
              </w:rPr>
              <w:t>Payments in connection with facility lease obligations</w:t>
            </w:r>
          </w:p>
        </w:tc>
        <w:tc>
          <w:tcPr>
            <w:tcW w:w="58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(89)</w:t>
            </w:r>
          </w:p>
        </w:tc>
        <w:tc>
          <w:tcPr>
            <w:tcW w:w="22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(555)</w:t>
            </w:r>
          </w:p>
        </w:tc>
      </w:tr>
      <w:tr>
        <w:trPr>
          <w:trHeight w:val="169"/>
        </w:trPr>
        <w:tc>
          <w:tcPr>
            <w:tcW w:w="3700" w:type="dxa"/>
            <w:vAlign w:val="bottom"/>
          </w:tcPr>
          <w:p>
            <w:pPr>
              <w:ind w:left="240"/>
              <w:spacing w:after="0"/>
              <w:rPr>
                <w:sz w:val="20"/>
                <w:szCs w:val="20"/>
                <w:color w:val="auto"/>
              </w:rPr>
            </w:pPr>
            <w:r>
              <w:rPr>
                <w:rFonts w:ascii="Arial" w:cs="Arial" w:eastAsia="Arial" w:hAnsi="Arial"/>
                <w:sz w:val="13"/>
                <w:szCs w:val="13"/>
                <w:color w:val="auto"/>
              </w:rPr>
              <w:t>Net proceeds from the issuance of Common Stock</w:t>
            </w: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13,343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9,226</w:t>
            </w:r>
          </w:p>
        </w:tc>
      </w:tr>
      <w:tr>
        <w:trPr>
          <w:trHeight w:val="180"/>
        </w:trPr>
        <w:tc>
          <w:tcPr>
            <w:tcW w:w="3700" w:type="dxa"/>
            <w:vAlign w:val="bottom"/>
            <w:shd w:val="clear" w:color="auto" w:fill="C0C0C0"/>
          </w:tcPr>
          <w:p>
            <w:pPr>
              <w:ind w:left="240"/>
              <w:spacing w:after="0"/>
              <w:rPr>
                <w:sz w:val="20"/>
                <w:szCs w:val="20"/>
                <w:color w:val="auto"/>
              </w:rPr>
            </w:pPr>
            <w:r>
              <w:rPr>
                <w:rFonts w:ascii="Arial" w:cs="Arial" w:eastAsia="Arial" w:hAnsi="Arial"/>
                <w:sz w:val="13"/>
                <w:szCs w:val="13"/>
                <w:color w:val="auto"/>
              </w:rPr>
              <w:t>Payments in connection with capital lease obligation</w:t>
            </w:r>
          </w:p>
        </w:tc>
        <w:tc>
          <w:tcPr>
            <w:tcW w:w="5800" w:type="dxa"/>
            <w:vAlign w:val="bottom"/>
            <w:shd w:val="clear" w:color="auto" w:fill="C0C0C0"/>
          </w:tcPr>
          <w:p>
            <w:pPr>
              <w:spacing w:after="0"/>
              <w:rPr>
                <w:sz w:val="15"/>
                <w:szCs w:val="15"/>
                <w:color w:val="auto"/>
              </w:rPr>
            </w:pPr>
          </w:p>
        </w:tc>
        <w:tc>
          <w:tcPr>
            <w:tcW w:w="100" w:type="dxa"/>
            <w:vAlign w:val="bottom"/>
            <w:tcBorders>
              <w:bottom w:val="single" w:sz="8" w:color="auto"/>
            </w:tcBorders>
            <w:shd w:val="clear" w:color="auto" w:fill="C0C0C0"/>
          </w:tcPr>
          <w:p>
            <w:pPr>
              <w:spacing w:after="0"/>
              <w:rPr>
                <w:sz w:val="15"/>
                <w:szCs w:val="15"/>
                <w:color w:val="auto"/>
              </w:rPr>
            </w:pPr>
          </w:p>
        </w:tc>
        <w:tc>
          <w:tcPr>
            <w:tcW w:w="76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3"/>
                <w:szCs w:val="13"/>
                <w:color w:val="auto"/>
              </w:rPr>
              <w:t>(217)</w:t>
            </w:r>
          </w:p>
        </w:tc>
        <w:tc>
          <w:tcPr>
            <w:tcW w:w="220" w:type="dxa"/>
            <w:vAlign w:val="bottom"/>
            <w:shd w:val="clear" w:color="auto" w:fill="C0C0C0"/>
          </w:tcPr>
          <w:p>
            <w:pPr>
              <w:spacing w:after="0"/>
              <w:rPr>
                <w:sz w:val="15"/>
                <w:szCs w:val="15"/>
                <w:color w:val="auto"/>
              </w:rPr>
            </w:pPr>
          </w:p>
        </w:tc>
        <w:tc>
          <w:tcPr>
            <w:tcW w:w="200" w:type="dxa"/>
            <w:vAlign w:val="bottom"/>
            <w:tcBorders>
              <w:bottom w:val="single" w:sz="8" w:color="auto"/>
            </w:tcBorders>
            <w:shd w:val="clear" w:color="auto" w:fill="C0C0C0"/>
          </w:tcPr>
          <w:p>
            <w:pPr>
              <w:spacing w:after="0"/>
              <w:rPr>
                <w:sz w:val="15"/>
                <w:szCs w:val="15"/>
                <w:color w:val="auto"/>
              </w:rPr>
            </w:pPr>
          </w:p>
        </w:tc>
        <w:tc>
          <w:tcPr>
            <w:tcW w:w="700" w:type="dxa"/>
            <w:vAlign w:val="bottom"/>
            <w:tcBorders>
              <w:bottom w:val="single" w:sz="8" w:color="auto"/>
            </w:tcBorders>
            <w:shd w:val="clear" w:color="auto" w:fill="C0C0C0"/>
          </w:tcPr>
          <w:p>
            <w:pPr>
              <w:spacing w:after="0"/>
              <w:rPr>
                <w:sz w:val="15"/>
                <w:szCs w:val="15"/>
                <w:color w:val="auto"/>
              </w:rPr>
            </w:pPr>
          </w:p>
        </w:tc>
      </w:tr>
      <w:tr>
        <w:trPr>
          <w:trHeight w:val="159"/>
        </w:trPr>
        <w:tc>
          <w:tcPr>
            <w:tcW w:w="3700" w:type="dxa"/>
            <w:vAlign w:val="bottom"/>
          </w:tcPr>
          <w:p>
            <w:pPr>
              <w:ind w:left="1080"/>
              <w:spacing w:after="0"/>
              <w:rPr>
                <w:sz w:val="20"/>
                <w:szCs w:val="20"/>
                <w:color w:val="auto"/>
              </w:rPr>
            </w:pPr>
            <w:r>
              <w:rPr>
                <w:rFonts w:ascii="Arial" w:cs="Arial" w:eastAsia="Arial" w:hAnsi="Arial"/>
                <w:sz w:val="13"/>
                <w:szCs w:val="13"/>
                <w:color w:val="auto"/>
              </w:rPr>
              <w:t>Net cash provided by financing activities</w:t>
            </w:r>
          </w:p>
        </w:tc>
        <w:tc>
          <w:tcPr>
            <w:tcW w:w="5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13,037</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56,215</w:t>
            </w:r>
          </w:p>
        </w:tc>
      </w:tr>
      <w:tr>
        <w:trPr>
          <w:trHeight w:val="170"/>
        </w:trPr>
        <w:tc>
          <w:tcPr>
            <w:tcW w:w="3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700" w:type="dxa"/>
            <w:vAlign w:val="bottom"/>
            <w:shd w:val="clear" w:color="auto" w:fill="C0C0C0"/>
          </w:tcPr>
          <w:p>
            <w:pPr>
              <w:spacing w:after="0"/>
              <w:rPr>
                <w:sz w:val="20"/>
                <w:szCs w:val="20"/>
                <w:color w:val="auto"/>
              </w:rPr>
            </w:pPr>
            <w:r>
              <w:rPr>
                <w:rFonts w:ascii="Arial" w:cs="Arial" w:eastAsia="Arial" w:hAnsi="Arial"/>
                <w:sz w:val="13"/>
                <w:szCs w:val="13"/>
                <w:color w:val="auto"/>
              </w:rPr>
              <w:t>Net increase (decrease) in cash and cash equivalents</w:t>
            </w:r>
          </w:p>
        </w:tc>
        <w:tc>
          <w:tcPr>
            <w:tcW w:w="58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22,804</w:t>
            </w:r>
          </w:p>
        </w:tc>
        <w:tc>
          <w:tcPr>
            <w:tcW w:w="22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(89,764)</w:t>
            </w:r>
          </w:p>
        </w:tc>
      </w:tr>
      <w:tr>
        <w:trPr>
          <w:trHeight w:val="175"/>
        </w:trPr>
        <w:tc>
          <w:tcPr>
            <w:tcW w:w="370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9"/>
        </w:trPr>
        <w:tc>
          <w:tcPr>
            <w:tcW w:w="3700" w:type="dxa"/>
            <w:vAlign w:val="bottom"/>
            <w:shd w:val="clear" w:color="auto" w:fill="C0C0C0"/>
          </w:tcPr>
          <w:p>
            <w:pPr>
              <w:spacing w:after="0"/>
              <w:rPr>
                <w:sz w:val="20"/>
                <w:szCs w:val="20"/>
                <w:color w:val="auto"/>
              </w:rPr>
            </w:pPr>
            <w:r>
              <w:rPr>
                <w:rFonts w:ascii="Arial" w:cs="Arial" w:eastAsia="Arial" w:hAnsi="Arial"/>
                <w:sz w:val="13"/>
                <w:szCs w:val="13"/>
                <w:color w:val="auto"/>
              </w:rPr>
              <w:t>Cash and cash equivalents at beginning of period</w:t>
            </w:r>
          </w:p>
        </w:tc>
        <w:tc>
          <w:tcPr>
            <w:tcW w:w="5800" w:type="dxa"/>
            <w:vAlign w:val="bottom"/>
            <w:shd w:val="clear" w:color="auto" w:fill="C0C0C0"/>
          </w:tcPr>
          <w:p>
            <w:pPr>
              <w:spacing w:after="0"/>
              <w:rPr>
                <w:sz w:val="14"/>
                <w:szCs w:val="14"/>
                <w:color w:val="auto"/>
              </w:rPr>
            </w:pPr>
          </w:p>
        </w:tc>
        <w:tc>
          <w:tcPr>
            <w:tcW w:w="100" w:type="dxa"/>
            <w:vAlign w:val="bottom"/>
            <w:tcBorders>
              <w:bottom w:val="single" w:sz="8" w:color="auto"/>
            </w:tcBorders>
            <w:shd w:val="clear" w:color="auto" w:fill="C0C0C0"/>
          </w:tcPr>
          <w:p>
            <w:pPr>
              <w:spacing w:after="0"/>
              <w:rPr>
                <w:sz w:val="14"/>
                <w:szCs w:val="14"/>
                <w:color w:val="auto"/>
              </w:rPr>
            </w:pPr>
          </w:p>
        </w:tc>
        <w:tc>
          <w:tcPr>
            <w:tcW w:w="76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rPr>
              <w:t>112,572</w:t>
            </w:r>
          </w:p>
        </w:tc>
        <w:tc>
          <w:tcPr>
            <w:tcW w:w="220" w:type="dxa"/>
            <w:vAlign w:val="bottom"/>
            <w:shd w:val="clear" w:color="auto" w:fill="C0C0C0"/>
          </w:tcPr>
          <w:p>
            <w:pPr>
              <w:spacing w:after="0"/>
              <w:rPr>
                <w:sz w:val="14"/>
                <w:szCs w:val="14"/>
                <w:color w:val="auto"/>
              </w:rPr>
            </w:pPr>
          </w:p>
        </w:tc>
        <w:tc>
          <w:tcPr>
            <w:tcW w:w="200" w:type="dxa"/>
            <w:vAlign w:val="bottom"/>
            <w:tcBorders>
              <w:bottom w:val="single" w:sz="8" w:color="auto"/>
            </w:tcBorders>
            <w:shd w:val="clear" w:color="auto" w:fill="C0C0C0"/>
          </w:tcPr>
          <w:p>
            <w:pPr>
              <w:spacing w:after="0"/>
              <w:rPr>
                <w:sz w:val="14"/>
                <w:szCs w:val="14"/>
                <w:color w:val="auto"/>
              </w:rPr>
            </w:pPr>
          </w:p>
        </w:tc>
        <w:tc>
          <w:tcPr>
            <w:tcW w:w="70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rPr>
              <w:t>207,075</w:t>
            </w:r>
          </w:p>
        </w:tc>
      </w:tr>
      <w:tr>
        <w:trPr>
          <w:trHeight w:val="170"/>
        </w:trPr>
        <w:tc>
          <w:tcPr>
            <w:tcW w:w="3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4"/>
        </w:trPr>
        <w:tc>
          <w:tcPr>
            <w:tcW w:w="37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Cash and cash equivalents at end of period</w:t>
            </w:r>
          </w:p>
        </w:tc>
        <w:tc>
          <w:tcPr>
            <w:tcW w:w="58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rPr>
              <w:t>135,376</w:t>
            </w:r>
          </w:p>
        </w:tc>
        <w:tc>
          <w:tcPr>
            <w:tcW w:w="220" w:type="dxa"/>
            <w:vAlign w:val="bottom"/>
            <w:tcBorders>
              <w:bottom w:val="single" w:sz="8" w:color="C0C0C0"/>
            </w:tcBorders>
            <w:shd w:val="clear" w:color="auto" w:fill="C0C0C0"/>
          </w:tcPr>
          <w:p>
            <w:pPr>
              <w:spacing w:after="0"/>
              <w:rPr>
                <w:sz w:val="15"/>
                <w:szCs w:val="15"/>
                <w:color w:val="auto"/>
              </w:rPr>
            </w:pPr>
          </w:p>
        </w:tc>
        <w:tc>
          <w:tcPr>
            <w:tcW w:w="20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3"/>
                <w:szCs w:val="13"/>
                <w:color w:val="auto"/>
              </w:rPr>
              <w:t>117,311</w:t>
            </w:r>
          </w:p>
        </w:tc>
      </w:tr>
      <w:tr>
        <w:trPr>
          <w:trHeight w:val="329"/>
        </w:trPr>
        <w:tc>
          <w:tcPr>
            <w:tcW w:w="3700" w:type="dxa"/>
            <w:vAlign w:val="bottom"/>
          </w:tcPr>
          <w:p>
            <w:pPr>
              <w:spacing w:after="0"/>
              <w:rPr>
                <w:sz w:val="24"/>
                <w:szCs w:val="24"/>
                <w:color w:val="auto"/>
              </w:rPr>
            </w:pPr>
          </w:p>
        </w:tc>
        <w:tc>
          <w:tcPr>
            <w:tcW w:w="5900" w:type="dxa"/>
            <w:vAlign w:val="bottom"/>
            <w:gridSpan w:val="2"/>
          </w:tcPr>
          <w:p>
            <w:pPr>
              <w:jc w:val="center"/>
              <w:ind w:right="1777"/>
              <w:spacing w:after="0"/>
              <w:rPr>
                <w:sz w:val="20"/>
                <w:szCs w:val="20"/>
                <w:color w:val="auto"/>
              </w:rPr>
            </w:pPr>
            <w:r>
              <w:rPr>
                <w:rFonts w:ascii="Arial" w:cs="Arial" w:eastAsia="Arial" w:hAnsi="Arial"/>
                <w:sz w:val="13"/>
                <w:szCs w:val="13"/>
                <w:b w:val="1"/>
                <w:bCs w:val="1"/>
                <w:color w:val="auto"/>
                <w:w w:val="87"/>
              </w:rPr>
              <w:t>The accompanying notes are an integral part of the financial statements.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5"/>
        </w:trPr>
        <w:tc>
          <w:tcPr>
            <w:tcW w:w="3700" w:type="dxa"/>
            <w:vAlign w:val="bottom"/>
            <w:tcBorders>
              <w:bottom w:val="single" w:sz="8" w:color="auto"/>
            </w:tcBorders>
          </w:tcPr>
          <w:p>
            <w:pPr>
              <w:spacing w:after="0"/>
              <w:rPr>
                <w:sz w:val="16"/>
                <w:szCs w:val="16"/>
                <w:color w:val="auto"/>
              </w:rPr>
            </w:pPr>
          </w:p>
        </w:tc>
        <w:tc>
          <w:tcPr>
            <w:tcW w:w="5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368"/>
        </w:trPr>
        <w:tc>
          <w:tcPr>
            <w:tcW w:w="3700" w:type="dxa"/>
            <w:vAlign w:val="bottom"/>
          </w:tcPr>
          <w:p>
            <w:pPr>
              <w:spacing w:after="0"/>
              <w:rPr>
                <w:sz w:val="24"/>
                <w:szCs w:val="24"/>
                <w:color w:val="auto"/>
              </w:rPr>
            </w:pPr>
          </w:p>
        </w:tc>
        <w:tc>
          <w:tcPr>
            <w:tcW w:w="5800" w:type="dxa"/>
            <w:vAlign w:val="bottom"/>
          </w:tcPr>
          <w:p>
            <w:pPr>
              <w:jc w:val="right"/>
              <w:ind w:right="367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8"/>
        </w:trPr>
        <w:tc>
          <w:tcPr>
            <w:tcW w:w="3700" w:type="dxa"/>
            <w:vAlign w:val="bottom"/>
            <w:tcBorders>
              <w:bottom w:val="single" w:sz="8" w:color="808080"/>
            </w:tcBorders>
          </w:tcPr>
          <w:p>
            <w:pPr>
              <w:spacing w:after="0"/>
              <w:rPr>
                <w:sz w:val="22"/>
                <w:szCs w:val="22"/>
                <w:color w:val="auto"/>
              </w:rPr>
            </w:pPr>
          </w:p>
        </w:tc>
        <w:tc>
          <w:tcPr>
            <w:tcW w:w="580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70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Condensed Financial Statements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Interim Financial Statements</w:t>
      </w:r>
    </w:p>
    <w:p>
      <w:pPr>
        <w:spacing w:after="0" w:line="204" w:lineRule="exact"/>
        <w:rPr>
          <w:sz w:val="20"/>
          <w:szCs w:val="20"/>
          <w:color w:val="auto"/>
        </w:rPr>
      </w:pPr>
    </w:p>
    <w:p>
      <w:pPr>
        <w:jc w:val="both"/>
        <w:ind w:firstLine="214"/>
        <w:spacing w:after="0" w:line="277" w:lineRule="auto"/>
        <w:rPr>
          <w:sz w:val="20"/>
          <w:szCs w:val="20"/>
          <w:color w:val="auto"/>
        </w:rPr>
      </w:pPr>
      <w:r>
        <w:rPr>
          <w:rFonts w:ascii="Arial" w:cs="Arial" w:eastAsia="Arial" w:hAnsi="Arial"/>
          <w:sz w:val="12"/>
          <w:szCs w:val="12"/>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2010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2010.</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Certain reclassifications have been made to the financial statements for the three months ended March 31, 2010 to conform with the current period’s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ARCALYST</w:t>
      </w:r>
      <w:r>
        <w:rPr>
          <w:rFonts w:ascii="Arial" w:cs="Arial" w:eastAsia="Arial" w:hAnsi="Arial"/>
          <w:sz w:val="17"/>
          <w:szCs w:val="17"/>
          <w:b w:val="1"/>
          <w:bCs w:val="1"/>
          <w:color w:val="auto"/>
          <w:vertAlign w:val="superscript"/>
        </w:rPr>
        <w:t>®</w:t>
      </w:r>
      <w:r>
        <w:rPr>
          <w:rFonts w:ascii="Arial" w:cs="Arial" w:eastAsia="Arial" w:hAnsi="Arial"/>
          <w:sz w:val="13"/>
          <w:szCs w:val="13"/>
          <w:b w:val="1"/>
          <w:bCs w:val="1"/>
          <w:color w:val="auto"/>
        </w:rPr>
        <w:t xml:space="preserve"> (rilonacept) Product Revenue</w:t>
      </w:r>
    </w:p>
    <w:p>
      <w:pPr>
        <w:spacing w:after="0" w:line="158" w:lineRule="exact"/>
        <w:rPr>
          <w:sz w:val="20"/>
          <w:szCs w:val="20"/>
          <w:color w:val="auto"/>
        </w:rPr>
      </w:pPr>
    </w:p>
    <w:p>
      <w:pPr>
        <w:jc w:val="both"/>
        <w:ind w:firstLine="223"/>
        <w:spacing w:after="0" w:line="233" w:lineRule="auto"/>
        <w:rPr>
          <w:sz w:val="20"/>
          <w:szCs w:val="20"/>
          <w:color w:val="auto"/>
        </w:rPr>
      </w:pPr>
      <w:r>
        <w:rPr>
          <w:rFonts w:ascii="Arial" w:cs="Arial" w:eastAsia="Arial" w:hAnsi="Arial"/>
          <w:sz w:val="12"/>
          <w:szCs w:val="12"/>
          <w:color w:val="auto"/>
        </w:rPr>
        <w:t>In February 2008, the Company received marketing approval from the U.S. Food and Drug Administration (“FDA”) for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Injection for Subcutaneous Use for the treatment of Cryopyrin-Associated Periodic Syndromes (“CAPS”). The Company had limited historical return experience for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beginning with initial sales in 2008 through the end of 2009; therefore,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net product sales were deferred until the right of return no longer existed and rebates could be reasonably estimated. Effective in the first quarter of 2010, the Company determined that it had accumulated sufficient historical data to reasonably estimate both product returns and rebates of ARCALYST</w:t>
      </w:r>
      <w:r>
        <w:rPr>
          <w:rFonts w:ascii="Arial" w:cs="Arial" w:eastAsia="Arial" w:hAnsi="Arial"/>
          <w:sz w:val="16"/>
          <w:szCs w:val="16"/>
          <w:color w:val="auto"/>
          <w:vertAlign w:val="superscript"/>
        </w:rPr>
        <w:t>®</w:t>
      </w:r>
      <w:r>
        <w:rPr>
          <w:rFonts w:ascii="Arial" w:cs="Arial" w:eastAsia="Arial" w:hAnsi="Arial"/>
          <w:sz w:val="12"/>
          <w:szCs w:val="12"/>
          <w:color w:val="auto"/>
        </w:rPr>
        <w:t>. As a result, $4.8 million of previously deferred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net product sales were recognized as revenue in the first quarter of 2010. The effect of this change in estimate related to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net product sales revenue was to lower the Company’s net loss per share by $0.06 for the three months ended March 31, 2010.</w:t>
      </w:r>
    </w:p>
    <w:p>
      <w:pPr>
        <w:spacing w:after="0" w:line="122" w:lineRule="exact"/>
        <w:rPr>
          <w:sz w:val="20"/>
          <w:szCs w:val="20"/>
          <w:color w:val="auto"/>
        </w:rPr>
      </w:pPr>
    </w:p>
    <w:p>
      <w:pPr>
        <w:jc w:val="both"/>
        <w:ind w:firstLine="214"/>
        <w:spacing w:after="0" w:line="294" w:lineRule="auto"/>
        <w:rPr>
          <w:sz w:val="20"/>
          <w:szCs w:val="20"/>
          <w:color w:val="auto"/>
        </w:rPr>
      </w:pPr>
      <w:r>
        <w:rPr>
          <w:rFonts w:ascii="Arial" w:cs="Arial" w:eastAsia="Arial" w:hAnsi="Arial"/>
          <w:sz w:val="11"/>
          <w:szCs w:val="11"/>
          <w:color w:val="auto"/>
        </w:rPr>
        <w:t>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net product sales totaled $4.4 million and $9.9 million for the three months ended March 31, 2011 and 2010, respectively.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net product sales during the first three months of 2010 included $5.1 million of net product sales made during this period and $4.8 million of previously deferred net product sales, as described above. There was no deferred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net product sales revenue at March 31, 2011 or 2010.</w:t>
      </w:r>
    </w:p>
    <w:p>
      <w:pPr>
        <w:spacing w:after="0" w:line="82" w:lineRule="exact"/>
        <w:rPr>
          <w:sz w:val="20"/>
          <w:szCs w:val="20"/>
          <w:color w:val="auto"/>
        </w:rPr>
      </w:pPr>
    </w:p>
    <w:p>
      <w:pPr>
        <w:jc w:val="both"/>
        <w:ind w:firstLine="204"/>
        <w:spacing w:after="0" w:line="273" w:lineRule="auto"/>
        <w:rPr>
          <w:sz w:val="20"/>
          <w:szCs w:val="20"/>
          <w:color w:val="auto"/>
        </w:rPr>
      </w:pPr>
      <w:r>
        <w:rPr>
          <w:rFonts w:ascii="Arial" w:cs="Arial" w:eastAsia="Arial" w:hAnsi="Arial"/>
          <w:sz w:val="11"/>
          <w:szCs w:val="11"/>
          <w:color w:val="auto"/>
        </w:rPr>
        <w:t>Cost of goods sold related to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sales, which consisted primarily of royalties, totaled $0.4 million and $0.7 million for the three months ended March 31, 2011 and 2010, respectively.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shipments to the Company’s customers primarily consisted of supplies of inventory manufactured and expensed as research and development costs prior to 2008; therefore, the costs of these supplies were not included in costs of goods sold.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Per Share Data</w:t>
      </w:r>
    </w:p>
    <w:p>
      <w:pPr>
        <w:spacing w:after="0" w:line="204" w:lineRule="exact"/>
        <w:rPr>
          <w:sz w:val="20"/>
          <w:szCs w:val="20"/>
          <w:color w:val="auto"/>
        </w:rPr>
      </w:pPr>
    </w:p>
    <w:p>
      <w:pPr>
        <w:jc w:val="both"/>
        <w:ind w:firstLine="233"/>
        <w:spacing w:after="0" w:line="255" w:lineRule="auto"/>
        <w:rPr>
          <w:sz w:val="20"/>
          <w:szCs w:val="20"/>
          <w:color w:val="auto"/>
        </w:rPr>
      </w:pPr>
      <w:r>
        <w:rPr>
          <w:rFonts w:ascii="Arial" w:cs="Arial" w:eastAsia="Arial" w:hAnsi="Arial"/>
          <w:sz w:val="13"/>
          <w:szCs w:val="13"/>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months ended March 31, 2011 and 2010,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479" w:right="2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Condensed Financial Statements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3"/>
                <w:szCs w:val="13"/>
                <w:b w:val="1"/>
                <w:bCs w:val="1"/>
                <w:color w:val="auto"/>
                <w:w w:val="90"/>
              </w:rPr>
              <w:t>Three Months Ended March 31,</w:t>
            </w:r>
          </w:p>
        </w:tc>
      </w:tr>
      <w:tr>
        <w:trPr>
          <w:trHeight w:val="165"/>
        </w:trPr>
        <w:tc>
          <w:tcPr>
            <w:tcW w:w="6100" w:type="dxa"/>
            <w:vAlign w:val="bottom"/>
            <w:tcBorders>
              <w:bottom w:val="single" w:sz="8" w:color="C0C0C0"/>
            </w:tcBorders>
          </w:tcPr>
          <w:p>
            <w:pPr>
              <w:spacing w:after="0"/>
              <w:rPr>
                <w:sz w:val="14"/>
                <w:szCs w:val="14"/>
                <w:color w:val="auto"/>
              </w:rPr>
            </w:pPr>
          </w:p>
        </w:tc>
        <w:tc>
          <w:tcPr>
            <w:tcW w:w="3360" w:type="dxa"/>
            <w:vAlign w:val="bottom"/>
            <w:tcBorders>
              <w:bottom w:val="single" w:sz="8" w:color="C0C0C0"/>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C0C0C0"/>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2010</w:t>
            </w:r>
          </w:p>
        </w:tc>
      </w:tr>
      <w:tr>
        <w:trPr>
          <w:trHeight w:val="170"/>
        </w:trPr>
        <w:tc>
          <w:tcPr>
            <w:tcW w:w="6100" w:type="dxa"/>
            <w:vAlign w:val="bottom"/>
            <w:shd w:val="clear" w:color="auto" w:fill="C0C0C0"/>
          </w:tcPr>
          <w:p>
            <w:pPr>
              <w:spacing w:after="0"/>
              <w:rPr>
                <w:sz w:val="20"/>
                <w:szCs w:val="20"/>
                <w:color w:val="auto"/>
              </w:rPr>
            </w:pPr>
            <w:r>
              <w:rPr>
                <w:rFonts w:ascii="Arial" w:cs="Arial" w:eastAsia="Arial" w:hAnsi="Arial"/>
                <w:sz w:val="13"/>
                <w:szCs w:val="13"/>
                <w:color w:val="auto"/>
              </w:rPr>
              <w:t>Net loss (Numerator)</w:t>
            </w:r>
          </w:p>
        </w:tc>
        <w:tc>
          <w:tcPr>
            <w:tcW w:w="3460" w:type="dxa"/>
            <w:vAlign w:val="bottom"/>
            <w:gridSpan w:val="2"/>
            <w:shd w:val="clear" w:color="auto" w:fill="C0C0C0"/>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(43,447)</w:t>
            </w:r>
          </w:p>
        </w:tc>
        <w:tc>
          <w:tcPr>
            <w:tcW w:w="200" w:type="dxa"/>
            <w:vAlign w:val="bottom"/>
            <w:shd w:val="clear" w:color="auto" w:fill="C0C0C0"/>
          </w:tcPr>
          <w:p>
            <w:pPr>
              <w:spacing w:after="0"/>
              <w:rPr>
                <w:sz w:val="14"/>
                <w:szCs w:val="14"/>
                <w:color w:val="auto"/>
              </w:rPr>
            </w:pPr>
          </w:p>
        </w:tc>
        <w:tc>
          <w:tcPr>
            <w:tcW w:w="200" w:type="dxa"/>
            <w:vAlign w:val="bottom"/>
            <w:shd w:val="clear" w:color="auto" w:fill="C0C0C0"/>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(30,522)</w:t>
            </w:r>
          </w:p>
        </w:tc>
      </w:tr>
      <w:tr>
        <w:trPr>
          <w:trHeight w:val="175"/>
        </w:trPr>
        <w:tc>
          <w:tcPr>
            <w:tcW w:w="61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100" w:type="dxa"/>
            <w:vAlign w:val="bottom"/>
            <w:shd w:val="clear" w:color="auto" w:fill="C0C0C0"/>
          </w:tcPr>
          <w:p>
            <w:pPr>
              <w:spacing w:after="0"/>
              <w:rPr>
                <w:sz w:val="20"/>
                <w:szCs w:val="20"/>
                <w:color w:val="auto"/>
              </w:rPr>
            </w:pPr>
            <w:r>
              <w:rPr>
                <w:rFonts w:ascii="Arial" w:cs="Arial" w:eastAsia="Arial" w:hAnsi="Arial"/>
                <w:sz w:val="13"/>
                <w:szCs w:val="13"/>
                <w:color w:val="auto"/>
              </w:rPr>
              <w:t>Weighted-average shares, in thousands (Denominator)</w:t>
            </w:r>
          </w:p>
        </w:tc>
        <w:tc>
          <w:tcPr>
            <w:tcW w:w="336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800" w:type="dxa"/>
            <w:vAlign w:val="bottom"/>
            <w:shd w:val="clear" w:color="auto" w:fill="C0C0C0"/>
          </w:tcPr>
          <w:p>
            <w:pPr>
              <w:jc w:val="right"/>
              <w:ind w:right="57"/>
              <w:spacing w:after="0"/>
              <w:rPr>
                <w:sz w:val="20"/>
                <w:szCs w:val="20"/>
                <w:color w:val="auto"/>
              </w:rPr>
            </w:pPr>
            <w:r>
              <w:rPr>
                <w:rFonts w:ascii="Arial" w:cs="Arial" w:eastAsia="Arial" w:hAnsi="Arial"/>
                <w:sz w:val="13"/>
                <w:szCs w:val="13"/>
                <w:color w:val="auto"/>
              </w:rPr>
              <w:t>89,162</w:t>
            </w:r>
          </w:p>
        </w:tc>
        <w:tc>
          <w:tcPr>
            <w:tcW w:w="20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720" w:type="dxa"/>
            <w:vAlign w:val="bottom"/>
            <w:shd w:val="clear" w:color="auto" w:fill="C0C0C0"/>
          </w:tcPr>
          <w:p>
            <w:pPr>
              <w:jc w:val="right"/>
              <w:ind w:right="77"/>
              <w:spacing w:after="0"/>
              <w:rPr>
                <w:sz w:val="20"/>
                <w:szCs w:val="20"/>
                <w:color w:val="auto"/>
              </w:rPr>
            </w:pPr>
            <w:r>
              <w:rPr>
                <w:rFonts w:ascii="Arial" w:cs="Arial" w:eastAsia="Arial" w:hAnsi="Arial"/>
                <w:sz w:val="13"/>
                <w:szCs w:val="13"/>
                <w:color w:val="auto"/>
              </w:rPr>
              <w:t>81,169</w:t>
            </w:r>
          </w:p>
        </w:tc>
      </w:tr>
      <w:tr>
        <w:trPr>
          <w:trHeight w:val="175"/>
        </w:trPr>
        <w:tc>
          <w:tcPr>
            <w:tcW w:w="61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100" w:type="dxa"/>
            <w:vAlign w:val="bottom"/>
            <w:shd w:val="clear" w:color="auto" w:fill="C0C0C0"/>
          </w:tcPr>
          <w:p>
            <w:pPr>
              <w:spacing w:after="0"/>
              <w:rPr>
                <w:sz w:val="20"/>
                <w:szCs w:val="20"/>
                <w:color w:val="auto"/>
              </w:rPr>
            </w:pPr>
            <w:r>
              <w:rPr>
                <w:rFonts w:ascii="Arial" w:cs="Arial" w:eastAsia="Arial" w:hAnsi="Arial"/>
                <w:sz w:val="13"/>
                <w:szCs w:val="13"/>
                <w:color w:val="auto"/>
              </w:rPr>
              <w:t>Basic and diluted net loss per share</w:t>
            </w:r>
          </w:p>
        </w:tc>
        <w:tc>
          <w:tcPr>
            <w:tcW w:w="3460" w:type="dxa"/>
            <w:vAlign w:val="bottom"/>
            <w:gridSpan w:val="2"/>
            <w:shd w:val="clear" w:color="auto" w:fill="C0C0C0"/>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(0.49)</w:t>
            </w:r>
          </w:p>
        </w:tc>
        <w:tc>
          <w:tcPr>
            <w:tcW w:w="200" w:type="dxa"/>
            <w:vAlign w:val="bottom"/>
            <w:shd w:val="clear" w:color="auto" w:fill="C0C0C0"/>
          </w:tcPr>
          <w:p>
            <w:pPr>
              <w:spacing w:after="0"/>
              <w:rPr>
                <w:sz w:val="15"/>
                <w:szCs w:val="15"/>
                <w:color w:val="auto"/>
              </w:rPr>
            </w:pPr>
          </w:p>
        </w:tc>
        <w:tc>
          <w:tcPr>
            <w:tcW w:w="200" w:type="dxa"/>
            <w:vAlign w:val="bottom"/>
            <w:shd w:val="clear" w:color="auto" w:fill="C0C0C0"/>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(0.38)</w:t>
            </w:r>
          </w:p>
        </w:tc>
      </w:tr>
    </w:tbl>
    <w:p>
      <w:pPr>
        <w:spacing w:after="0" w:line="188" w:lineRule="exact"/>
        <w:rPr>
          <w:sz w:val="20"/>
          <w:szCs w:val="20"/>
          <w:color w:val="auto"/>
        </w:rPr>
      </w:pPr>
    </w:p>
    <w:p>
      <w:pPr>
        <w:jc w:val="both"/>
        <w:ind w:right="20" w:firstLine="243"/>
        <w:spacing w:after="0" w:line="266" w:lineRule="auto"/>
        <w:rPr>
          <w:sz w:val="20"/>
          <w:szCs w:val="20"/>
          <w:color w:val="auto"/>
        </w:rPr>
      </w:pPr>
      <w:r>
        <w:rPr>
          <w:rFonts w:ascii="Arial" w:cs="Arial" w:eastAsia="Arial" w:hAnsi="Arial"/>
          <w:sz w:val="13"/>
          <w:szCs w:val="13"/>
          <w:color w:val="auto"/>
        </w:rPr>
        <w:t>Shares issuable upon the exercise of stock options and vesting of restricted stock awards, which have been excluded from the March 31, 2011 and 2010 diluted per share amounts because their effect would have been antidilutive, include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17"/>
              <w:spacing w:after="0"/>
              <w:rPr>
                <w:sz w:val="20"/>
                <w:szCs w:val="20"/>
                <w:color w:val="auto"/>
              </w:rPr>
            </w:pPr>
            <w:r>
              <w:rPr>
                <w:rFonts w:ascii="Arial" w:cs="Arial" w:eastAsia="Arial" w:hAnsi="Arial"/>
                <w:sz w:val="13"/>
                <w:szCs w:val="13"/>
                <w:b w:val="1"/>
                <w:bCs w:val="1"/>
                <w:color w:val="auto"/>
                <w:w w:val="86"/>
              </w:rPr>
              <w:t>Three months ended March 31,</w:t>
            </w:r>
          </w:p>
        </w:tc>
      </w:tr>
      <w:tr>
        <w:trPr>
          <w:trHeight w:val="165"/>
        </w:trPr>
        <w:tc>
          <w:tcPr>
            <w:tcW w:w="964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0C0C0"/>
            </w:tcBorders>
          </w:tcPr>
          <w:p>
            <w:pPr>
              <w:spacing w:after="0"/>
              <w:rPr>
                <w:sz w:val="14"/>
                <w:szCs w:val="14"/>
                <w:color w:val="auto"/>
              </w:rPr>
            </w:pPr>
          </w:p>
        </w:tc>
        <w:tc>
          <w:tcPr>
            <w:tcW w:w="100" w:type="dxa"/>
            <w:vAlign w:val="bottom"/>
            <w:tcBorders>
              <w:bottom w:val="single" w:sz="8" w:color="C0C0C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2010</w:t>
            </w:r>
          </w:p>
        </w:tc>
      </w:tr>
      <w:tr>
        <w:trPr>
          <w:trHeight w:val="170"/>
        </w:trPr>
        <w:tc>
          <w:tcPr>
            <w:tcW w:w="9640" w:type="dxa"/>
            <w:vAlign w:val="bottom"/>
            <w:shd w:val="clear" w:color="auto" w:fill="C0C0C0"/>
          </w:tcPr>
          <w:p>
            <w:pPr>
              <w:spacing w:after="0"/>
              <w:rPr>
                <w:sz w:val="20"/>
                <w:szCs w:val="20"/>
                <w:color w:val="auto"/>
              </w:rPr>
            </w:pPr>
            <w:r>
              <w:rPr>
                <w:rFonts w:ascii="Arial" w:cs="Arial" w:eastAsia="Arial" w:hAnsi="Arial"/>
                <w:sz w:val="13"/>
                <w:szCs w:val="13"/>
                <w:color w:val="auto"/>
              </w:rPr>
              <w:t>Stock Options:</w:t>
            </w:r>
          </w:p>
        </w:tc>
        <w:tc>
          <w:tcPr>
            <w:tcW w:w="80" w:type="dxa"/>
            <w:vAlign w:val="bottom"/>
            <w:shd w:val="clear" w:color="auto" w:fill="C0C0C0"/>
          </w:tcPr>
          <w:p>
            <w:pPr>
              <w:spacing w:after="0"/>
              <w:rPr>
                <w:sz w:val="14"/>
                <w:szCs w:val="14"/>
                <w:color w:val="auto"/>
              </w:rPr>
            </w:pPr>
          </w:p>
        </w:tc>
        <w:tc>
          <w:tcPr>
            <w:tcW w:w="7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660" w:type="dxa"/>
            <w:vAlign w:val="bottom"/>
            <w:shd w:val="clear" w:color="auto" w:fill="C0C0C0"/>
          </w:tcPr>
          <w:p>
            <w:pPr>
              <w:spacing w:after="0"/>
              <w:rPr>
                <w:sz w:val="14"/>
                <w:szCs w:val="14"/>
                <w:color w:val="auto"/>
              </w:rPr>
            </w:pPr>
          </w:p>
        </w:tc>
      </w:tr>
      <w:tr>
        <w:trPr>
          <w:trHeight w:val="169"/>
        </w:trPr>
        <w:tc>
          <w:tcPr>
            <w:tcW w:w="9640" w:type="dxa"/>
            <w:vAlign w:val="bottom"/>
          </w:tcPr>
          <w:p>
            <w:pPr>
              <w:ind w:left="220"/>
              <w:spacing w:after="0"/>
              <w:rPr>
                <w:sz w:val="20"/>
                <w:szCs w:val="20"/>
                <w:color w:val="auto"/>
              </w:rPr>
            </w:pPr>
            <w:r>
              <w:rPr>
                <w:rFonts w:ascii="Arial" w:cs="Arial" w:eastAsia="Arial" w:hAnsi="Arial"/>
                <w:sz w:val="13"/>
                <w:szCs w:val="13"/>
                <w:color w:val="auto"/>
              </w:rPr>
              <w:t>Weighted average number, in thousands</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22,378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21,400</w:t>
            </w:r>
          </w:p>
        </w:tc>
      </w:tr>
      <w:tr>
        <w:trPr>
          <w:trHeight w:val="180"/>
        </w:trPr>
        <w:tc>
          <w:tcPr>
            <w:tcW w:w="9640" w:type="dxa"/>
            <w:vAlign w:val="bottom"/>
            <w:shd w:val="clear" w:color="auto" w:fill="C0C0C0"/>
          </w:tcPr>
          <w:p>
            <w:pPr>
              <w:ind w:left="220"/>
              <w:spacing w:after="0"/>
              <w:rPr>
                <w:sz w:val="20"/>
                <w:szCs w:val="20"/>
                <w:color w:val="auto"/>
              </w:rPr>
            </w:pPr>
            <w:r>
              <w:rPr>
                <w:rFonts w:ascii="Arial" w:cs="Arial" w:eastAsia="Arial" w:hAnsi="Arial"/>
                <w:sz w:val="13"/>
                <w:szCs w:val="13"/>
                <w:color w:val="auto"/>
              </w:rPr>
              <w:t>Weighted average exercise price</w:t>
            </w:r>
          </w:p>
        </w:tc>
        <w:tc>
          <w:tcPr>
            <w:tcW w:w="8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20.26</w:t>
            </w:r>
          </w:p>
        </w:tc>
        <w:tc>
          <w:tcPr>
            <w:tcW w:w="2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18.59</w:t>
            </w:r>
          </w:p>
        </w:tc>
      </w:tr>
      <w:tr>
        <w:trPr>
          <w:trHeight w:val="175"/>
        </w:trPr>
        <w:tc>
          <w:tcPr>
            <w:tcW w:w="9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5"/>
        </w:trPr>
        <w:tc>
          <w:tcPr>
            <w:tcW w:w="9640" w:type="dxa"/>
            <w:vAlign w:val="bottom"/>
            <w:shd w:val="clear" w:color="auto" w:fill="C0C0C0"/>
          </w:tcPr>
          <w:p>
            <w:pPr>
              <w:spacing w:after="0"/>
              <w:rPr>
                <w:sz w:val="20"/>
                <w:szCs w:val="20"/>
                <w:color w:val="auto"/>
              </w:rPr>
            </w:pPr>
            <w:r>
              <w:rPr>
                <w:rFonts w:ascii="Arial" w:cs="Arial" w:eastAsia="Arial" w:hAnsi="Arial"/>
                <w:sz w:val="13"/>
                <w:szCs w:val="13"/>
                <w:color w:val="auto"/>
              </w:rPr>
              <w:t>Restricted Stock:</w:t>
            </w:r>
          </w:p>
        </w:tc>
        <w:tc>
          <w:tcPr>
            <w:tcW w:w="80" w:type="dxa"/>
            <w:vAlign w:val="bottom"/>
            <w:shd w:val="clear" w:color="auto" w:fill="C0C0C0"/>
          </w:tcPr>
          <w:p>
            <w:pPr>
              <w:spacing w:after="0"/>
              <w:rPr>
                <w:sz w:val="15"/>
                <w:szCs w:val="15"/>
                <w:color w:val="auto"/>
              </w:rPr>
            </w:pPr>
          </w:p>
        </w:tc>
        <w:tc>
          <w:tcPr>
            <w:tcW w:w="74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r>
      <w:tr>
        <w:trPr>
          <w:trHeight w:val="164"/>
        </w:trPr>
        <w:tc>
          <w:tcPr>
            <w:tcW w:w="9640" w:type="dxa"/>
            <w:vAlign w:val="bottom"/>
          </w:tcPr>
          <w:p>
            <w:pPr>
              <w:ind w:left="220"/>
              <w:spacing w:after="0"/>
              <w:rPr>
                <w:sz w:val="20"/>
                <w:szCs w:val="20"/>
                <w:color w:val="auto"/>
              </w:rPr>
            </w:pPr>
            <w:r>
              <w:rPr>
                <w:rFonts w:ascii="Arial" w:cs="Arial" w:eastAsia="Arial" w:hAnsi="Arial"/>
                <w:sz w:val="13"/>
                <w:szCs w:val="13"/>
                <w:color w:val="auto"/>
              </w:rPr>
              <w:t>Weighted average number, in thousands</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845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Statement of Cash Flows</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Supplemental disclosure of noncash investing and financing activities:</w:t>
      </w:r>
    </w:p>
    <w:p>
      <w:pPr>
        <w:spacing w:after="0" w:line="200" w:lineRule="exact"/>
        <w:rPr>
          <w:sz w:val="20"/>
          <w:szCs w:val="20"/>
          <w:color w:val="auto"/>
        </w:rPr>
      </w:pPr>
    </w:p>
    <w:p>
      <w:pPr>
        <w:jc w:val="both"/>
        <w:ind w:right="20" w:firstLine="214"/>
        <w:spacing w:after="0" w:line="266" w:lineRule="auto"/>
        <w:rPr>
          <w:sz w:val="20"/>
          <w:szCs w:val="20"/>
          <w:color w:val="auto"/>
        </w:rPr>
      </w:pPr>
      <w:r>
        <w:rPr>
          <w:rFonts w:ascii="Arial" w:cs="Arial" w:eastAsia="Arial" w:hAnsi="Arial"/>
          <w:sz w:val="13"/>
          <w:szCs w:val="13"/>
          <w:color w:val="auto"/>
        </w:rPr>
        <w:t>Included in accounts payable and accrued expenses at March 31, 2011 and December 31, 2010 were $5.7 million and $10.7 million, respectively, of accrued capital expenditures. Included in accounts payable and accrued expenses at March 31, 2010 and December 31, 2009 were $5.4 million and $9.8 million, respectively, of accrued capital expenditures.</w:t>
      </w:r>
    </w:p>
    <w:p>
      <w:pPr>
        <w:spacing w:after="0" w:line="173" w:lineRule="exact"/>
        <w:rPr>
          <w:sz w:val="20"/>
          <w:szCs w:val="20"/>
          <w:color w:val="auto"/>
        </w:rPr>
      </w:pPr>
    </w:p>
    <w:p>
      <w:pPr>
        <w:jc w:val="both"/>
        <w:ind w:right="20" w:firstLine="223"/>
        <w:spacing w:after="0" w:line="266" w:lineRule="auto"/>
        <w:rPr>
          <w:sz w:val="20"/>
          <w:szCs w:val="20"/>
          <w:color w:val="auto"/>
        </w:rPr>
      </w:pPr>
      <w:r>
        <w:rPr>
          <w:rFonts w:ascii="Arial" w:cs="Arial" w:eastAsia="Arial" w:hAnsi="Arial"/>
          <w:sz w:val="13"/>
          <w:szCs w:val="13"/>
          <w:color w:val="auto"/>
        </w:rPr>
        <w:t>Included in accounts payable and accrued expenses at December 31, 2010 and 2009 were $2.9 million and $2.6 million, respectively, of accrued Company 401(k) Savings Plan contribution expense. In the first quarter of 2011 and 2010, the Company contributed 91,761 and 111,419 shares, respectively, of Common Stock to the 401(k) Savings Plan in satisfaction of these obligations.</w:t>
      </w:r>
    </w:p>
    <w:p>
      <w:pPr>
        <w:spacing w:after="0" w:line="173" w:lineRule="exact"/>
        <w:rPr>
          <w:sz w:val="20"/>
          <w:szCs w:val="20"/>
          <w:color w:val="auto"/>
        </w:rPr>
      </w:pPr>
    </w:p>
    <w:p>
      <w:pPr>
        <w:jc w:val="both"/>
        <w:ind w:right="20" w:firstLine="204"/>
        <w:spacing w:after="0" w:line="266" w:lineRule="auto"/>
        <w:rPr>
          <w:sz w:val="20"/>
          <w:szCs w:val="20"/>
          <w:color w:val="auto"/>
        </w:rPr>
      </w:pPr>
      <w:r>
        <w:rPr>
          <w:rFonts w:ascii="Arial" w:cs="Arial" w:eastAsia="Arial" w:hAnsi="Arial"/>
          <w:sz w:val="13"/>
          <w:szCs w:val="13"/>
          <w:color w:val="auto"/>
        </w:rPr>
        <w:t>Included in facility lease obligations and property, plant, and equipment at March 31, 2010 was $0.8 million of capitalized and deferred interest for the quarter ended March 31, 2010, as the related facilities being leased by the Company were under construction and lease payments on these facilities did not commence until January 2011.</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Included in other assets at March 31, 2011 and December 31, 2010 was $1.9 million and $0.2 million, respectively, due to the Company in connection with employee exercises of stock options.</w:t>
      </w:r>
    </w:p>
    <w:p>
      <w:pPr>
        <w:spacing w:after="0" w:line="200" w:lineRule="exact"/>
        <w:rPr>
          <w:sz w:val="20"/>
          <w:szCs w:val="20"/>
          <w:color w:val="auto"/>
        </w:rPr>
      </w:pPr>
    </w:p>
    <w:p>
      <w:pPr>
        <w:jc w:val="both"/>
        <w:ind w:right="20" w:firstLine="204"/>
        <w:spacing w:after="0" w:line="266" w:lineRule="auto"/>
        <w:rPr>
          <w:sz w:val="20"/>
          <w:szCs w:val="20"/>
          <w:color w:val="auto"/>
        </w:rPr>
      </w:pPr>
      <w:r>
        <w:rPr>
          <w:rFonts w:ascii="Arial" w:cs="Arial" w:eastAsia="Arial" w:hAnsi="Arial"/>
          <w:sz w:val="13"/>
          <w:szCs w:val="13"/>
          <w:color w:val="auto"/>
        </w:rPr>
        <w:t>Included in marketable securities at March 31, 2011 and December 31, 2010 were $2.0 million and $1.4 million, respectively, of accrued interest income. Included in marketable securities at March 31, 2010 and December 31, 2009 were $1.3 million and $0.6 million, respectively, of accrued interest income.</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Marketable Securities</w:t>
      </w:r>
    </w:p>
    <w:p>
      <w:pPr>
        <w:spacing w:after="0" w:line="204" w:lineRule="exact"/>
        <w:rPr>
          <w:sz w:val="20"/>
          <w:szCs w:val="20"/>
          <w:color w:val="auto"/>
        </w:rPr>
      </w:pPr>
    </w:p>
    <w:p>
      <w:pPr>
        <w:jc w:val="both"/>
        <w:ind w:right="20" w:firstLine="214"/>
        <w:spacing w:after="0" w:line="326" w:lineRule="auto"/>
        <w:rPr>
          <w:sz w:val="20"/>
          <w:szCs w:val="20"/>
          <w:color w:val="auto"/>
        </w:rPr>
      </w:pPr>
      <w:r>
        <w:rPr>
          <w:rFonts w:ascii="Arial" w:cs="Arial" w:eastAsia="Arial" w:hAnsi="Arial"/>
          <w:sz w:val="11"/>
          <w:szCs w:val="11"/>
          <w:color w:val="auto"/>
        </w:rPr>
        <w:t>Marketable securities at March 31, 2011 and December 31, 2010 consisted of debt securities, as detailed below, and equity securities, the aggregate fair value of which was $4.6 million and $3.6 million at March 31, 2011 and December 31, 2010, respectively, and the aggregate cost basis of which was $4.0 million at both March 31, 2011 and December 31, 2010. The Company also held restricted marketable securities at both March 31, 2011 and December 31, 2010, which consisted of debt securities, as detailed below, that collateralize (i) a letter of credit in connection with the Company’s lease of facilities in Tarrytown, New York and (ii) capital lease obligations.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Condensed Financial Statements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95" w:lineRule="exact"/>
        <w:rPr>
          <w:sz w:val="20"/>
          <w:szCs w:val="20"/>
          <w:color w:val="auto"/>
        </w:rPr>
      </w:pPr>
    </w:p>
    <w:p>
      <w:pPr>
        <w:jc w:val="both"/>
        <w:ind w:right="20" w:firstLine="194"/>
        <w:spacing w:after="0" w:line="258" w:lineRule="auto"/>
        <w:rPr>
          <w:sz w:val="20"/>
          <w:szCs w:val="20"/>
          <w:color w:val="auto"/>
        </w:rPr>
      </w:pPr>
      <w:r>
        <w:rPr>
          <w:rFonts w:ascii="Arial" w:cs="Arial" w:eastAsia="Arial" w:hAnsi="Arial"/>
          <w:sz w:val="13"/>
          <w:szCs w:val="13"/>
          <w:color w:val="auto"/>
        </w:rPr>
        <w:t>The following tables summarize the amortized cost basis of debt securities included in marketable securities, the aggregate fair value of those securities, and gross unrealized gains and losses on those securities at March 31, 2011 and December 31, 2010.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Fair</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Arial" w:cs="Arial" w:eastAsia="Arial" w:hAnsi="Arial"/>
                <w:sz w:val="13"/>
                <w:szCs w:val="13"/>
                <w:b w:val="1"/>
                <w:bCs w:val="1"/>
                <w:color w:val="auto"/>
              </w:rPr>
              <w:t>At March 31, 2011</w:t>
            </w: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b w:val="1"/>
                <w:bCs w:val="1"/>
                <w:color w:val="auto"/>
              </w:rPr>
              <w:t>Cost Basis</w:t>
            </w:r>
          </w:p>
        </w:tc>
        <w:tc>
          <w:tcPr>
            <w:tcW w:w="14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(Losses)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97"/>
              <w:spacing w:after="0"/>
              <w:rPr>
                <w:sz w:val="20"/>
                <w:szCs w:val="20"/>
                <w:color w:val="auto"/>
              </w:rPr>
            </w:pPr>
            <w:r>
              <w:rPr>
                <w:rFonts w:ascii="Arial" w:cs="Arial" w:eastAsia="Arial" w:hAnsi="Arial"/>
                <w:sz w:val="13"/>
                <w:szCs w:val="13"/>
                <w:b w:val="1"/>
                <w:bCs w:val="1"/>
                <w:color w:val="auto"/>
              </w:rPr>
              <w:t>Net</w:t>
            </w:r>
          </w:p>
        </w:tc>
      </w:tr>
      <w:tr>
        <w:trPr>
          <w:trHeight w:val="170"/>
        </w:trPr>
        <w:tc>
          <w:tcPr>
            <w:tcW w:w="39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3"/>
                <w:szCs w:val="13"/>
                <w:i w:val="1"/>
                <w:iCs w:val="1"/>
                <w:color w:val="auto"/>
              </w:rPr>
              <w:t>Unrestricted</w:t>
            </w:r>
          </w:p>
        </w:tc>
        <w:tc>
          <w:tcPr>
            <w:tcW w:w="3240" w:type="dxa"/>
            <w:vAlign w:val="bottom"/>
            <w:tcBorders>
              <w:top w:val="single" w:sz="8" w:color="auto"/>
            </w:tcBorders>
            <w:shd w:val="clear" w:color="auto" w:fill="C0C0C0"/>
          </w:tcPr>
          <w:p>
            <w:pPr>
              <w:spacing w:after="0"/>
              <w:rPr>
                <w:sz w:val="14"/>
                <w:szCs w:val="14"/>
                <w:color w:val="auto"/>
              </w:rPr>
            </w:pPr>
          </w:p>
        </w:tc>
        <w:tc>
          <w:tcPr>
            <w:tcW w:w="200" w:type="dxa"/>
            <w:vAlign w:val="bottom"/>
            <w:tcBorders>
              <w:top w:val="single" w:sz="8" w:color="C0C0C0"/>
            </w:tcBorders>
            <w:shd w:val="clear" w:color="auto" w:fill="C0C0C0"/>
          </w:tcPr>
          <w:p>
            <w:pPr>
              <w:spacing w:after="0"/>
              <w:rPr>
                <w:sz w:val="14"/>
                <w:szCs w:val="14"/>
                <w:color w:val="auto"/>
              </w:rPr>
            </w:pPr>
          </w:p>
        </w:tc>
        <w:tc>
          <w:tcPr>
            <w:tcW w:w="160" w:type="dxa"/>
            <w:vAlign w:val="bottom"/>
            <w:tcBorders>
              <w:top w:val="single" w:sz="8" w:color="auto"/>
            </w:tcBorders>
            <w:shd w:val="clear" w:color="auto" w:fill="C0C0C0"/>
          </w:tcPr>
          <w:p>
            <w:pPr>
              <w:spacing w:after="0"/>
              <w:rPr>
                <w:sz w:val="14"/>
                <w:szCs w:val="14"/>
                <w:color w:val="auto"/>
              </w:rPr>
            </w:pPr>
          </w:p>
        </w:tc>
        <w:tc>
          <w:tcPr>
            <w:tcW w:w="520" w:type="dxa"/>
            <w:vAlign w:val="bottom"/>
            <w:tcBorders>
              <w:top w:val="single" w:sz="8" w:color="auto"/>
            </w:tcBorders>
            <w:shd w:val="clear" w:color="auto" w:fill="C0C0C0"/>
          </w:tcPr>
          <w:p>
            <w:pPr>
              <w:spacing w:after="0"/>
              <w:rPr>
                <w:sz w:val="14"/>
                <w:szCs w:val="14"/>
                <w:color w:val="auto"/>
              </w:rPr>
            </w:pPr>
          </w:p>
        </w:tc>
        <w:tc>
          <w:tcPr>
            <w:tcW w:w="180" w:type="dxa"/>
            <w:vAlign w:val="bottom"/>
            <w:tcBorders>
              <w:top w:val="single" w:sz="8" w:color="C0C0C0"/>
            </w:tcBorders>
            <w:shd w:val="clear" w:color="auto" w:fill="C0C0C0"/>
          </w:tcPr>
          <w:p>
            <w:pPr>
              <w:spacing w:after="0"/>
              <w:rPr>
                <w:sz w:val="14"/>
                <w:szCs w:val="14"/>
                <w:color w:val="auto"/>
              </w:rPr>
            </w:pPr>
          </w:p>
        </w:tc>
        <w:tc>
          <w:tcPr>
            <w:tcW w:w="140" w:type="dxa"/>
            <w:vAlign w:val="bottom"/>
            <w:tcBorders>
              <w:top w:val="single" w:sz="8" w:color="auto"/>
            </w:tcBorders>
            <w:shd w:val="clear" w:color="auto" w:fill="C0C0C0"/>
          </w:tcPr>
          <w:p>
            <w:pPr>
              <w:spacing w:after="0"/>
              <w:rPr>
                <w:sz w:val="14"/>
                <w:szCs w:val="14"/>
                <w:color w:val="auto"/>
              </w:rPr>
            </w:pPr>
          </w:p>
        </w:tc>
        <w:tc>
          <w:tcPr>
            <w:tcW w:w="540" w:type="dxa"/>
            <w:vAlign w:val="bottom"/>
            <w:tcBorders>
              <w:top w:val="single" w:sz="8" w:color="auto"/>
            </w:tcBorders>
            <w:shd w:val="clear" w:color="auto" w:fill="C0C0C0"/>
          </w:tcPr>
          <w:p>
            <w:pPr>
              <w:spacing w:after="0"/>
              <w:rPr>
                <w:sz w:val="14"/>
                <w:szCs w:val="14"/>
                <w:color w:val="auto"/>
              </w:rPr>
            </w:pPr>
          </w:p>
        </w:tc>
        <w:tc>
          <w:tcPr>
            <w:tcW w:w="20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auto"/>
            </w:tcBorders>
            <w:shd w:val="clear" w:color="auto" w:fill="C0C0C0"/>
          </w:tcPr>
          <w:p>
            <w:pPr>
              <w:spacing w:after="0"/>
              <w:rPr>
                <w:sz w:val="14"/>
                <w:szCs w:val="14"/>
                <w:color w:val="auto"/>
              </w:rPr>
            </w:pPr>
          </w:p>
        </w:tc>
        <w:tc>
          <w:tcPr>
            <w:tcW w:w="480" w:type="dxa"/>
            <w:vAlign w:val="bottom"/>
            <w:tcBorders>
              <w:top w:val="single" w:sz="8" w:color="auto"/>
            </w:tcBorders>
            <w:shd w:val="clear" w:color="auto" w:fill="C0C0C0"/>
          </w:tcPr>
          <w:p>
            <w:pPr>
              <w:spacing w:after="0"/>
              <w:rPr>
                <w:sz w:val="14"/>
                <w:szCs w:val="14"/>
                <w:color w:val="auto"/>
              </w:rPr>
            </w:pPr>
          </w:p>
        </w:tc>
        <w:tc>
          <w:tcPr>
            <w:tcW w:w="20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auto"/>
            </w:tcBorders>
            <w:shd w:val="clear" w:color="auto" w:fill="C0C0C0"/>
          </w:tcPr>
          <w:p>
            <w:pPr>
              <w:spacing w:after="0"/>
              <w:rPr>
                <w:sz w:val="14"/>
                <w:szCs w:val="14"/>
                <w:color w:val="auto"/>
              </w:rPr>
            </w:pPr>
          </w:p>
        </w:tc>
        <w:tc>
          <w:tcPr>
            <w:tcW w:w="600" w:type="dxa"/>
            <w:vAlign w:val="bottom"/>
            <w:tcBorders>
              <w:top w:val="single" w:sz="8" w:color="auto"/>
            </w:tcBorders>
            <w:shd w:val="clear" w:color="auto" w:fill="C0C0C0"/>
          </w:tcPr>
          <w:p>
            <w:pPr>
              <w:spacing w:after="0"/>
              <w:rPr>
                <w:sz w:val="14"/>
                <w:szCs w:val="14"/>
                <w:color w:val="auto"/>
              </w:rPr>
            </w:pPr>
          </w:p>
        </w:tc>
        <w:tc>
          <w:tcPr>
            <w:tcW w:w="100" w:type="dxa"/>
            <w:vAlign w:val="bottom"/>
            <w:tcBorders>
              <w:top w:val="single" w:sz="8" w:color="C0C0C0"/>
            </w:tcBorders>
            <w:shd w:val="clear" w:color="auto" w:fill="C0C0C0"/>
          </w:tcPr>
          <w:p>
            <w:pPr>
              <w:spacing w:after="0"/>
              <w:rPr>
                <w:sz w:val="14"/>
                <w:szCs w:val="14"/>
                <w:color w:val="auto"/>
              </w:rPr>
            </w:pPr>
          </w:p>
        </w:tc>
        <w:tc>
          <w:tcPr>
            <w:tcW w:w="100" w:type="dxa"/>
            <w:vAlign w:val="bottom"/>
            <w:tcBorders>
              <w:top w:val="single" w:sz="8" w:color="C0C0C0"/>
            </w:tcBorders>
            <w:shd w:val="clear" w:color="auto" w:fill="C0C0C0"/>
          </w:tcPr>
          <w:p>
            <w:pPr>
              <w:spacing w:after="0"/>
              <w:rPr>
                <w:sz w:val="14"/>
                <w:szCs w:val="14"/>
                <w:color w:val="auto"/>
              </w:rPr>
            </w:pPr>
          </w:p>
        </w:tc>
        <w:tc>
          <w:tcPr>
            <w:tcW w:w="160" w:type="dxa"/>
            <w:vAlign w:val="bottom"/>
            <w:tcBorders>
              <w:top w:val="single" w:sz="8" w:color="auto"/>
            </w:tcBorders>
            <w:shd w:val="clear" w:color="auto" w:fill="C0C0C0"/>
          </w:tcPr>
          <w:p>
            <w:pPr>
              <w:spacing w:after="0"/>
              <w:rPr>
                <w:sz w:val="14"/>
                <w:szCs w:val="14"/>
                <w:color w:val="auto"/>
              </w:rPr>
            </w:pPr>
          </w:p>
        </w:tc>
        <w:tc>
          <w:tcPr>
            <w:tcW w:w="540" w:type="dxa"/>
            <w:vAlign w:val="bottom"/>
            <w:tcBorders>
              <w:top w:val="single" w:sz="8" w:color="auto"/>
            </w:tcBorders>
            <w:shd w:val="clear" w:color="auto" w:fill="C0C0C0"/>
          </w:tcPr>
          <w:p>
            <w:pPr>
              <w:spacing w:after="0"/>
              <w:rPr>
                <w:sz w:val="14"/>
                <w:szCs w:val="14"/>
                <w:color w:val="auto"/>
              </w:rPr>
            </w:pPr>
          </w:p>
        </w:tc>
      </w:tr>
      <w:tr>
        <w:trPr>
          <w:trHeight w:val="169"/>
        </w:trPr>
        <w:tc>
          <w:tcPr>
            <w:tcW w:w="3960" w:type="dxa"/>
            <w:vAlign w:val="bottom"/>
          </w:tcPr>
          <w:p>
            <w:pPr>
              <w:spacing w:after="0"/>
              <w:rPr>
                <w:sz w:val="20"/>
                <w:szCs w:val="20"/>
                <w:color w:val="auto"/>
              </w:rPr>
            </w:pPr>
            <w:r>
              <w:rPr>
                <w:rFonts w:ascii="Arial" w:cs="Arial" w:eastAsia="Arial" w:hAnsi="Arial"/>
                <w:sz w:val="13"/>
                <w:szCs w:val="13"/>
                <w:color w:val="auto"/>
              </w:rPr>
              <w:t>Maturities within one year</w:t>
            </w: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0"/>
        </w:trPr>
        <w:tc>
          <w:tcPr>
            <w:tcW w:w="39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obligations</w:t>
            </w:r>
          </w:p>
        </w:tc>
        <w:tc>
          <w:tcPr>
            <w:tcW w:w="3600" w:type="dxa"/>
            <w:vAlign w:val="bottom"/>
            <w:gridSpan w:val="3"/>
            <w:shd w:val="clear" w:color="auto" w:fill="C0C0C0"/>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0C0C0"/>
          </w:tcPr>
          <w:p>
            <w:pPr>
              <w:jc w:val="right"/>
              <w:ind w:right="180"/>
              <w:spacing w:after="0"/>
              <w:rPr>
                <w:sz w:val="20"/>
                <w:szCs w:val="20"/>
                <w:color w:val="auto"/>
              </w:rPr>
            </w:pPr>
            <w:r>
              <w:rPr>
                <w:rFonts w:ascii="Arial" w:cs="Arial" w:eastAsia="Arial" w:hAnsi="Arial"/>
                <w:sz w:val="13"/>
                <w:szCs w:val="13"/>
                <w:color w:val="auto"/>
              </w:rPr>
              <w:t>38,551</w:t>
            </w:r>
          </w:p>
        </w:tc>
        <w:tc>
          <w:tcPr>
            <w:tcW w:w="140" w:type="dxa"/>
            <w:vAlign w:val="bottom"/>
            <w:shd w:val="clear" w:color="auto" w:fill="C0C0C0"/>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38,593</w:t>
            </w: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42</w:t>
            </w: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2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42</w:t>
            </w:r>
          </w:p>
        </w:tc>
      </w:tr>
      <w:tr>
        <w:trPr>
          <w:trHeight w:val="164"/>
        </w:trPr>
        <w:tc>
          <w:tcPr>
            <w:tcW w:w="3960" w:type="dxa"/>
            <w:vAlign w:val="bottom"/>
          </w:tcPr>
          <w:p>
            <w:pPr>
              <w:ind w:left="220"/>
              <w:spacing w:after="0"/>
              <w:rPr>
                <w:sz w:val="20"/>
                <w:szCs w:val="20"/>
                <w:color w:val="auto"/>
              </w:rPr>
            </w:pPr>
            <w:r>
              <w:rPr>
                <w:rFonts w:ascii="Arial" w:cs="Arial" w:eastAsia="Arial" w:hAnsi="Arial"/>
                <w:sz w:val="13"/>
                <w:szCs w:val="13"/>
                <w:color w:val="auto"/>
              </w:rPr>
              <w:t>U.S. government guaranteed corporate</w:t>
            </w: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0"/>
        </w:trPr>
        <w:tc>
          <w:tcPr>
            <w:tcW w:w="3960" w:type="dxa"/>
            <w:vAlign w:val="bottom"/>
          </w:tcPr>
          <w:p>
            <w:pPr>
              <w:ind w:left="440"/>
              <w:spacing w:after="0"/>
              <w:rPr>
                <w:sz w:val="20"/>
                <w:szCs w:val="20"/>
                <w:color w:val="auto"/>
              </w:rPr>
            </w:pPr>
            <w:r>
              <w:rPr>
                <w:rFonts w:ascii="Arial" w:cs="Arial" w:eastAsia="Arial" w:hAnsi="Arial"/>
                <w:sz w:val="13"/>
                <w:szCs w:val="13"/>
                <w:color w:val="auto"/>
              </w:rPr>
              <w:t>bonds</w:t>
            </w: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39,670</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39,939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269</w:t>
            </w:r>
          </w:p>
        </w:tc>
      </w:tr>
      <w:tr>
        <w:trPr>
          <w:trHeight w:val="169"/>
        </w:trPr>
        <w:tc>
          <w:tcPr>
            <w:tcW w:w="39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guaranteed</w:t>
            </w:r>
          </w:p>
        </w:tc>
        <w:tc>
          <w:tcPr>
            <w:tcW w:w="32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r>
      <w:tr>
        <w:trPr>
          <w:trHeight w:val="185"/>
        </w:trPr>
        <w:tc>
          <w:tcPr>
            <w:tcW w:w="3960" w:type="dxa"/>
            <w:vAlign w:val="bottom"/>
            <w:shd w:val="clear" w:color="auto" w:fill="C0C0C0"/>
          </w:tcPr>
          <w:p>
            <w:pPr>
              <w:ind w:left="440"/>
              <w:spacing w:after="0"/>
              <w:rPr>
                <w:sz w:val="20"/>
                <w:szCs w:val="20"/>
                <w:color w:val="auto"/>
              </w:rPr>
            </w:pPr>
            <w:r>
              <w:rPr>
                <w:rFonts w:ascii="Arial" w:cs="Arial" w:eastAsia="Arial" w:hAnsi="Arial"/>
                <w:sz w:val="13"/>
                <w:szCs w:val="13"/>
                <w:color w:val="auto"/>
              </w:rPr>
              <w:t>collateralized mortgage obligations</w:t>
            </w:r>
          </w:p>
        </w:tc>
        <w:tc>
          <w:tcPr>
            <w:tcW w:w="324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700" w:type="dxa"/>
            <w:vAlign w:val="bottom"/>
            <w:gridSpan w:val="2"/>
            <w:shd w:val="clear" w:color="auto" w:fill="C0C0C0"/>
          </w:tcPr>
          <w:p>
            <w:pPr>
              <w:jc w:val="right"/>
              <w:ind w:right="180"/>
              <w:spacing w:after="0"/>
              <w:rPr>
                <w:sz w:val="20"/>
                <w:szCs w:val="20"/>
                <w:color w:val="auto"/>
              </w:rPr>
            </w:pPr>
            <w:r>
              <w:rPr>
                <w:rFonts w:ascii="Arial" w:cs="Arial" w:eastAsia="Arial" w:hAnsi="Arial"/>
                <w:sz w:val="13"/>
                <w:szCs w:val="13"/>
                <w:color w:val="auto"/>
              </w:rPr>
              <w:t>1,588</w:t>
            </w:r>
          </w:p>
        </w:tc>
        <w:tc>
          <w:tcPr>
            <w:tcW w:w="14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1,590</w:t>
            </w:r>
          </w:p>
        </w:tc>
        <w:tc>
          <w:tcPr>
            <w:tcW w:w="2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4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2</w:t>
            </w:r>
          </w:p>
        </w:tc>
      </w:tr>
      <w:tr>
        <w:trPr>
          <w:trHeight w:val="169"/>
        </w:trPr>
        <w:tc>
          <w:tcPr>
            <w:tcW w:w="3960" w:type="dxa"/>
            <w:vAlign w:val="bottom"/>
          </w:tcPr>
          <w:p>
            <w:pPr>
              <w:ind w:left="220"/>
              <w:spacing w:after="0"/>
              <w:rPr>
                <w:sz w:val="20"/>
                <w:szCs w:val="20"/>
                <w:color w:val="auto"/>
              </w:rPr>
            </w:pPr>
            <w:r>
              <w:rPr>
                <w:rFonts w:ascii="Arial" w:cs="Arial" w:eastAsia="Arial" w:hAnsi="Arial"/>
                <w:sz w:val="13"/>
                <w:szCs w:val="13"/>
                <w:color w:val="auto"/>
              </w:rPr>
              <w:t>Municipal bonds</w:t>
            </w: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10,786</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10,799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w:t>
            </w:r>
          </w:p>
        </w:tc>
      </w:tr>
      <w:tr>
        <w:trPr>
          <w:trHeight w:val="175"/>
        </w:trPr>
        <w:tc>
          <w:tcPr>
            <w:tcW w:w="39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Mortgage-backed securities</w:t>
            </w:r>
          </w:p>
        </w:tc>
        <w:tc>
          <w:tcPr>
            <w:tcW w:w="324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spacing w:after="0"/>
              <w:rPr>
                <w:sz w:val="15"/>
                <w:szCs w:val="15"/>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146</w:t>
            </w:r>
          </w:p>
        </w:tc>
        <w:tc>
          <w:tcPr>
            <w:tcW w:w="180" w:type="dxa"/>
            <w:vAlign w:val="bottom"/>
            <w:shd w:val="clear" w:color="auto" w:fill="C0C0C0"/>
          </w:tcPr>
          <w:p>
            <w:pPr>
              <w:spacing w:after="0"/>
              <w:rPr>
                <w:sz w:val="15"/>
                <w:szCs w:val="15"/>
                <w:color w:val="auto"/>
              </w:rPr>
            </w:pPr>
          </w:p>
        </w:tc>
        <w:tc>
          <w:tcPr>
            <w:tcW w:w="140" w:type="dxa"/>
            <w:vAlign w:val="bottom"/>
            <w:tcBorders>
              <w:bottom w:val="single" w:sz="8" w:color="auto"/>
            </w:tcBorders>
            <w:shd w:val="clear" w:color="auto" w:fill="C0C0C0"/>
          </w:tcPr>
          <w:p>
            <w:pPr>
              <w:spacing w:after="0"/>
              <w:rPr>
                <w:sz w:val="15"/>
                <w:szCs w:val="15"/>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144</w:t>
            </w:r>
          </w:p>
        </w:tc>
        <w:tc>
          <w:tcPr>
            <w:tcW w:w="200" w:type="dxa"/>
            <w:vAlign w:val="bottom"/>
            <w:shd w:val="clear" w:color="auto" w:fill="C0C0C0"/>
          </w:tcPr>
          <w:p>
            <w:pPr>
              <w:spacing w:after="0"/>
              <w:rPr>
                <w:sz w:val="15"/>
                <w:szCs w:val="15"/>
                <w:color w:val="auto"/>
              </w:rPr>
            </w:pPr>
          </w:p>
        </w:tc>
        <w:tc>
          <w:tcPr>
            <w:tcW w:w="80" w:type="dxa"/>
            <w:vAlign w:val="bottom"/>
            <w:tcBorders>
              <w:bottom w:val="single" w:sz="8" w:color="auto"/>
            </w:tcBorders>
            <w:shd w:val="clear" w:color="auto" w:fill="C0C0C0"/>
          </w:tcPr>
          <w:p>
            <w:pPr>
              <w:spacing w:after="0"/>
              <w:rPr>
                <w:sz w:val="15"/>
                <w:szCs w:val="15"/>
                <w:color w:val="auto"/>
              </w:rPr>
            </w:pPr>
          </w:p>
        </w:tc>
        <w:tc>
          <w:tcPr>
            <w:tcW w:w="480" w:type="dxa"/>
            <w:vAlign w:val="bottom"/>
            <w:tcBorders>
              <w:bottom w:val="single" w:sz="8" w:color="auto"/>
            </w:tcBorders>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spacing w:after="0"/>
              <w:rPr>
                <w:sz w:val="15"/>
                <w:szCs w:val="15"/>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w:t>
            </w:r>
          </w:p>
        </w:tc>
      </w:tr>
      <w:tr>
        <w:trPr>
          <w:trHeight w:val="164"/>
        </w:trPr>
        <w:tc>
          <w:tcPr>
            <w:tcW w:w="39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90,741</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91,065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324</w:t>
            </w:r>
          </w:p>
        </w:tc>
      </w:tr>
      <w:tr>
        <w:trPr>
          <w:trHeight w:val="170"/>
        </w:trPr>
        <w:tc>
          <w:tcPr>
            <w:tcW w:w="39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3"/>
                <w:szCs w:val="13"/>
                <w:color w:val="auto"/>
              </w:rPr>
              <w:t>Maturities between one and five years</w:t>
            </w:r>
          </w:p>
        </w:tc>
        <w:tc>
          <w:tcPr>
            <w:tcW w:w="3240" w:type="dxa"/>
            <w:vAlign w:val="bottom"/>
            <w:tcBorders>
              <w:top w:val="single" w:sz="8" w:color="C0C0C0"/>
            </w:tcBorders>
            <w:shd w:val="clear" w:color="auto" w:fill="C0C0C0"/>
          </w:tcPr>
          <w:p>
            <w:pPr>
              <w:spacing w:after="0"/>
              <w:rPr>
                <w:sz w:val="14"/>
                <w:szCs w:val="14"/>
                <w:color w:val="auto"/>
              </w:rPr>
            </w:pPr>
          </w:p>
        </w:tc>
        <w:tc>
          <w:tcPr>
            <w:tcW w:w="200" w:type="dxa"/>
            <w:vAlign w:val="bottom"/>
            <w:tcBorders>
              <w:top w:val="single" w:sz="8" w:color="C0C0C0"/>
            </w:tcBorders>
            <w:shd w:val="clear" w:color="auto" w:fill="C0C0C0"/>
          </w:tcPr>
          <w:p>
            <w:pPr>
              <w:spacing w:after="0"/>
              <w:rPr>
                <w:sz w:val="14"/>
                <w:szCs w:val="14"/>
                <w:color w:val="auto"/>
              </w:rPr>
            </w:pPr>
          </w:p>
        </w:tc>
        <w:tc>
          <w:tcPr>
            <w:tcW w:w="160" w:type="dxa"/>
            <w:vAlign w:val="bottom"/>
            <w:tcBorders>
              <w:top w:val="single" w:sz="8" w:color="auto"/>
            </w:tcBorders>
            <w:shd w:val="clear" w:color="auto" w:fill="C0C0C0"/>
          </w:tcPr>
          <w:p>
            <w:pPr>
              <w:spacing w:after="0"/>
              <w:rPr>
                <w:sz w:val="14"/>
                <w:szCs w:val="14"/>
                <w:color w:val="auto"/>
              </w:rPr>
            </w:pPr>
          </w:p>
        </w:tc>
        <w:tc>
          <w:tcPr>
            <w:tcW w:w="520" w:type="dxa"/>
            <w:vAlign w:val="bottom"/>
            <w:tcBorders>
              <w:top w:val="single" w:sz="8" w:color="auto"/>
            </w:tcBorders>
            <w:shd w:val="clear" w:color="auto" w:fill="C0C0C0"/>
          </w:tcPr>
          <w:p>
            <w:pPr>
              <w:spacing w:after="0"/>
              <w:rPr>
                <w:sz w:val="14"/>
                <w:szCs w:val="14"/>
                <w:color w:val="auto"/>
              </w:rPr>
            </w:pPr>
          </w:p>
        </w:tc>
        <w:tc>
          <w:tcPr>
            <w:tcW w:w="180" w:type="dxa"/>
            <w:vAlign w:val="bottom"/>
            <w:tcBorders>
              <w:top w:val="single" w:sz="8" w:color="C0C0C0"/>
            </w:tcBorders>
            <w:shd w:val="clear" w:color="auto" w:fill="C0C0C0"/>
          </w:tcPr>
          <w:p>
            <w:pPr>
              <w:spacing w:after="0"/>
              <w:rPr>
                <w:sz w:val="14"/>
                <w:szCs w:val="14"/>
                <w:color w:val="auto"/>
              </w:rPr>
            </w:pPr>
          </w:p>
        </w:tc>
        <w:tc>
          <w:tcPr>
            <w:tcW w:w="140" w:type="dxa"/>
            <w:vAlign w:val="bottom"/>
            <w:tcBorders>
              <w:top w:val="single" w:sz="8" w:color="auto"/>
            </w:tcBorders>
            <w:shd w:val="clear" w:color="auto" w:fill="C0C0C0"/>
          </w:tcPr>
          <w:p>
            <w:pPr>
              <w:spacing w:after="0"/>
              <w:rPr>
                <w:sz w:val="14"/>
                <w:szCs w:val="14"/>
                <w:color w:val="auto"/>
              </w:rPr>
            </w:pPr>
          </w:p>
        </w:tc>
        <w:tc>
          <w:tcPr>
            <w:tcW w:w="540" w:type="dxa"/>
            <w:vAlign w:val="bottom"/>
            <w:tcBorders>
              <w:top w:val="single" w:sz="8" w:color="auto"/>
            </w:tcBorders>
            <w:shd w:val="clear" w:color="auto" w:fill="C0C0C0"/>
          </w:tcPr>
          <w:p>
            <w:pPr>
              <w:spacing w:after="0"/>
              <w:rPr>
                <w:sz w:val="14"/>
                <w:szCs w:val="14"/>
                <w:color w:val="auto"/>
              </w:rPr>
            </w:pPr>
          </w:p>
        </w:tc>
        <w:tc>
          <w:tcPr>
            <w:tcW w:w="20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auto"/>
            </w:tcBorders>
            <w:shd w:val="clear" w:color="auto" w:fill="C0C0C0"/>
          </w:tcPr>
          <w:p>
            <w:pPr>
              <w:spacing w:after="0"/>
              <w:rPr>
                <w:sz w:val="14"/>
                <w:szCs w:val="14"/>
                <w:color w:val="auto"/>
              </w:rPr>
            </w:pPr>
          </w:p>
        </w:tc>
        <w:tc>
          <w:tcPr>
            <w:tcW w:w="480" w:type="dxa"/>
            <w:vAlign w:val="bottom"/>
            <w:tcBorders>
              <w:top w:val="single" w:sz="8" w:color="auto"/>
            </w:tcBorders>
            <w:shd w:val="clear" w:color="auto" w:fill="C0C0C0"/>
          </w:tcPr>
          <w:p>
            <w:pPr>
              <w:spacing w:after="0"/>
              <w:rPr>
                <w:sz w:val="14"/>
                <w:szCs w:val="14"/>
                <w:color w:val="auto"/>
              </w:rPr>
            </w:pPr>
          </w:p>
        </w:tc>
        <w:tc>
          <w:tcPr>
            <w:tcW w:w="20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auto"/>
            </w:tcBorders>
            <w:shd w:val="clear" w:color="auto" w:fill="C0C0C0"/>
          </w:tcPr>
          <w:p>
            <w:pPr>
              <w:spacing w:after="0"/>
              <w:rPr>
                <w:sz w:val="14"/>
                <w:szCs w:val="14"/>
                <w:color w:val="auto"/>
              </w:rPr>
            </w:pPr>
          </w:p>
        </w:tc>
        <w:tc>
          <w:tcPr>
            <w:tcW w:w="600" w:type="dxa"/>
            <w:vAlign w:val="bottom"/>
            <w:tcBorders>
              <w:top w:val="single" w:sz="8" w:color="auto"/>
            </w:tcBorders>
            <w:shd w:val="clear" w:color="auto" w:fill="C0C0C0"/>
          </w:tcPr>
          <w:p>
            <w:pPr>
              <w:spacing w:after="0"/>
              <w:rPr>
                <w:sz w:val="14"/>
                <w:szCs w:val="14"/>
                <w:color w:val="auto"/>
              </w:rPr>
            </w:pPr>
          </w:p>
        </w:tc>
        <w:tc>
          <w:tcPr>
            <w:tcW w:w="100" w:type="dxa"/>
            <w:vAlign w:val="bottom"/>
            <w:tcBorders>
              <w:top w:val="single" w:sz="8" w:color="C0C0C0"/>
            </w:tcBorders>
            <w:shd w:val="clear" w:color="auto" w:fill="C0C0C0"/>
          </w:tcPr>
          <w:p>
            <w:pPr>
              <w:spacing w:after="0"/>
              <w:rPr>
                <w:sz w:val="14"/>
                <w:szCs w:val="14"/>
                <w:color w:val="auto"/>
              </w:rPr>
            </w:pPr>
          </w:p>
        </w:tc>
        <w:tc>
          <w:tcPr>
            <w:tcW w:w="100" w:type="dxa"/>
            <w:vAlign w:val="bottom"/>
            <w:tcBorders>
              <w:top w:val="single" w:sz="8" w:color="C0C0C0"/>
            </w:tcBorders>
            <w:shd w:val="clear" w:color="auto" w:fill="C0C0C0"/>
          </w:tcPr>
          <w:p>
            <w:pPr>
              <w:spacing w:after="0"/>
              <w:rPr>
                <w:sz w:val="14"/>
                <w:szCs w:val="14"/>
                <w:color w:val="auto"/>
              </w:rPr>
            </w:pPr>
          </w:p>
        </w:tc>
        <w:tc>
          <w:tcPr>
            <w:tcW w:w="160" w:type="dxa"/>
            <w:vAlign w:val="bottom"/>
            <w:tcBorders>
              <w:top w:val="single" w:sz="8" w:color="auto"/>
            </w:tcBorders>
            <w:shd w:val="clear" w:color="auto" w:fill="C0C0C0"/>
          </w:tcPr>
          <w:p>
            <w:pPr>
              <w:spacing w:after="0"/>
              <w:rPr>
                <w:sz w:val="14"/>
                <w:szCs w:val="14"/>
                <w:color w:val="auto"/>
              </w:rPr>
            </w:pPr>
          </w:p>
        </w:tc>
        <w:tc>
          <w:tcPr>
            <w:tcW w:w="540" w:type="dxa"/>
            <w:vAlign w:val="bottom"/>
            <w:tcBorders>
              <w:top w:val="single" w:sz="8" w:color="auto"/>
            </w:tcBorders>
            <w:shd w:val="clear" w:color="auto" w:fill="C0C0C0"/>
          </w:tcPr>
          <w:p>
            <w:pPr>
              <w:spacing w:after="0"/>
              <w:rPr>
                <w:sz w:val="14"/>
                <w:szCs w:val="14"/>
                <w:color w:val="auto"/>
              </w:rPr>
            </w:pPr>
          </w:p>
        </w:tc>
      </w:tr>
      <w:tr>
        <w:trPr>
          <w:trHeight w:val="169"/>
        </w:trPr>
        <w:tc>
          <w:tcPr>
            <w:tcW w:w="3960" w:type="dxa"/>
            <w:vAlign w:val="bottom"/>
          </w:tcPr>
          <w:p>
            <w:pPr>
              <w:ind w:left="220"/>
              <w:spacing w:after="0"/>
              <w:rPr>
                <w:sz w:val="20"/>
                <w:szCs w:val="20"/>
                <w:color w:val="auto"/>
              </w:rPr>
            </w:pPr>
            <w:r>
              <w:rPr>
                <w:rFonts w:ascii="Arial" w:cs="Arial" w:eastAsia="Arial" w:hAnsi="Arial"/>
                <w:sz w:val="13"/>
                <w:szCs w:val="13"/>
                <w:color w:val="auto"/>
              </w:rPr>
              <w:t>U.S. government obligations</w:t>
            </w: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348,753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346,784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(1,969)</w:t>
            </w:r>
          </w:p>
        </w:tc>
      </w:tr>
      <w:tr>
        <w:trPr>
          <w:trHeight w:val="169"/>
        </w:trPr>
        <w:tc>
          <w:tcPr>
            <w:tcW w:w="39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guaranteed corporate</w:t>
            </w:r>
          </w:p>
        </w:tc>
        <w:tc>
          <w:tcPr>
            <w:tcW w:w="32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r>
      <w:tr>
        <w:trPr>
          <w:trHeight w:val="185"/>
        </w:trPr>
        <w:tc>
          <w:tcPr>
            <w:tcW w:w="3960" w:type="dxa"/>
            <w:vAlign w:val="bottom"/>
            <w:shd w:val="clear" w:color="auto" w:fill="C0C0C0"/>
          </w:tcPr>
          <w:p>
            <w:pPr>
              <w:ind w:left="440"/>
              <w:spacing w:after="0"/>
              <w:rPr>
                <w:sz w:val="20"/>
                <w:szCs w:val="20"/>
                <w:color w:val="auto"/>
              </w:rPr>
            </w:pPr>
            <w:r>
              <w:rPr>
                <w:rFonts w:ascii="Arial" w:cs="Arial" w:eastAsia="Arial" w:hAnsi="Arial"/>
                <w:sz w:val="13"/>
                <w:szCs w:val="13"/>
                <w:color w:val="auto"/>
              </w:rPr>
              <w:t>bonds</w:t>
            </w:r>
          </w:p>
        </w:tc>
        <w:tc>
          <w:tcPr>
            <w:tcW w:w="324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700" w:type="dxa"/>
            <w:vAlign w:val="bottom"/>
            <w:gridSpan w:val="2"/>
            <w:shd w:val="clear" w:color="auto" w:fill="C0C0C0"/>
          </w:tcPr>
          <w:p>
            <w:pPr>
              <w:jc w:val="right"/>
              <w:ind w:right="180"/>
              <w:spacing w:after="0"/>
              <w:rPr>
                <w:sz w:val="20"/>
                <w:szCs w:val="20"/>
                <w:color w:val="auto"/>
              </w:rPr>
            </w:pPr>
            <w:r>
              <w:rPr>
                <w:rFonts w:ascii="Arial" w:cs="Arial" w:eastAsia="Arial" w:hAnsi="Arial"/>
                <w:sz w:val="13"/>
                <w:szCs w:val="13"/>
                <w:color w:val="auto"/>
              </w:rPr>
              <w:t>15,546</w:t>
            </w:r>
          </w:p>
        </w:tc>
        <w:tc>
          <w:tcPr>
            <w:tcW w:w="14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15,503</w:t>
            </w:r>
          </w:p>
        </w:tc>
        <w:tc>
          <w:tcPr>
            <w:tcW w:w="2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(43)</w:t>
            </w:r>
          </w:p>
        </w:tc>
      </w:tr>
      <w:tr>
        <w:trPr>
          <w:trHeight w:val="169"/>
        </w:trPr>
        <w:tc>
          <w:tcPr>
            <w:tcW w:w="3960" w:type="dxa"/>
            <w:vAlign w:val="bottom"/>
            <w:tcBorders>
              <w:bottom w:val="single" w:sz="8" w:color="C0C0C0"/>
            </w:tcBorders>
          </w:tcPr>
          <w:p>
            <w:pPr>
              <w:ind w:left="220"/>
              <w:spacing w:after="0"/>
              <w:rPr>
                <w:sz w:val="20"/>
                <w:szCs w:val="20"/>
                <w:color w:val="auto"/>
              </w:rPr>
            </w:pPr>
            <w:r>
              <w:rPr>
                <w:rFonts w:ascii="Arial" w:cs="Arial" w:eastAsia="Arial" w:hAnsi="Arial"/>
                <w:sz w:val="13"/>
                <w:szCs w:val="13"/>
                <w:color w:val="auto"/>
              </w:rPr>
              <w:t>Municipal bonds</w:t>
            </w:r>
          </w:p>
        </w:tc>
        <w:tc>
          <w:tcPr>
            <w:tcW w:w="3240" w:type="dxa"/>
            <w:vAlign w:val="bottom"/>
            <w:tcBorders>
              <w:bottom w:val="single" w:sz="8" w:color="C0C0C0"/>
            </w:tcBorders>
          </w:tcPr>
          <w:p>
            <w:pPr>
              <w:spacing w:after="0"/>
              <w:rPr>
                <w:sz w:val="14"/>
                <w:szCs w:val="14"/>
                <w:color w:val="auto"/>
              </w:rPr>
            </w:pPr>
          </w:p>
        </w:tc>
        <w:tc>
          <w:tcPr>
            <w:tcW w:w="200" w:type="dxa"/>
            <w:vAlign w:val="bottom"/>
            <w:tcBorders>
              <w:bottom w:val="single" w:sz="8" w:color="C0C0C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6,546</w:t>
            </w:r>
          </w:p>
        </w:tc>
        <w:tc>
          <w:tcPr>
            <w:tcW w:w="180" w:type="dxa"/>
            <w:vAlign w:val="bottom"/>
            <w:tcBorders>
              <w:bottom w:val="single" w:sz="8" w:color="C0C0C0"/>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6,552</w:t>
            </w:r>
          </w:p>
        </w:tc>
        <w:tc>
          <w:tcPr>
            <w:tcW w:w="20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0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0C0C0"/>
            </w:tcBorders>
          </w:tcPr>
          <w:p>
            <w:pPr>
              <w:spacing w:after="0"/>
              <w:rPr>
                <w:sz w:val="14"/>
                <w:szCs w:val="14"/>
                <w:color w:val="auto"/>
              </w:rPr>
            </w:pPr>
          </w:p>
        </w:tc>
        <w:tc>
          <w:tcPr>
            <w:tcW w:w="100" w:type="dxa"/>
            <w:vAlign w:val="bottom"/>
            <w:tcBorders>
              <w:bottom w:val="single" w:sz="8" w:color="C0C0C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w:t>
            </w:r>
          </w:p>
        </w:tc>
      </w:tr>
      <w:tr>
        <w:trPr>
          <w:trHeight w:val="170"/>
        </w:trPr>
        <w:tc>
          <w:tcPr>
            <w:tcW w:w="3960" w:type="dxa"/>
            <w:vAlign w:val="bottom"/>
            <w:shd w:val="clear" w:color="auto" w:fill="C0C0C0"/>
          </w:tcPr>
          <w:p>
            <w:pPr>
              <w:spacing w:after="0"/>
              <w:rPr>
                <w:sz w:val="14"/>
                <w:szCs w:val="14"/>
                <w:color w:val="auto"/>
              </w:rPr>
            </w:pPr>
          </w:p>
        </w:tc>
        <w:tc>
          <w:tcPr>
            <w:tcW w:w="32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700" w:type="dxa"/>
            <w:vAlign w:val="bottom"/>
            <w:gridSpan w:val="2"/>
            <w:shd w:val="clear" w:color="auto" w:fill="C0C0C0"/>
          </w:tcPr>
          <w:p>
            <w:pPr>
              <w:jc w:val="right"/>
              <w:ind w:right="180"/>
              <w:spacing w:after="0"/>
              <w:rPr>
                <w:sz w:val="20"/>
                <w:szCs w:val="20"/>
                <w:color w:val="auto"/>
              </w:rPr>
            </w:pPr>
            <w:r>
              <w:rPr>
                <w:rFonts w:ascii="Arial" w:cs="Arial" w:eastAsia="Arial" w:hAnsi="Arial"/>
                <w:sz w:val="13"/>
                <w:szCs w:val="13"/>
                <w:color w:val="auto"/>
              </w:rPr>
              <w:t>370,845</w:t>
            </w:r>
          </w:p>
        </w:tc>
        <w:tc>
          <w:tcPr>
            <w:tcW w:w="140" w:type="dxa"/>
            <w:vAlign w:val="bottom"/>
            <w:shd w:val="clear" w:color="auto" w:fill="C0C0C0"/>
          </w:tcPr>
          <w:p>
            <w:pPr>
              <w:spacing w:after="0"/>
              <w:rPr>
                <w:sz w:val="14"/>
                <w:szCs w:val="14"/>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368,839</w:t>
            </w: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(2,022)</w:t>
            </w: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(2,006)</w:t>
            </w:r>
          </w:p>
        </w:tc>
      </w:tr>
      <w:tr>
        <w:trPr>
          <w:trHeight w:val="159"/>
        </w:trPr>
        <w:tc>
          <w:tcPr>
            <w:tcW w:w="3960" w:type="dxa"/>
            <w:vAlign w:val="bottom"/>
          </w:tcPr>
          <w:p>
            <w:pPr>
              <w:spacing w:after="0"/>
              <w:rPr>
                <w:sz w:val="20"/>
                <w:szCs w:val="20"/>
                <w:color w:val="auto"/>
              </w:rPr>
            </w:pPr>
            <w:r>
              <w:rPr>
                <w:rFonts w:ascii="Arial" w:cs="Arial" w:eastAsia="Arial" w:hAnsi="Arial"/>
                <w:sz w:val="13"/>
                <w:szCs w:val="13"/>
                <w:color w:val="auto"/>
              </w:rPr>
              <w:t>Maturities between five and six years</w:t>
            </w:r>
          </w:p>
        </w:tc>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r>
      <w:tr>
        <w:trPr>
          <w:trHeight w:val="175"/>
        </w:trPr>
        <w:tc>
          <w:tcPr>
            <w:tcW w:w="39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Mortgage-backed securities</w:t>
            </w:r>
          </w:p>
        </w:tc>
        <w:tc>
          <w:tcPr>
            <w:tcW w:w="324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spacing w:after="0"/>
              <w:rPr>
                <w:sz w:val="15"/>
                <w:szCs w:val="15"/>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281</w:t>
            </w:r>
          </w:p>
        </w:tc>
        <w:tc>
          <w:tcPr>
            <w:tcW w:w="180" w:type="dxa"/>
            <w:vAlign w:val="bottom"/>
            <w:shd w:val="clear" w:color="auto" w:fill="C0C0C0"/>
          </w:tcPr>
          <w:p>
            <w:pPr>
              <w:spacing w:after="0"/>
              <w:rPr>
                <w:sz w:val="15"/>
                <w:szCs w:val="15"/>
                <w:color w:val="auto"/>
              </w:rPr>
            </w:pPr>
          </w:p>
        </w:tc>
        <w:tc>
          <w:tcPr>
            <w:tcW w:w="140" w:type="dxa"/>
            <w:vAlign w:val="bottom"/>
            <w:tcBorders>
              <w:bottom w:val="single" w:sz="8" w:color="auto"/>
            </w:tcBorders>
            <w:shd w:val="clear" w:color="auto" w:fill="C0C0C0"/>
          </w:tcPr>
          <w:p>
            <w:pPr>
              <w:spacing w:after="0"/>
              <w:rPr>
                <w:sz w:val="15"/>
                <w:szCs w:val="15"/>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144</w:t>
            </w:r>
          </w:p>
        </w:tc>
        <w:tc>
          <w:tcPr>
            <w:tcW w:w="200" w:type="dxa"/>
            <w:vAlign w:val="bottom"/>
            <w:shd w:val="clear" w:color="auto" w:fill="C0C0C0"/>
          </w:tcPr>
          <w:p>
            <w:pPr>
              <w:spacing w:after="0"/>
              <w:rPr>
                <w:sz w:val="15"/>
                <w:szCs w:val="15"/>
                <w:color w:val="auto"/>
              </w:rPr>
            </w:pPr>
          </w:p>
        </w:tc>
        <w:tc>
          <w:tcPr>
            <w:tcW w:w="80" w:type="dxa"/>
            <w:vAlign w:val="bottom"/>
            <w:tcBorders>
              <w:bottom w:val="single" w:sz="8" w:color="auto"/>
            </w:tcBorders>
            <w:shd w:val="clear" w:color="auto" w:fill="C0C0C0"/>
          </w:tcPr>
          <w:p>
            <w:pPr>
              <w:spacing w:after="0"/>
              <w:rPr>
                <w:sz w:val="15"/>
                <w:szCs w:val="15"/>
                <w:color w:val="auto"/>
              </w:rPr>
            </w:pPr>
          </w:p>
        </w:tc>
        <w:tc>
          <w:tcPr>
            <w:tcW w:w="480" w:type="dxa"/>
            <w:vAlign w:val="bottom"/>
            <w:tcBorders>
              <w:bottom w:val="single" w:sz="8" w:color="auto"/>
            </w:tcBorders>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80" w:type="dxa"/>
            <w:vAlign w:val="bottom"/>
            <w:tcBorders>
              <w:bottom w:val="single" w:sz="8" w:color="auto"/>
            </w:tcBorders>
            <w:shd w:val="clear" w:color="auto" w:fill="C0C0C0"/>
          </w:tcPr>
          <w:p>
            <w:pPr>
              <w:spacing w:after="0"/>
              <w:rPr>
                <w:sz w:val="15"/>
                <w:szCs w:val="15"/>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spacing w:after="0"/>
              <w:rPr>
                <w:sz w:val="15"/>
                <w:szCs w:val="15"/>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(137)</w:t>
            </w:r>
          </w:p>
        </w:tc>
      </w:tr>
      <w:tr>
        <w:trPr>
          <w:trHeight w:val="164"/>
        </w:trPr>
        <w:tc>
          <w:tcPr>
            <w:tcW w:w="39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461,867</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460,048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342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(1,819)</w:t>
            </w:r>
          </w:p>
        </w:tc>
      </w:tr>
      <w:tr>
        <w:trPr>
          <w:trHeight w:val="170"/>
        </w:trPr>
        <w:tc>
          <w:tcPr>
            <w:tcW w:w="39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r>
      <w:tr>
        <w:trPr>
          <w:trHeight w:val="175"/>
        </w:trPr>
        <w:tc>
          <w:tcPr>
            <w:tcW w:w="3960" w:type="dxa"/>
            <w:vAlign w:val="bottom"/>
            <w:shd w:val="clear" w:color="auto" w:fill="C0C0C0"/>
          </w:tcPr>
          <w:p>
            <w:pPr>
              <w:spacing w:after="0"/>
              <w:rPr>
                <w:sz w:val="20"/>
                <w:szCs w:val="20"/>
                <w:color w:val="auto"/>
              </w:rPr>
            </w:pPr>
            <w:r>
              <w:rPr>
                <w:rFonts w:ascii="Arial" w:cs="Arial" w:eastAsia="Arial" w:hAnsi="Arial"/>
                <w:sz w:val="13"/>
                <w:szCs w:val="13"/>
                <w:i w:val="1"/>
                <w:iCs w:val="1"/>
                <w:color w:val="auto"/>
              </w:rPr>
              <w:t>Restricted</w:t>
            </w:r>
          </w:p>
        </w:tc>
        <w:tc>
          <w:tcPr>
            <w:tcW w:w="324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2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r>
      <w:tr>
        <w:trPr>
          <w:trHeight w:val="169"/>
        </w:trPr>
        <w:tc>
          <w:tcPr>
            <w:tcW w:w="3960" w:type="dxa"/>
            <w:vAlign w:val="bottom"/>
          </w:tcPr>
          <w:p>
            <w:pPr>
              <w:spacing w:after="0"/>
              <w:rPr>
                <w:sz w:val="20"/>
                <w:szCs w:val="20"/>
                <w:color w:val="auto"/>
              </w:rPr>
            </w:pPr>
            <w:r>
              <w:rPr>
                <w:rFonts w:ascii="Arial" w:cs="Arial" w:eastAsia="Arial" w:hAnsi="Arial"/>
                <w:sz w:val="13"/>
                <w:szCs w:val="13"/>
                <w:color w:val="auto"/>
              </w:rPr>
              <w:t>Maturities within one year</w:t>
            </w: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0"/>
        </w:trPr>
        <w:tc>
          <w:tcPr>
            <w:tcW w:w="39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obligations</w:t>
            </w:r>
          </w:p>
        </w:tc>
        <w:tc>
          <w:tcPr>
            <w:tcW w:w="324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700" w:type="dxa"/>
            <w:vAlign w:val="bottom"/>
            <w:gridSpan w:val="2"/>
            <w:shd w:val="clear" w:color="auto" w:fill="C0C0C0"/>
          </w:tcPr>
          <w:p>
            <w:pPr>
              <w:jc w:val="right"/>
              <w:ind w:right="180"/>
              <w:spacing w:after="0"/>
              <w:rPr>
                <w:sz w:val="20"/>
                <w:szCs w:val="20"/>
                <w:color w:val="auto"/>
              </w:rPr>
            </w:pPr>
            <w:r>
              <w:rPr>
                <w:rFonts w:ascii="Arial" w:cs="Arial" w:eastAsia="Arial" w:hAnsi="Arial"/>
                <w:sz w:val="13"/>
                <w:szCs w:val="13"/>
                <w:color w:val="auto"/>
              </w:rPr>
              <w:t>2,924</w:t>
            </w:r>
          </w:p>
        </w:tc>
        <w:tc>
          <w:tcPr>
            <w:tcW w:w="140" w:type="dxa"/>
            <w:vAlign w:val="bottom"/>
            <w:shd w:val="clear" w:color="auto" w:fill="C0C0C0"/>
          </w:tcPr>
          <w:p>
            <w:pPr>
              <w:spacing w:after="0"/>
              <w:rPr>
                <w:sz w:val="15"/>
                <w:szCs w:val="15"/>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2,926</w:t>
            </w: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4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2</w:t>
            </w:r>
          </w:p>
        </w:tc>
      </w:tr>
      <w:tr>
        <w:trPr>
          <w:trHeight w:val="175"/>
        </w:trPr>
        <w:tc>
          <w:tcPr>
            <w:tcW w:w="39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3960" w:type="dxa"/>
            <w:vAlign w:val="bottom"/>
            <w:shd w:val="clear" w:color="auto" w:fill="C0C0C0"/>
          </w:tcPr>
          <w:p>
            <w:pPr>
              <w:spacing w:after="0"/>
              <w:rPr>
                <w:sz w:val="20"/>
                <w:szCs w:val="20"/>
                <w:color w:val="auto"/>
              </w:rPr>
            </w:pPr>
            <w:r>
              <w:rPr>
                <w:rFonts w:ascii="Arial" w:cs="Arial" w:eastAsia="Arial" w:hAnsi="Arial"/>
                <w:sz w:val="13"/>
                <w:szCs w:val="13"/>
                <w:color w:val="auto"/>
              </w:rPr>
              <w:t>Maturities between one and three years</w:t>
            </w:r>
          </w:p>
        </w:tc>
        <w:tc>
          <w:tcPr>
            <w:tcW w:w="324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2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r>
      <w:tr>
        <w:trPr>
          <w:trHeight w:val="169"/>
        </w:trPr>
        <w:tc>
          <w:tcPr>
            <w:tcW w:w="3960" w:type="dxa"/>
            <w:vAlign w:val="bottom"/>
            <w:tcBorders>
              <w:bottom w:val="single" w:sz="8" w:color="C0C0C0"/>
            </w:tcBorders>
          </w:tcPr>
          <w:p>
            <w:pPr>
              <w:ind w:left="220"/>
              <w:spacing w:after="0"/>
              <w:rPr>
                <w:sz w:val="20"/>
                <w:szCs w:val="20"/>
                <w:color w:val="auto"/>
              </w:rPr>
            </w:pPr>
            <w:r>
              <w:rPr>
                <w:rFonts w:ascii="Arial" w:cs="Arial" w:eastAsia="Arial" w:hAnsi="Arial"/>
                <w:sz w:val="13"/>
                <w:szCs w:val="13"/>
                <w:color w:val="auto"/>
              </w:rPr>
              <w:t>U.S. government obligations</w:t>
            </w:r>
          </w:p>
        </w:tc>
        <w:tc>
          <w:tcPr>
            <w:tcW w:w="3240" w:type="dxa"/>
            <w:vAlign w:val="bottom"/>
            <w:tcBorders>
              <w:bottom w:val="single" w:sz="8" w:color="C0C0C0"/>
            </w:tcBorders>
          </w:tcPr>
          <w:p>
            <w:pPr>
              <w:spacing w:after="0"/>
              <w:rPr>
                <w:sz w:val="14"/>
                <w:szCs w:val="14"/>
                <w:color w:val="auto"/>
              </w:rPr>
            </w:pPr>
          </w:p>
        </w:tc>
        <w:tc>
          <w:tcPr>
            <w:tcW w:w="200" w:type="dxa"/>
            <w:vAlign w:val="bottom"/>
            <w:tcBorders>
              <w:bottom w:val="single" w:sz="8" w:color="C0C0C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4,138</w:t>
            </w:r>
          </w:p>
        </w:tc>
        <w:tc>
          <w:tcPr>
            <w:tcW w:w="180" w:type="dxa"/>
            <w:vAlign w:val="bottom"/>
            <w:tcBorders>
              <w:bottom w:val="single" w:sz="8" w:color="C0C0C0"/>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4,115</w:t>
            </w:r>
          </w:p>
        </w:tc>
        <w:tc>
          <w:tcPr>
            <w:tcW w:w="20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0C0C0"/>
            </w:tcBorders>
          </w:tcPr>
          <w:p>
            <w:pPr>
              <w:spacing w:after="0"/>
              <w:rPr>
                <w:sz w:val="14"/>
                <w:szCs w:val="14"/>
                <w:color w:val="auto"/>
              </w:rPr>
            </w:pPr>
          </w:p>
        </w:tc>
        <w:tc>
          <w:tcPr>
            <w:tcW w:w="100" w:type="dxa"/>
            <w:vAlign w:val="bottom"/>
            <w:tcBorders>
              <w:bottom w:val="single" w:sz="8" w:color="C0C0C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164"/>
        </w:trPr>
        <w:tc>
          <w:tcPr>
            <w:tcW w:w="3960" w:type="dxa"/>
            <w:vAlign w:val="bottom"/>
            <w:shd w:val="clear" w:color="auto" w:fill="C0C0C0"/>
          </w:tcPr>
          <w:p>
            <w:pPr>
              <w:spacing w:after="0"/>
              <w:rPr>
                <w:sz w:val="14"/>
                <w:szCs w:val="14"/>
                <w:color w:val="auto"/>
              </w:rPr>
            </w:pPr>
          </w:p>
        </w:tc>
        <w:tc>
          <w:tcPr>
            <w:tcW w:w="32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60" w:type="dxa"/>
            <w:vAlign w:val="bottom"/>
            <w:tcBorders>
              <w:bottom w:val="single" w:sz="8" w:color="auto"/>
            </w:tcBorders>
            <w:shd w:val="clear" w:color="auto" w:fill="C0C0C0"/>
          </w:tcPr>
          <w:p>
            <w:pPr>
              <w:spacing w:after="0"/>
              <w:rPr>
                <w:sz w:val="14"/>
                <w:szCs w:val="14"/>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7,062</w:t>
            </w:r>
          </w:p>
        </w:tc>
        <w:tc>
          <w:tcPr>
            <w:tcW w:w="180" w:type="dxa"/>
            <w:vAlign w:val="bottom"/>
            <w:shd w:val="clear" w:color="auto" w:fill="C0C0C0"/>
          </w:tcPr>
          <w:p>
            <w:pPr>
              <w:spacing w:after="0"/>
              <w:rPr>
                <w:sz w:val="14"/>
                <w:szCs w:val="14"/>
                <w:color w:val="auto"/>
              </w:rPr>
            </w:pPr>
          </w:p>
        </w:tc>
        <w:tc>
          <w:tcPr>
            <w:tcW w:w="140" w:type="dxa"/>
            <w:vAlign w:val="bottom"/>
            <w:tcBorders>
              <w:bottom w:val="single" w:sz="8" w:color="auto"/>
            </w:tcBorders>
            <w:shd w:val="clear" w:color="auto" w:fill="C0C0C0"/>
          </w:tcPr>
          <w:p>
            <w:pPr>
              <w:spacing w:after="0"/>
              <w:rPr>
                <w:sz w:val="14"/>
                <w:szCs w:val="14"/>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7,041</w:t>
            </w:r>
          </w:p>
        </w:tc>
        <w:tc>
          <w:tcPr>
            <w:tcW w:w="200" w:type="dxa"/>
            <w:vAlign w:val="bottom"/>
            <w:shd w:val="clear" w:color="auto" w:fill="C0C0C0"/>
          </w:tcPr>
          <w:p>
            <w:pPr>
              <w:spacing w:after="0"/>
              <w:rPr>
                <w:sz w:val="14"/>
                <w:szCs w:val="14"/>
                <w:color w:val="auto"/>
              </w:rPr>
            </w:pPr>
          </w:p>
        </w:tc>
        <w:tc>
          <w:tcPr>
            <w:tcW w:w="80" w:type="dxa"/>
            <w:vAlign w:val="bottom"/>
            <w:tcBorders>
              <w:bottom w:val="single" w:sz="8" w:color="auto"/>
            </w:tcBorders>
            <w:shd w:val="clear" w:color="auto" w:fill="C0C0C0"/>
          </w:tcPr>
          <w:p>
            <w:pPr>
              <w:spacing w:after="0"/>
              <w:rPr>
                <w:sz w:val="14"/>
                <w:szCs w:val="14"/>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0C0C0"/>
          </w:tcPr>
          <w:p>
            <w:pPr>
              <w:spacing w:after="0"/>
              <w:rPr>
                <w:sz w:val="14"/>
                <w:szCs w:val="14"/>
                <w:color w:val="auto"/>
              </w:rPr>
            </w:pPr>
          </w:p>
        </w:tc>
        <w:tc>
          <w:tcPr>
            <w:tcW w:w="80" w:type="dxa"/>
            <w:vAlign w:val="bottom"/>
            <w:tcBorders>
              <w:bottom w:val="single" w:sz="8" w:color="auto"/>
            </w:tcBorders>
            <w:shd w:val="clear" w:color="auto" w:fill="C0C0C0"/>
          </w:tcPr>
          <w:p>
            <w:pPr>
              <w:spacing w:after="0"/>
              <w:rPr>
                <w:sz w:val="14"/>
                <w:szCs w:val="14"/>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60" w:type="dxa"/>
            <w:vAlign w:val="bottom"/>
            <w:tcBorders>
              <w:bottom w:val="single" w:sz="8" w:color="auto"/>
            </w:tcBorders>
            <w:shd w:val="clear" w:color="auto" w:fill="C0C0C0"/>
          </w:tcPr>
          <w:p>
            <w:pPr>
              <w:spacing w:after="0"/>
              <w:rPr>
                <w:sz w:val="14"/>
                <w:szCs w:val="14"/>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3960" w:type="dxa"/>
            <w:vAlign w:val="bottom"/>
          </w:tcPr>
          <w:p>
            <w:pPr>
              <w:spacing w:after="0"/>
              <w:rPr>
                <w:sz w:val="14"/>
                <w:szCs w:val="14"/>
                <w:color w:val="auto"/>
              </w:rPr>
            </w:pPr>
          </w:p>
        </w:tc>
        <w:tc>
          <w:tcPr>
            <w:tcW w:w="360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468,929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467,089</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344</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(2,184)</w:t>
            </w:r>
          </w:p>
        </w:tc>
        <w:tc>
          <w:tcPr>
            <w:tcW w:w="1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(1,840)</w:t>
            </w:r>
          </w:p>
        </w:tc>
      </w:tr>
      <w:tr>
        <w:trPr>
          <w:trHeight w:val="344"/>
        </w:trPr>
        <w:tc>
          <w:tcPr>
            <w:tcW w:w="3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At December 31, 2010</w:t>
            </w:r>
          </w:p>
        </w:tc>
        <w:tc>
          <w:tcPr>
            <w:tcW w:w="3240" w:type="dxa"/>
            <w:vAlign w:val="bottom"/>
            <w:tcBorders>
              <w:bottom w:val="single" w:sz="8" w:color="auto"/>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160" w:type="dxa"/>
            <w:vAlign w:val="bottom"/>
            <w:tcBorders>
              <w:top w:val="single" w:sz="8" w:color="auto"/>
              <w:bottom w:val="single" w:sz="8" w:color="C0C0C0"/>
            </w:tcBorders>
          </w:tcPr>
          <w:p>
            <w:pPr>
              <w:spacing w:after="0"/>
              <w:rPr>
                <w:sz w:val="24"/>
                <w:szCs w:val="24"/>
                <w:color w:val="auto"/>
              </w:rPr>
            </w:pPr>
          </w:p>
        </w:tc>
        <w:tc>
          <w:tcPr>
            <w:tcW w:w="520" w:type="dxa"/>
            <w:vAlign w:val="bottom"/>
            <w:tcBorders>
              <w:top w:val="single" w:sz="8" w:color="auto"/>
              <w:bottom w:val="single" w:sz="8" w:color="C0C0C0"/>
            </w:tcBorders>
          </w:tcPr>
          <w:p>
            <w:pPr>
              <w:spacing w:after="0"/>
              <w:rPr>
                <w:sz w:val="24"/>
                <w:szCs w:val="24"/>
                <w:color w:val="auto"/>
              </w:rPr>
            </w:pPr>
          </w:p>
        </w:tc>
        <w:tc>
          <w:tcPr>
            <w:tcW w:w="180" w:type="dxa"/>
            <w:vAlign w:val="bottom"/>
            <w:tcBorders>
              <w:bottom w:val="single" w:sz="8" w:color="C0C0C0"/>
            </w:tcBorders>
          </w:tcPr>
          <w:p>
            <w:pPr>
              <w:spacing w:after="0"/>
              <w:rPr>
                <w:sz w:val="24"/>
                <w:szCs w:val="24"/>
                <w:color w:val="auto"/>
              </w:rPr>
            </w:pPr>
          </w:p>
        </w:tc>
        <w:tc>
          <w:tcPr>
            <w:tcW w:w="140" w:type="dxa"/>
            <w:vAlign w:val="bottom"/>
            <w:tcBorders>
              <w:top w:val="single" w:sz="8" w:color="auto"/>
              <w:bottom w:val="single" w:sz="8" w:color="C0C0C0"/>
            </w:tcBorders>
          </w:tcPr>
          <w:p>
            <w:pPr>
              <w:spacing w:after="0"/>
              <w:rPr>
                <w:sz w:val="24"/>
                <w:szCs w:val="24"/>
                <w:color w:val="auto"/>
              </w:rPr>
            </w:pPr>
          </w:p>
        </w:tc>
        <w:tc>
          <w:tcPr>
            <w:tcW w:w="540" w:type="dxa"/>
            <w:vAlign w:val="bottom"/>
            <w:tcBorders>
              <w:top w:val="single" w:sz="8" w:color="auto"/>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80" w:type="dxa"/>
            <w:vAlign w:val="bottom"/>
            <w:tcBorders>
              <w:top w:val="single" w:sz="8" w:color="auto"/>
              <w:bottom w:val="single" w:sz="8" w:color="C0C0C0"/>
            </w:tcBorders>
          </w:tcPr>
          <w:p>
            <w:pPr>
              <w:spacing w:after="0"/>
              <w:rPr>
                <w:sz w:val="24"/>
                <w:szCs w:val="24"/>
                <w:color w:val="auto"/>
              </w:rPr>
            </w:pPr>
          </w:p>
        </w:tc>
        <w:tc>
          <w:tcPr>
            <w:tcW w:w="480" w:type="dxa"/>
            <w:vAlign w:val="bottom"/>
            <w:tcBorders>
              <w:top w:val="single" w:sz="8" w:color="auto"/>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80" w:type="dxa"/>
            <w:vAlign w:val="bottom"/>
            <w:tcBorders>
              <w:top w:val="single" w:sz="8" w:color="auto"/>
              <w:bottom w:val="single" w:sz="8" w:color="C0C0C0"/>
            </w:tcBorders>
          </w:tcPr>
          <w:p>
            <w:pPr>
              <w:spacing w:after="0"/>
              <w:rPr>
                <w:sz w:val="24"/>
                <w:szCs w:val="24"/>
                <w:color w:val="auto"/>
              </w:rPr>
            </w:pPr>
          </w:p>
        </w:tc>
        <w:tc>
          <w:tcPr>
            <w:tcW w:w="600" w:type="dxa"/>
            <w:vAlign w:val="bottom"/>
            <w:tcBorders>
              <w:top w:val="single" w:sz="8" w:color="auto"/>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160" w:type="dxa"/>
            <w:vAlign w:val="bottom"/>
            <w:tcBorders>
              <w:top w:val="single" w:sz="8" w:color="auto"/>
              <w:bottom w:val="single" w:sz="8" w:color="C0C0C0"/>
            </w:tcBorders>
          </w:tcPr>
          <w:p>
            <w:pPr>
              <w:spacing w:after="0"/>
              <w:rPr>
                <w:sz w:val="24"/>
                <w:szCs w:val="24"/>
                <w:color w:val="auto"/>
              </w:rPr>
            </w:pPr>
          </w:p>
        </w:tc>
        <w:tc>
          <w:tcPr>
            <w:tcW w:w="540" w:type="dxa"/>
            <w:vAlign w:val="bottom"/>
            <w:tcBorders>
              <w:top w:val="single" w:sz="8" w:color="auto"/>
              <w:bottom w:val="single" w:sz="8" w:color="C0C0C0"/>
            </w:tcBorders>
          </w:tcPr>
          <w:p>
            <w:pPr>
              <w:spacing w:after="0"/>
              <w:rPr>
                <w:sz w:val="24"/>
                <w:szCs w:val="24"/>
                <w:color w:val="auto"/>
              </w:rPr>
            </w:pPr>
          </w:p>
        </w:tc>
      </w:tr>
      <w:tr>
        <w:trPr>
          <w:trHeight w:val="170"/>
        </w:trPr>
        <w:tc>
          <w:tcPr>
            <w:tcW w:w="3960" w:type="dxa"/>
            <w:vAlign w:val="bottom"/>
            <w:shd w:val="clear" w:color="auto" w:fill="C0C0C0"/>
          </w:tcPr>
          <w:p>
            <w:pPr>
              <w:spacing w:after="0"/>
              <w:rPr>
                <w:sz w:val="20"/>
                <w:szCs w:val="20"/>
                <w:color w:val="auto"/>
              </w:rPr>
            </w:pPr>
            <w:r>
              <w:rPr>
                <w:rFonts w:ascii="Arial" w:cs="Arial" w:eastAsia="Arial" w:hAnsi="Arial"/>
                <w:sz w:val="13"/>
                <w:szCs w:val="13"/>
                <w:i w:val="1"/>
                <w:iCs w:val="1"/>
                <w:color w:val="auto"/>
              </w:rPr>
              <w:t>Unrestricted</w:t>
            </w:r>
          </w:p>
        </w:tc>
        <w:tc>
          <w:tcPr>
            <w:tcW w:w="32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r>
      <w:tr>
        <w:trPr>
          <w:trHeight w:val="169"/>
        </w:trPr>
        <w:tc>
          <w:tcPr>
            <w:tcW w:w="3960" w:type="dxa"/>
            <w:vAlign w:val="bottom"/>
          </w:tcPr>
          <w:p>
            <w:pPr>
              <w:spacing w:after="0"/>
              <w:rPr>
                <w:sz w:val="20"/>
                <w:szCs w:val="20"/>
                <w:color w:val="auto"/>
              </w:rPr>
            </w:pPr>
            <w:r>
              <w:rPr>
                <w:rFonts w:ascii="Arial" w:cs="Arial" w:eastAsia="Arial" w:hAnsi="Arial"/>
                <w:sz w:val="13"/>
                <w:szCs w:val="13"/>
                <w:color w:val="auto"/>
              </w:rPr>
              <w:t>Maturities within one year</w:t>
            </w: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0"/>
        </w:trPr>
        <w:tc>
          <w:tcPr>
            <w:tcW w:w="39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obligations</w:t>
            </w:r>
          </w:p>
        </w:tc>
        <w:tc>
          <w:tcPr>
            <w:tcW w:w="3600" w:type="dxa"/>
            <w:vAlign w:val="bottom"/>
            <w:gridSpan w:val="3"/>
            <w:shd w:val="clear" w:color="auto" w:fill="C0C0C0"/>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0C0C0"/>
          </w:tcPr>
          <w:p>
            <w:pPr>
              <w:jc w:val="right"/>
              <w:ind w:right="180"/>
              <w:spacing w:after="0"/>
              <w:rPr>
                <w:sz w:val="20"/>
                <w:szCs w:val="20"/>
                <w:color w:val="auto"/>
              </w:rPr>
            </w:pPr>
            <w:r>
              <w:rPr>
                <w:rFonts w:ascii="Arial" w:cs="Arial" w:eastAsia="Arial" w:hAnsi="Arial"/>
                <w:sz w:val="13"/>
                <w:szCs w:val="13"/>
                <w:color w:val="auto"/>
              </w:rPr>
              <w:t>83,635</w:t>
            </w:r>
          </w:p>
        </w:tc>
        <w:tc>
          <w:tcPr>
            <w:tcW w:w="140" w:type="dxa"/>
            <w:vAlign w:val="bottom"/>
            <w:shd w:val="clear" w:color="auto" w:fill="C0C0C0"/>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83,684</w:t>
            </w: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54</w:t>
            </w: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0C0C0"/>
          </w:tcPr>
          <w:p>
            <w:pPr>
              <w:spacing w:after="0"/>
              <w:rPr>
                <w:sz w:val="15"/>
                <w:szCs w:val="15"/>
                <w:color w:val="auto"/>
              </w:rPr>
            </w:pPr>
          </w:p>
        </w:tc>
        <w:tc>
          <w:tcPr>
            <w:tcW w:w="2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49</w:t>
            </w:r>
          </w:p>
        </w:tc>
      </w:tr>
      <w:tr>
        <w:trPr>
          <w:trHeight w:val="164"/>
        </w:trPr>
        <w:tc>
          <w:tcPr>
            <w:tcW w:w="3960" w:type="dxa"/>
            <w:vAlign w:val="bottom"/>
          </w:tcPr>
          <w:p>
            <w:pPr>
              <w:ind w:left="220"/>
              <w:spacing w:after="0"/>
              <w:rPr>
                <w:sz w:val="20"/>
                <w:szCs w:val="20"/>
                <w:color w:val="auto"/>
              </w:rPr>
            </w:pPr>
            <w:r>
              <w:rPr>
                <w:rFonts w:ascii="Arial" w:cs="Arial" w:eastAsia="Arial" w:hAnsi="Arial"/>
                <w:sz w:val="13"/>
                <w:szCs w:val="13"/>
                <w:color w:val="auto"/>
              </w:rPr>
              <w:t>U.S. government guaranteed corporate</w:t>
            </w: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0"/>
        </w:trPr>
        <w:tc>
          <w:tcPr>
            <w:tcW w:w="3960" w:type="dxa"/>
            <w:vAlign w:val="bottom"/>
          </w:tcPr>
          <w:p>
            <w:pPr>
              <w:ind w:left="440"/>
              <w:spacing w:after="0"/>
              <w:rPr>
                <w:sz w:val="20"/>
                <w:szCs w:val="20"/>
                <w:color w:val="auto"/>
              </w:rPr>
            </w:pPr>
            <w:r>
              <w:rPr>
                <w:rFonts w:ascii="Arial" w:cs="Arial" w:eastAsia="Arial" w:hAnsi="Arial"/>
                <w:sz w:val="13"/>
                <w:szCs w:val="13"/>
                <w:color w:val="auto"/>
              </w:rPr>
              <w:t>bonds</w:t>
            </w: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48,173</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48,531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358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358</w:t>
            </w:r>
          </w:p>
        </w:tc>
      </w:tr>
      <w:tr>
        <w:trPr>
          <w:trHeight w:val="169"/>
        </w:trPr>
        <w:tc>
          <w:tcPr>
            <w:tcW w:w="39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guaranteed</w:t>
            </w:r>
          </w:p>
        </w:tc>
        <w:tc>
          <w:tcPr>
            <w:tcW w:w="32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r>
      <w:tr>
        <w:trPr>
          <w:trHeight w:val="185"/>
        </w:trPr>
        <w:tc>
          <w:tcPr>
            <w:tcW w:w="3960" w:type="dxa"/>
            <w:vAlign w:val="bottom"/>
            <w:shd w:val="clear" w:color="auto" w:fill="C0C0C0"/>
          </w:tcPr>
          <w:p>
            <w:pPr>
              <w:ind w:left="440"/>
              <w:spacing w:after="0"/>
              <w:rPr>
                <w:sz w:val="20"/>
                <w:szCs w:val="20"/>
                <w:color w:val="auto"/>
              </w:rPr>
            </w:pPr>
            <w:r>
              <w:rPr>
                <w:rFonts w:ascii="Arial" w:cs="Arial" w:eastAsia="Arial" w:hAnsi="Arial"/>
                <w:sz w:val="13"/>
                <w:szCs w:val="13"/>
                <w:color w:val="auto"/>
              </w:rPr>
              <w:t>collateralized mortgage obligations</w:t>
            </w:r>
          </w:p>
        </w:tc>
        <w:tc>
          <w:tcPr>
            <w:tcW w:w="324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700" w:type="dxa"/>
            <w:vAlign w:val="bottom"/>
            <w:gridSpan w:val="2"/>
            <w:shd w:val="clear" w:color="auto" w:fill="C0C0C0"/>
          </w:tcPr>
          <w:p>
            <w:pPr>
              <w:jc w:val="right"/>
              <w:ind w:right="180"/>
              <w:spacing w:after="0"/>
              <w:rPr>
                <w:sz w:val="20"/>
                <w:szCs w:val="20"/>
                <w:color w:val="auto"/>
              </w:rPr>
            </w:pPr>
            <w:r>
              <w:rPr>
                <w:rFonts w:ascii="Arial" w:cs="Arial" w:eastAsia="Arial" w:hAnsi="Arial"/>
                <w:sz w:val="13"/>
                <w:szCs w:val="13"/>
                <w:color w:val="auto"/>
              </w:rPr>
              <w:t>2,027</w:t>
            </w:r>
          </w:p>
        </w:tc>
        <w:tc>
          <w:tcPr>
            <w:tcW w:w="14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2,131</w:t>
            </w:r>
          </w:p>
        </w:tc>
        <w:tc>
          <w:tcPr>
            <w:tcW w:w="2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104</w:t>
            </w:r>
          </w:p>
        </w:tc>
        <w:tc>
          <w:tcPr>
            <w:tcW w:w="2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4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104</w:t>
            </w:r>
          </w:p>
        </w:tc>
      </w:tr>
      <w:tr>
        <w:trPr>
          <w:trHeight w:val="169"/>
        </w:trPr>
        <w:tc>
          <w:tcPr>
            <w:tcW w:w="3960" w:type="dxa"/>
            <w:vAlign w:val="bottom"/>
          </w:tcPr>
          <w:p>
            <w:pPr>
              <w:ind w:left="220"/>
              <w:spacing w:after="0"/>
              <w:rPr>
                <w:sz w:val="20"/>
                <w:szCs w:val="20"/>
                <w:color w:val="auto"/>
              </w:rPr>
            </w:pPr>
            <w:r>
              <w:rPr>
                <w:rFonts w:ascii="Arial" w:cs="Arial" w:eastAsia="Arial" w:hAnsi="Arial"/>
                <w:sz w:val="13"/>
                <w:szCs w:val="13"/>
                <w:color w:val="auto"/>
              </w:rPr>
              <w:t>Municipal bonds</w:t>
            </w: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1,597</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1,603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w:t>
            </w:r>
          </w:p>
        </w:tc>
      </w:tr>
      <w:tr>
        <w:trPr>
          <w:trHeight w:val="175"/>
        </w:trPr>
        <w:tc>
          <w:tcPr>
            <w:tcW w:w="39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Mortgage-backed securities</w:t>
            </w:r>
          </w:p>
        </w:tc>
        <w:tc>
          <w:tcPr>
            <w:tcW w:w="324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spacing w:after="0"/>
              <w:rPr>
                <w:sz w:val="15"/>
                <w:szCs w:val="15"/>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875</w:t>
            </w:r>
          </w:p>
        </w:tc>
        <w:tc>
          <w:tcPr>
            <w:tcW w:w="180" w:type="dxa"/>
            <w:vAlign w:val="bottom"/>
            <w:shd w:val="clear" w:color="auto" w:fill="C0C0C0"/>
          </w:tcPr>
          <w:p>
            <w:pPr>
              <w:spacing w:after="0"/>
              <w:rPr>
                <w:sz w:val="15"/>
                <w:szCs w:val="15"/>
                <w:color w:val="auto"/>
              </w:rPr>
            </w:pPr>
          </w:p>
        </w:tc>
        <w:tc>
          <w:tcPr>
            <w:tcW w:w="140" w:type="dxa"/>
            <w:vAlign w:val="bottom"/>
            <w:tcBorders>
              <w:bottom w:val="single" w:sz="8" w:color="auto"/>
            </w:tcBorders>
            <w:shd w:val="clear" w:color="auto" w:fill="C0C0C0"/>
          </w:tcPr>
          <w:p>
            <w:pPr>
              <w:spacing w:after="0"/>
              <w:rPr>
                <w:sz w:val="15"/>
                <w:szCs w:val="15"/>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847</w:t>
            </w:r>
          </w:p>
        </w:tc>
        <w:tc>
          <w:tcPr>
            <w:tcW w:w="200" w:type="dxa"/>
            <w:vAlign w:val="bottom"/>
            <w:shd w:val="clear" w:color="auto" w:fill="C0C0C0"/>
          </w:tcPr>
          <w:p>
            <w:pPr>
              <w:spacing w:after="0"/>
              <w:rPr>
                <w:sz w:val="15"/>
                <w:szCs w:val="15"/>
                <w:color w:val="auto"/>
              </w:rPr>
            </w:pPr>
          </w:p>
        </w:tc>
        <w:tc>
          <w:tcPr>
            <w:tcW w:w="80" w:type="dxa"/>
            <w:vAlign w:val="bottom"/>
            <w:tcBorders>
              <w:bottom w:val="single" w:sz="8" w:color="auto"/>
            </w:tcBorders>
            <w:shd w:val="clear" w:color="auto" w:fill="C0C0C0"/>
          </w:tcPr>
          <w:p>
            <w:pPr>
              <w:spacing w:after="0"/>
              <w:rPr>
                <w:sz w:val="15"/>
                <w:szCs w:val="15"/>
                <w:color w:val="auto"/>
              </w:rPr>
            </w:pPr>
          </w:p>
        </w:tc>
        <w:tc>
          <w:tcPr>
            <w:tcW w:w="480" w:type="dxa"/>
            <w:vAlign w:val="bottom"/>
            <w:tcBorders>
              <w:bottom w:val="single" w:sz="8" w:color="auto"/>
            </w:tcBorders>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80" w:type="dxa"/>
            <w:vAlign w:val="bottom"/>
            <w:tcBorders>
              <w:bottom w:val="single" w:sz="8" w:color="auto"/>
            </w:tcBorders>
            <w:shd w:val="clear" w:color="auto" w:fill="C0C0C0"/>
          </w:tcPr>
          <w:p>
            <w:pPr>
              <w:spacing w:after="0"/>
              <w:rPr>
                <w:sz w:val="15"/>
                <w:szCs w:val="15"/>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spacing w:after="0"/>
              <w:rPr>
                <w:sz w:val="15"/>
                <w:szCs w:val="15"/>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(28)</w:t>
            </w:r>
          </w:p>
        </w:tc>
      </w:tr>
      <w:tr>
        <w:trPr>
          <w:trHeight w:val="159"/>
        </w:trPr>
        <w:tc>
          <w:tcPr>
            <w:tcW w:w="39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136,307</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136,796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522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489</w:t>
            </w:r>
          </w:p>
        </w:tc>
      </w:tr>
      <w:tr>
        <w:trPr>
          <w:trHeight w:val="329"/>
        </w:trPr>
        <w:tc>
          <w:tcPr>
            <w:tcW w:w="3960" w:type="dxa"/>
            <w:vAlign w:val="bottom"/>
          </w:tcPr>
          <w:p>
            <w:pPr>
              <w:spacing w:after="0"/>
              <w:rPr>
                <w:sz w:val="24"/>
                <w:szCs w:val="24"/>
                <w:color w:val="auto"/>
              </w:rPr>
            </w:pPr>
          </w:p>
        </w:tc>
        <w:tc>
          <w:tcPr>
            <w:tcW w:w="3240" w:type="dxa"/>
            <w:vAlign w:val="bottom"/>
          </w:tcPr>
          <w:p>
            <w:pPr>
              <w:jc w:val="right"/>
              <w:ind w:right="1377"/>
              <w:spacing w:after="0"/>
              <w:rPr>
                <w:sz w:val="20"/>
                <w:szCs w:val="20"/>
                <w:color w:val="auto"/>
              </w:rPr>
            </w:pPr>
            <w:r>
              <w:rPr>
                <w:rFonts w:ascii="Arial" w:cs="Arial" w:eastAsia="Arial" w:hAnsi="Arial"/>
                <w:sz w:val="13"/>
                <w:szCs w:val="13"/>
                <w:color w:val="auto"/>
              </w:rPr>
              <w:t>9</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58"/>
        </w:trPr>
        <w:tc>
          <w:tcPr>
            <w:tcW w:w="3960" w:type="dxa"/>
            <w:vAlign w:val="bottom"/>
            <w:tcBorders>
              <w:bottom w:val="single" w:sz="8" w:color="808080"/>
            </w:tcBorders>
          </w:tcPr>
          <w:p>
            <w:pPr>
              <w:spacing w:after="0"/>
              <w:rPr>
                <w:sz w:val="22"/>
                <w:szCs w:val="22"/>
                <w:color w:val="auto"/>
              </w:rPr>
            </w:pPr>
          </w:p>
        </w:tc>
        <w:tc>
          <w:tcPr>
            <w:tcW w:w="324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52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Condensed Financial Statements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Amortized</w:t>
            </w: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70"/>
        </w:trPr>
        <w:tc>
          <w:tcPr>
            <w:tcW w:w="7520" w:type="dxa"/>
            <w:vAlign w:val="bottom"/>
          </w:tcPr>
          <w:p>
            <w:pPr>
              <w:spacing w:after="0"/>
              <w:rPr>
                <w:sz w:val="20"/>
                <w:szCs w:val="20"/>
                <w:color w:val="auto"/>
              </w:rPr>
            </w:pPr>
            <w:r>
              <w:rPr>
                <w:rFonts w:ascii="Arial" w:cs="Arial" w:eastAsia="Arial" w:hAnsi="Arial"/>
                <w:sz w:val="13"/>
                <w:szCs w:val="13"/>
                <w:b w:val="1"/>
                <w:bCs w:val="1"/>
                <w:color w:val="auto"/>
              </w:rPr>
              <w:t>At December 31, 2010 (continued)</w:t>
            </w:r>
          </w:p>
        </w:tc>
        <w:tc>
          <w:tcPr>
            <w:tcW w:w="1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Cost Basis</w:t>
            </w: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4"/>
                <w:szCs w:val="14"/>
                <w:color w:val="auto"/>
              </w:rPr>
            </w:pPr>
          </w:p>
        </w:tc>
        <w:tc>
          <w:tcPr>
            <w:tcW w:w="540" w:type="dxa"/>
            <w:vAlign w:val="bottom"/>
          </w:tcPr>
          <w:p>
            <w:pPr>
              <w:jc w:val="right"/>
              <w:ind w:right="197"/>
              <w:spacing w:after="0"/>
              <w:rPr>
                <w:sz w:val="20"/>
                <w:szCs w:val="20"/>
                <w:color w:val="auto"/>
              </w:rPr>
            </w:pPr>
            <w:r>
              <w:rPr>
                <w:rFonts w:ascii="Arial" w:cs="Arial" w:eastAsia="Arial" w:hAnsi="Arial"/>
                <w:sz w:val="13"/>
                <w:szCs w:val="13"/>
                <w:b w:val="1"/>
                <w:bCs w:val="1"/>
                <w:color w:val="auto"/>
              </w:rPr>
              <w:t>Net</w:t>
            </w:r>
          </w:p>
        </w:tc>
      </w:tr>
      <w:tr>
        <w:trPr>
          <w:trHeight w:val="170"/>
        </w:trPr>
        <w:tc>
          <w:tcPr>
            <w:tcW w:w="75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3"/>
                <w:szCs w:val="13"/>
                <w:color w:val="auto"/>
              </w:rPr>
              <w:t>Maturities between one and five years</w:t>
            </w:r>
          </w:p>
        </w:tc>
        <w:tc>
          <w:tcPr>
            <w:tcW w:w="160" w:type="dxa"/>
            <w:vAlign w:val="bottom"/>
            <w:tcBorders>
              <w:top w:val="single" w:sz="8" w:color="C0C0C0"/>
            </w:tcBorders>
            <w:shd w:val="clear" w:color="auto" w:fill="C0C0C0"/>
          </w:tcPr>
          <w:p>
            <w:pPr>
              <w:spacing w:after="0"/>
              <w:rPr>
                <w:sz w:val="14"/>
                <w:szCs w:val="14"/>
                <w:color w:val="auto"/>
              </w:rPr>
            </w:pPr>
          </w:p>
        </w:tc>
        <w:tc>
          <w:tcPr>
            <w:tcW w:w="160" w:type="dxa"/>
            <w:vAlign w:val="bottom"/>
            <w:tcBorders>
              <w:top w:val="single" w:sz="8" w:color="auto"/>
            </w:tcBorders>
            <w:shd w:val="clear" w:color="auto" w:fill="C0C0C0"/>
          </w:tcPr>
          <w:p>
            <w:pPr>
              <w:spacing w:after="0"/>
              <w:rPr>
                <w:sz w:val="14"/>
                <w:szCs w:val="14"/>
                <w:color w:val="auto"/>
              </w:rPr>
            </w:pPr>
          </w:p>
        </w:tc>
        <w:tc>
          <w:tcPr>
            <w:tcW w:w="520" w:type="dxa"/>
            <w:vAlign w:val="bottom"/>
            <w:tcBorders>
              <w:top w:val="single" w:sz="8" w:color="auto"/>
            </w:tcBorders>
            <w:shd w:val="clear" w:color="auto" w:fill="C0C0C0"/>
          </w:tcPr>
          <w:p>
            <w:pPr>
              <w:spacing w:after="0"/>
              <w:rPr>
                <w:sz w:val="14"/>
                <w:szCs w:val="14"/>
                <w:color w:val="auto"/>
              </w:rPr>
            </w:pPr>
          </w:p>
        </w:tc>
        <w:tc>
          <w:tcPr>
            <w:tcW w:w="140" w:type="dxa"/>
            <w:vAlign w:val="bottom"/>
            <w:tcBorders>
              <w:top w:val="single" w:sz="8" w:color="C0C0C0"/>
            </w:tcBorders>
            <w:shd w:val="clear" w:color="auto" w:fill="C0C0C0"/>
          </w:tcPr>
          <w:p>
            <w:pPr>
              <w:spacing w:after="0"/>
              <w:rPr>
                <w:sz w:val="14"/>
                <w:szCs w:val="14"/>
                <w:color w:val="auto"/>
              </w:rPr>
            </w:pPr>
          </w:p>
        </w:tc>
        <w:tc>
          <w:tcPr>
            <w:tcW w:w="540" w:type="dxa"/>
            <w:vAlign w:val="bottom"/>
            <w:tcBorders>
              <w:top w:val="single" w:sz="8" w:color="auto"/>
            </w:tcBorders>
            <w:shd w:val="clear" w:color="auto" w:fill="C0C0C0"/>
          </w:tcPr>
          <w:p>
            <w:pPr>
              <w:spacing w:after="0"/>
              <w:rPr>
                <w:sz w:val="14"/>
                <w:szCs w:val="14"/>
                <w:color w:val="auto"/>
              </w:rPr>
            </w:pPr>
          </w:p>
        </w:tc>
        <w:tc>
          <w:tcPr>
            <w:tcW w:w="140" w:type="dxa"/>
            <w:vAlign w:val="bottom"/>
            <w:tcBorders>
              <w:top w:val="single" w:sz="8" w:color="C0C0C0"/>
            </w:tcBorders>
            <w:shd w:val="clear" w:color="auto" w:fill="C0C0C0"/>
          </w:tcPr>
          <w:p>
            <w:pPr>
              <w:spacing w:after="0"/>
              <w:rPr>
                <w:sz w:val="14"/>
                <w:szCs w:val="14"/>
                <w:color w:val="auto"/>
              </w:rPr>
            </w:pPr>
          </w:p>
        </w:tc>
        <w:tc>
          <w:tcPr>
            <w:tcW w:w="100" w:type="dxa"/>
            <w:vAlign w:val="bottom"/>
            <w:tcBorders>
              <w:top w:val="single" w:sz="8" w:color="auto"/>
            </w:tcBorders>
            <w:shd w:val="clear" w:color="auto" w:fill="C0C0C0"/>
          </w:tcPr>
          <w:p>
            <w:pPr>
              <w:spacing w:after="0"/>
              <w:rPr>
                <w:sz w:val="14"/>
                <w:szCs w:val="14"/>
                <w:color w:val="auto"/>
              </w:rPr>
            </w:pPr>
          </w:p>
        </w:tc>
        <w:tc>
          <w:tcPr>
            <w:tcW w:w="480" w:type="dxa"/>
            <w:vAlign w:val="bottom"/>
            <w:tcBorders>
              <w:top w:val="single" w:sz="8" w:color="auto"/>
            </w:tcBorders>
            <w:shd w:val="clear" w:color="auto" w:fill="C0C0C0"/>
          </w:tcPr>
          <w:p>
            <w:pPr>
              <w:spacing w:after="0"/>
              <w:rPr>
                <w:sz w:val="14"/>
                <w:szCs w:val="14"/>
                <w:color w:val="auto"/>
              </w:rPr>
            </w:pPr>
          </w:p>
        </w:tc>
        <w:tc>
          <w:tcPr>
            <w:tcW w:w="16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auto"/>
            </w:tcBorders>
            <w:shd w:val="clear" w:color="auto" w:fill="C0C0C0"/>
          </w:tcPr>
          <w:p>
            <w:pPr>
              <w:spacing w:after="0"/>
              <w:rPr>
                <w:sz w:val="14"/>
                <w:szCs w:val="14"/>
                <w:color w:val="auto"/>
              </w:rPr>
            </w:pPr>
          </w:p>
        </w:tc>
        <w:tc>
          <w:tcPr>
            <w:tcW w:w="620" w:type="dxa"/>
            <w:vAlign w:val="bottom"/>
            <w:tcBorders>
              <w:top w:val="single" w:sz="8" w:color="auto"/>
            </w:tcBorders>
            <w:shd w:val="clear" w:color="auto" w:fill="C0C0C0"/>
          </w:tcPr>
          <w:p>
            <w:pPr>
              <w:spacing w:after="0"/>
              <w:rPr>
                <w:sz w:val="14"/>
                <w:szCs w:val="14"/>
                <w:color w:val="auto"/>
              </w:rPr>
            </w:pPr>
          </w:p>
        </w:tc>
        <w:tc>
          <w:tcPr>
            <w:tcW w:w="160" w:type="dxa"/>
            <w:vAlign w:val="bottom"/>
            <w:tcBorders>
              <w:top w:val="single" w:sz="8" w:color="C0C0C0"/>
            </w:tcBorders>
            <w:shd w:val="clear" w:color="auto" w:fill="C0C0C0"/>
          </w:tcPr>
          <w:p>
            <w:pPr>
              <w:spacing w:after="0"/>
              <w:rPr>
                <w:sz w:val="14"/>
                <w:szCs w:val="14"/>
                <w:color w:val="auto"/>
              </w:rPr>
            </w:pPr>
          </w:p>
        </w:tc>
        <w:tc>
          <w:tcPr>
            <w:tcW w:w="160" w:type="dxa"/>
            <w:vAlign w:val="bottom"/>
            <w:tcBorders>
              <w:top w:val="single" w:sz="8" w:color="auto"/>
            </w:tcBorders>
            <w:shd w:val="clear" w:color="auto" w:fill="C0C0C0"/>
          </w:tcPr>
          <w:p>
            <w:pPr>
              <w:spacing w:after="0"/>
              <w:rPr>
                <w:sz w:val="14"/>
                <w:szCs w:val="14"/>
                <w:color w:val="auto"/>
              </w:rPr>
            </w:pPr>
          </w:p>
        </w:tc>
        <w:tc>
          <w:tcPr>
            <w:tcW w:w="540" w:type="dxa"/>
            <w:vAlign w:val="bottom"/>
            <w:tcBorders>
              <w:top w:val="single" w:sz="8" w:color="auto"/>
            </w:tcBorders>
            <w:shd w:val="clear" w:color="auto" w:fill="C0C0C0"/>
          </w:tcPr>
          <w:p>
            <w:pPr>
              <w:spacing w:after="0"/>
              <w:rPr>
                <w:sz w:val="14"/>
                <w:szCs w:val="14"/>
                <w:color w:val="auto"/>
              </w:rPr>
            </w:pPr>
          </w:p>
        </w:tc>
      </w:tr>
      <w:tr>
        <w:trPr>
          <w:trHeight w:val="169"/>
        </w:trPr>
        <w:tc>
          <w:tcPr>
            <w:tcW w:w="7520" w:type="dxa"/>
            <w:vAlign w:val="bottom"/>
          </w:tcPr>
          <w:p>
            <w:pPr>
              <w:ind w:left="220"/>
              <w:spacing w:after="0"/>
              <w:rPr>
                <w:sz w:val="20"/>
                <w:szCs w:val="20"/>
                <w:color w:val="auto"/>
              </w:rPr>
            </w:pPr>
            <w:r>
              <w:rPr>
                <w:rFonts w:ascii="Arial" w:cs="Arial" w:eastAsia="Arial" w:hAnsi="Arial"/>
                <w:sz w:val="13"/>
                <w:szCs w:val="13"/>
                <w:color w:val="auto"/>
              </w:rPr>
              <w:t>U.S. government obligations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352,345</w:t>
            </w:r>
          </w:p>
        </w:tc>
        <w:tc>
          <w:tcPr>
            <w:tcW w:w="1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350,683</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(1,726)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(1,662)</w:t>
            </w:r>
          </w:p>
        </w:tc>
      </w:tr>
      <w:tr>
        <w:trPr>
          <w:trHeight w:val="169"/>
        </w:trPr>
        <w:tc>
          <w:tcPr>
            <w:tcW w:w="752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guaranteed corporate</w:t>
            </w: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r>
      <w:tr>
        <w:trPr>
          <w:trHeight w:val="185"/>
        </w:trPr>
        <w:tc>
          <w:tcPr>
            <w:tcW w:w="7520" w:type="dxa"/>
            <w:vAlign w:val="bottom"/>
            <w:shd w:val="clear" w:color="auto" w:fill="C0C0C0"/>
          </w:tcPr>
          <w:p>
            <w:pPr>
              <w:ind w:left="440"/>
              <w:spacing w:after="0"/>
              <w:rPr>
                <w:sz w:val="20"/>
                <w:szCs w:val="20"/>
                <w:color w:val="auto"/>
              </w:rPr>
            </w:pPr>
            <w:r>
              <w:rPr>
                <w:rFonts w:ascii="Arial" w:cs="Arial" w:eastAsia="Arial" w:hAnsi="Arial"/>
                <w:sz w:val="13"/>
                <w:szCs w:val="13"/>
                <w:color w:val="auto"/>
              </w:rPr>
              <w:t>bonds</w:t>
            </w:r>
          </w:p>
        </w:tc>
        <w:tc>
          <w:tcPr>
            <w:tcW w:w="16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15,522</w:t>
            </w:r>
          </w:p>
        </w:tc>
        <w:tc>
          <w:tcPr>
            <w:tcW w:w="140" w:type="dxa"/>
            <w:vAlign w:val="bottom"/>
            <w:shd w:val="clear" w:color="auto" w:fill="C0C0C0"/>
          </w:tcPr>
          <w:p>
            <w:pPr>
              <w:spacing w:after="0"/>
              <w:rPr>
                <w:sz w:val="16"/>
                <w:szCs w:val="16"/>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15,477</w:t>
            </w:r>
          </w:p>
        </w:tc>
        <w:tc>
          <w:tcPr>
            <w:tcW w:w="10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(45)</w:t>
            </w:r>
          </w:p>
        </w:tc>
        <w:tc>
          <w:tcPr>
            <w:tcW w:w="16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(45)</w:t>
            </w:r>
          </w:p>
        </w:tc>
      </w:tr>
      <w:tr>
        <w:trPr>
          <w:trHeight w:val="169"/>
        </w:trPr>
        <w:tc>
          <w:tcPr>
            <w:tcW w:w="7520" w:type="dxa"/>
            <w:vAlign w:val="bottom"/>
            <w:tcBorders>
              <w:bottom w:val="single" w:sz="8" w:color="C0C0C0"/>
            </w:tcBorders>
          </w:tcPr>
          <w:p>
            <w:pPr>
              <w:ind w:left="220"/>
              <w:spacing w:after="0"/>
              <w:rPr>
                <w:sz w:val="20"/>
                <w:szCs w:val="20"/>
                <w:color w:val="auto"/>
              </w:rPr>
            </w:pPr>
            <w:r>
              <w:rPr>
                <w:rFonts w:ascii="Arial" w:cs="Arial" w:eastAsia="Arial" w:hAnsi="Arial"/>
                <w:sz w:val="13"/>
                <w:szCs w:val="13"/>
                <w:color w:val="auto"/>
              </w:rPr>
              <w:t>Mortgage-backed securities</w:t>
            </w:r>
          </w:p>
        </w:tc>
        <w:tc>
          <w:tcPr>
            <w:tcW w:w="160" w:type="dxa"/>
            <w:vAlign w:val="bottom"/>
            <w:tcBorders>
              <w:bottom w:val="single" w:sz="8" w:color="C0C0C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40" w:type="dxa"/>
            <w:vAlign w:val="bottom"/>
            <w:tcBorders>
              <w:bottom w:val="single" w:sz="8" w:color="C0C0C0"/>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40" w:type="dxa"/>
            <w:vAlign w:val="bottom"/>
            <w:tcBorders>
              <w:bottom w:val="single" w:sz="8" w:color="C0C0C0"/>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160" w:type="dxa"/>
            <w:vAlign w:val="bottom"/>
            <w:tcBorders>
              <w:bottom w:val="single" w:sz="8" w:color="C0C0C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(72)</w:t>
            </w:r>
          </w:p>
        </w:tc>
      </w:tr>
      <w:tr>
        <w:trPr>
          <w:trHeight w:val="170"/>
        </w:trPr>
        <w:tc>
          <w:tcPr>
            <w:tcW w:w="752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367,977</w:t>
            </w:r>
          </w:p>
        </w:tc>
        <w:tc>
          <w:tcPr>
            <w:tcW w:w="140" w:type="dxa"/>
            <w:vAlign w:val="bottom"/>
            <w:shd w:val="clear" w:color="auto" w:fill="C0C0C0"/>
          </w:tcPr>
          <w:p>
            <w:pPr>
              <w:spacing w:after="0"/>
              <w:rPr>
                <w:sz w:val="14"/>
                <w:szCs w:val="14"/>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366,198</w:t>
            </w:r>
          </w:p>
        </w:tc>
        <w:tc>
          <w:tcPr>
            <w:tcW w:w="100" w:type="dxa"/>
            <w:vAlign w:val="bottom"/>
            <w:shd w:val="clear" w:color="auto" w:fill="C0C0C0"/>
          </w:tcPr>
          <w:p>
            <w:pPr>
              <w:spacing w:after="0"/>
              <w:rPr>
                <w:sz w:val="14"/>
                <w:szCs w:val="14"/>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64</w:t>
            </w:r>
          </w:p>
        </w:tc>
        <w:tc>
          <w:tcPr>
            <w:tcW w:w="16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(1,843)</w:t>
            </w: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(1,779)</w:t>
            </w:r>
          </w:p>
        </w:tc>
      </w:tr>
      <w:tr>
        <w:trPr>
          <w:trHeight w:val="159"/>
        </w:trPr>
        <w:tc>
          <w:tcPr>
            <w:tcW w:w="7520" w:type="dxa"/>
            <w:vAlign w:val="bottom"/>
          </w:tcPr>
          <w:p>
            <w:pPr>
              <w:spacing w:after="0"/>
              <w:rPr>
                <w:sz w:val="20"/>
                <w:szCs w:val="20"/>
                <w:color w:val="auto"/>
              </w:rPr>
            </w:pPr>
            <w:r>
              <w:rPr>
                <w:rFonts w:ascii="Arial" w:cs="Arial" w:eastAsia="Arial" w:hAnsi="Arial"/>
                <w:sz w:val="13"/>
                <w:szCs w:val="13"/>
                <w:color w:val="auto"/>
              </w:rPr>
              <w:t>Maturities between five and seven years</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r>
      <w:tr>
        <w:trPr>
          <w:trHeight w:val="175"/>
        </w:trPr>
        <w:tc>
          <w:tcPr>
            <w:tcW w:w="7520" w:type="dxa"/>
            <w:vAlign w:val="bottom"/>
            <w:shd w:val="clear" w:color="auto" w:fill="C0C0C0"/>
          </w:tcPr>
          <w:p>
            <w:pPr>
              <w:ind w:left="220"/>
              <w:spacing w:after="0"/>
              <w:rPr>
                <w:sz w:val="20"/>
                <w:szCs w:val="20"/>
                <w:color w:val="auto"/>
              </w:rPr>
            </w:pPr>
            <w:r>
              <w:rPr>
                <w:rFonts w:ascii="Arial" w:cs="Arial" w:eastAsia="Arial" w:hAnsi="Arial"/>
                <w:sz w:val="13"/>
                <w:szCs w:val="13"/>
                <w:color w:val="auto"/>
              </w:rPr>
              <w:t>Mortgage-backed securities</w:t>
            </w:r>
          </w:p>
        </w:tc>
        <w:tc>
          <w:tcPr>
            <w:tcW w:w="160" w:type="dxa"/>
            <w:vAlign w:val="bottom"/>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spacing w:after="0"/>
              <w:rPr>
                <w:sz w:val="15"/>
                <w:szCs w:val="15"/>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284</w:t>
            </w:r>
          </w:p>
        </w:tc>
        <w:tc>
          <w:tcPr>
            <w:tcW w:w="140" w:type="dxa"/>
            <w:vAlign w:val="bottom"/>
            <w:shd w:val="clear" w:color="auto" w:fill="C0C0C0"/>
          </w:tcPr>
          <w:p>
            <w:pPr>
              <w:spacing w:after="0"/>
              <w:rPr>
                <w:sz w:val="15"/>
                <w:szCs w:val="15"/>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243</w:t>
            </w:r>
          </w:p>
        </w:tc>
        <w:tc>
          <w:tcPr>
            <w:tcW w:w="140" w:type="dxa"/>
            <w:vAlign w:val="bottom"/>
            <w:shd w:val="clear" w:color="auto" w:fill="C0C0C0"/>
          </w:tcPr>
          <w:p>
            <w:pPr>
              <w:spacing w:after="0"/>
              <w:rPr>
                <w:sz w:val="15"/>
                <w:szCs w:val="15"/>
                <w:color w:val="auto"/>
              </w:rPr>
            </w:pPr>
          </w:p>
        </w:tc>
        <w:tc>
          <w:tcPr>
            <w:tcW w:w="100" w:type="dxa"/>
            <w:vAlign w:val="bottom"/>
            <w:tcBorders>
              <w:bottom w:val="single" w:sz="8" w:color="auto"/>
            </w:tcBorders>
            <w:shd w:val="clear" w:color="auto" w:fill="C0C0C0"/>
          </w:tcPr>
          <w:p>
            <w:pPr>
              <w:spacing w:after="0"/>
              <w:rPr>
                <w:sz w:val="15"/>
                <w:szCs w:val="15"/>
                <w:color w:val="auto"/>
              </w:rPr>
            </w:pPr>
          </w:p>
        </w:tc>
        <w:tc>
          <w:tcPr>
            <w:tcW w:w="480" w:type="dxa"/>
            <w:vAlign w:val="bottom"/>
            <w:tcBorders>
              <w:bottom w:val="single" w:sz="8" w:color="auto"/>
            </w:tcBorders>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80" w:type="dxa"/>
            <w:vAlign w:val="bottom"/>
            <w:tcBorders>
              <w:bottom w:val="single" w:sz="8" w:color="auto"/>
            </w:tcBorders>
            <w:shd w:val="clear" w:color="auto" w:fill="C0C0C0"/>
          </w:tcPr>
          <w:p>
            <w:pPr>
              <w:spacing w:after="0"/>
              <w:rPr>
                <w:sz w:val="15"/>
                <w:szCs w:val="15"/>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(41)</w:t>
            </w:r>
          </w:p>
        </w:tc>
        <w:tc>
          <w:tcPr>
            <w:tcW w:w="160" w:type="dxa"/>
            <w:vAlign w:val="bottom"/>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spacing w:after="0"/>
              <w:rPr>
                <w:sz w:val="15"/>
                <w:szCs w:val="15"/>
                <w:color w:val="auto"/>
              </w:rPr>
            </w:pPr>
          </w:p>
        </w:tc>
        <w:tc>
          <w:tcPr>
            <w:tcW w:w="54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3"/>
                <w:szCs w:val="13"/>
                <w:color w:val="auto"/>
              </w:rPr>
              <w:t>(41)</w:t>
            </w:r>
          </w:p>
        </w:tc>
      </w:tr>
      <w:tr>
        <w:trPr>
          <w:trHeight w:val="164"/>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504,568</w:t>
            </w:r>
          </w:p>
        </w:tc>
        <w:tc>
          <w:tcPr>
            <w:tcW w:w="1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503,237</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586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(1,331)</w:t>
            </w:r>
          </w:p>
        </w:tc>
      </w:tr>
      <w:tr>
        <w:trPr>
          <w:trHeight w:val="170"/>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r>
      <w:tr>
        <w:trPr>
          <w:trHeight w:val="175"/>
        </w:trPr>
        <w:tc>
          <w:tcPr>
            <w:tcW w:w="7520" w:type="dxa"/>
            <w:vAlign w:val="bottom"/>
            <w:shd w:val="clear" w:color="auto" w:fill="C0C0C0"/>
          </w:tcPr>
          <w:p>
            <w:pPr>
              <w:spacing w:after="0"/>
              <w:rPr>
                <w:sz w:val="20"/>
                <w:szCs w:val="20"/>
                <w:color w:val="auto"/>
              </w:rPr>
            </w:pPr>
            <w:r>
              <w:rPr>
                <w:rFonts w:ascii="Arial" w:cs="Arial" w:eastAsia="Arial" w:hAnsi="Arial"/>
                <w:sz w:val="13"/>
                <w:szCs w:val="13"/>
                <w:i w:val="1"/>
                <w:iCs w:val="1"/>
                <w:color w:val="auto"/>
              </w:rPr>
              <w:t>Restricted</w:t>
            </w: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2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62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r>
      <w:tr>
        <w:trPr>
          <w:trHeight w:val="169"/>
        </w:trPr>
        <w:tc>
          <w:tcPr>
            <w:tcW w:w="7520" w:type="dxa"/>
            <w:vAlign w:val="bottom"/>
          </w:tcPr>
          <w:p>
            <w:pPr>
              <w:spacing w:after="0"/>
              <w:rPr>
                <w:sz w:val="20"/>
                <w:szCs w:val="20"/>
                <w:color w:val="auto"/>
              </w:rPr>
            </w:pPr>
            <w:r>
              <w:rPr>
                <w:rFonts w:ascii="Arial" w:cs="Arial" w:eastAsia="Arial" w:hAnsi="Arial"/>
                <w:sz w:val="13"/>
                <w:szCs w:val="13"/>
                <w:color w:val="auto"/>
              </w:rPr>
              <w:t>Maturities within one year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0"/>
        </w:trPr>
        <w:tc>
          <w:tcPr>
            <w:tcW w:w="752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obligations</w:t>
            </w: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2,922</w:t>
            </w:r>
          </w:p>
        </w:tc>
        <w:tc>
          <w:tcPr>
            <w:tcW w:w="140" w:type="dxa"/>
            <w:vAlign w:val="bottom"/>
            <w:shd w:val="clear" w:color="auto" w:fill="C0C0C0"/>
          </w:tcPr>
          <w:p>
            <w:pPr>
              <w:spacing w:after="0"/>
              <w:rPr>
                <w:sz w:val="15"/>
                <w:szCs w:val="15"/>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2,921</w:t>
            </w:r>
          </w:p>
        </w:tc>
        <w:tc>
          <w:tcPr>
            <w:tcW w:w="10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(1)</w:t>
            </w:r>
          </w:p>
        </w:tc>
      </w:tr>
      <w:tr>
        <w:trPr>
          <w:trHeight w:val="175"/>
        </w:trPr>
        <w:tc>
          <w:tcPr>
            <w:tcW w:w="7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7520" w:type="dxa"/>
            <w:vAlign w:val="bottom"/>
            <w:shd w:val="clear" w:color="auto" w:fill="C0C0C0"/>
          </w:tcPr>
          <w:p>
            <w:pPr>
              <w:spacing w:after="0"/>
              <w:rPr>
                <w:sz w:val="20"/>
                <w:szCs w:val="20"/>
                <w:color w:val="auto"/>
              </w:rPr>
            </w:pPr>
            <w:r>
              <w:rPr>
                <w:rFonts w:ascii="Arial" w:cs="Arial" w:eastAsia="Arial" w:hAnsi="Arial"/>
                <w:sz w:val="13"/>
                <w:szCs w:val="13"/>
                <w:color w:val="auto"/>
              </w:rPr>
              <w:t>Maturities between one and three years</w:t>
            </w: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2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62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r>
      <w:tr>
        <w:trPr>
          <w:trHeight w:val="169"/>
        </w:trPr>
        <w:tc>
          <w:tcPr>
            <w:tcW w:w="7520" w:type="dxa"/>
            <w:vAlign w:val="bottom"/>
            <w:tcBorders>
              <w:bottom w:val="single" w:sz="8" w:color="C0C0C0"/>
            </w:tcBorders>
          </w:tcPr>
          <w:p>
            <w:pPr>
              <w:ind w:left="220"/>
              <w:spacing w:after="0"/>
              <w:rPr>
                <w:sz w:val="20"/>
                <w:szCs w:val="20"/>
                <w:color w:val="auto"/>
              </w:rPr>
            </w:pPr>
            <w:r>
              <w:rPr>
                <w:rFonts w:ascii="Arial" w:cs="Arial" w:eastAsia="Arial" w:hAnsi="Arial"/>
                <w:sz w:val="13"/>
                <w:szCs w:val="13"/>
                <w:color w:val="auto"/>
              </w:rPr>
              <w:t>U.S. government obligations</w:t>
            </w:r>
          </w:p>
        </w:tc>
        <w:tc>
          <w:tcPr>
            <w:tcW w:w="160" w:type="dxa"/>
            <w:vAlign w:val="bottom"/>
            <w:tcBorders>
              <w:bottom w:val="single" w:sz="8" w:color="C0C0C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4,135</w:t>
            </w:r>
          </w:p>
        </w:tc>
        <w:tc>
          <w:tcPr>
            <w:tcW w:w="140" w:type="dxa"/>
            <w:vAlign w:val="bottom"/>
            <w:tcBorders>
              <w:bottom w:val="single" w:sz="8" w:color="C0C0C0"/>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4,118</w:t>
            </w:r>
          </w:p>
        </w:tc>
        <w:tc>
          <w:tcPr>
            <w:tcW w:w="140" w:type="dxa"/>
            <w:vAlign w:val="bottom"/>
            <w:tcBorders>
              <w:bottom w:val="single" w:sz="8" w:color="C0C0C0"/>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60" w:type="dxa"/>
            <w:vAlign w:val="bottom"/>
            <w:tcBorders>
              <w:bottom w:val="single" w:sz="8" w:color="C0C0C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w:t>
            </w:r>
          </w:p>
        </w:tc>
      </w:tr>
      <w:tr>
        <w:trPr>
          <w:trHeight w:val="164"/>
        </w:trPr>
        <w:tc>
          <w:tcPr>
            <w:tcW w:w="752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7,057</w:t>
            </w:r>
          </w:p>
        </w:tc>
        <w:tc>
          <w:tcPr>
            <w:tcW w:w="140" w:type="dxa"/>
            <w:vAlign w:val="bottom"/>
            <w:shd w:val="clear" w:color="auto" w:fill="C0C0C0"/>
          </w:tcPr>
          <w:p>
            <w:pPr>
              <w:spacing w:after="0"/>
              <w:rPr>
                <w:sz w:val="14"/>
                <w:szCs w:val="14"/>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7,039</w:t>
            </w:r>
          </w:p>
        </w:tc>
        <w:tc>
          <w:tcPr>
            <w:tcW w:w="10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(18)</w:t>
            </w:r>
          </w:p>
        </w:tc>
      </w:tr>
      <w:tr>
        <w:trPr>
          <w:trHeight w:val="170"/>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r>
      <w:tr>
        <w:trPr>
          <w:trHeight w:val="174"/>
        </w:trPr>
        <w:tc>
          <w:tcPr>
            <w:tcW w:w="752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jc w:val="right"/>
              <w:ind w:right="42"/>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511,625</w:t>
            </w:r>
          </w:p>
        </w:tc>
        <w:tc>
          <w:tcPr>
            <w:tcW w:w="140" w:type="dxa"/>
            <w:vAlign w:val="bottom"/>
            <w:tcBorders>
              <w:bottom w:val="single" w:sz="8" w:color="C0C0C0"/>
            </w:tcBorders>
            <w:shd w:val="clear" w:color="auto" w:fill="C0C0C0"/>
          </w:tcPr>
          <w:p>
            <w:pPr>
              <w:spacing w:after="0"/>
              <w:rPr>
                <w:sz w:val="15"/>
                <w:szCs w:val="15"/>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w w:val="89"/>
              </w:rPr>
              <w:t>$ 510,276</w:t>
            </w:r>
          </w:p>
        </w:tc>
        <w:tc>
          <w:tcPr>
            <w:tcW w:w="1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586</w:t>
            </w:r>
          </w:p>
        </w:tc>
        <w:tc>
          <w:tcPr>
            <w:tcW w:w="16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(1,935)</w:t>
            </w:r>
          </w:p>
        </w:tc>
        <w:tc>
          <w:tcPr>
            <w:tcW w:w="16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3"/>
                <w:szCs w:val="13"/>
                <w:color w:val="auto"/>
              </w:rPr>
              <w:t>(1,349)</w:t>
            </w:r>
          </w:p>
        </w:tc>
      </w:tr>
    </w:tbl>
    <w:p>
      <w:pPr>
        <w:spacing w:after="0" w:line="188" w:lineRule="exact"/>
        <w:rPr>
          <w:sz w:val="20"/>
          <w:szCs w:val="20"/>
          <w:color w:val="auto"/>
        </w:rPr>
      </w:pPr>
    </w:p>
    <w:p>
      <w:pPr>
        <w:jc w:val="both"/>
        <w:ind w:right="20" w:firstLine="214"/>
        <w:spacing w:after="0" w:line="266" w:lineRule="auto"/>
        <w:rPr>
          <w:sz w:val="20"/>
          <w:szCs w:val="20"/>
          <w:color w:val="auto"/>
        </w:rPr>
      </w:pPr>
      <w:r>
        <w:rPr>
          <w:rFonts w:ascii="Arial" w:cs="Arial" w:eastAsia="Arial" w:hAnsi="Arial"/>
          <w:sz w:val="13"/>
          <w:szCs w:val="13"/>
          <w:color w:val="auto"/>
        </w:rPr>
        <w:t>At March 31, 2011 and December 31, 2010, marketable securities included an additional unrealized gain of $0.6 million and an unrealized loss of $0.4 million, respectively, related to one equity security in the Company’s marketable securities portfolio.</w:t>
      </w:r>
    </w:p>
    <w:p>
      <w:pPr>
        <w:spacing w:after="0" w:line="173" w:lineRule="exact"/>
        <w:rPr>
          <w:sz w:val="20"/>
          <w:szCs w:val="20"/>
          <w:color w:val="auto"/>
        </w:rPr>
      </w:pPr>
    </w:p>
    <w:p>
      <w:pPr>
        <w:jc w:val="both"/>
        <w:ind w:right="20" w:firstLine="214"/>
        <w:spacing w:after="0" w:line="258" w:lineRule="auto"/>
        <w:rPr>
          <w:sz w:val="20"/>
          <w:szCs w:val="20"/>
          <w:color w:val="auto"/>
        </w:rPr>
      </w:pPr>
      <w:r>
        <w:rPr>
          <w:rFonts w:ascii="Arial" w:cs="Arial" w:eastAsia="Arial" w:hAnsi="Arial"/>
          <w:sz w:val="13"/>
          <w:szCs w:val="13"/>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March 31, 2011 and December 31, 2010. The debt securities listed at March 31, 2011, excluding mortgage-backed securities, mature at various dates through December 2013. The mortgage-backed securities listed at March 31, 2011 mature at various dates through February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ind w:left="40"/>
              <w:spacing w:after="0"/>
              <w:rPr>
                <w:sz w:val="20"/>
                <w:szCs w:val="20"/>
                <w:color w:val="auto"/>
              </w:rPr>
            </w:pPr>
            <w:r>
              <w:rPr>
                <w:rFonts w:ascii="Arial" w:cs="Arial" w:eastAsia="Arial" w:hAnsi="Arial"/>
                <w:sz w:val="13"/>
                <w:szCs w:val="13"/>
                <w:b w:val="1"/>
                <w:bCs w:val="1"/>
                <w:color w:val="auto"/>
              </w:rPr>
              <w:t>Less than 12 Months</w:t>
            </w:r>
          </w:p>
        </w:tc>
        <w:tc>
          <w:tcPr>
            <w:tcW w:w="140" w:type="dxa"/>
            <w:vAlign w:val="bottom"/>
          </w:tcPr>
          <w:p>
            <w:pPr>
              <w:spacing w:after="0"/>
              <w:rPr>
                <w:sz w:val="14"/>
                <w:szCs w:val="14"/>
                <w:color w:val="auto"/>
              </w:rPr>
            </w:pPr>
          </w:p>
        </w:tc>
        <w:tc>
          <w:tcPr>
            <w:tcW w:w="1580" w:type="dxa"/>
            <w:vAlign w:val="bottom"/>
            <w:gridSpan w:val="5"/>
          </w:tcPr>
          <w:p>
            <w:pPr>
              <w:ind w:left="60"/>
              <w:spacing w:after="0"/>
              <w:rPr>
                <w:sz w:val="20"/>
                <w:szCs w:val="20"/>
                <w:color w:val="auto"/>
              </w:rPr>
            </w:pPr>
            <w:r>
              <w:rPr>
                <w:rFonts w:ascii="Arial" w:cs="Arial" w:eastAsia="Arial" w:hAnsi="Arial"/>
                <w:sz w:val="13"/>
                <w:szCs w:val="13"/>
                <w:b w:val="1"/>
                <w:bCs w:val="1"/>
                <w:color w:val="auto"/>
              </w:rPr>
              <w:t>12 Months or Greater</w:t>
            </w:r>
          </w:p>
        </w:tc>
        <w:tc>
          <w:tcPr>
            <w:tcW w:w="16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b w:val="1"/>
                <w:bCs w:val="1"/>
                <w:color w:val="auto"/>
              </w:rPr>
              <w:t>Total</w:t>
            </w:r>
          </w:p>
        </w:tc>
        <w:tc>
          <w:tcPr>
            <w:tcW w:w="560" w:type="dxa"/>
            <w:vAlign w:val="bottom"/>
          </w:tcPr>
          <w:p>
            <w:pPr>
              <w:spacing w:after="0"/>
              <w:rPr>
                <w:sz w:val="14"/>
                <w:szCs w:val="14"/>
                <w:color w:val="auto"/>
              </w:rPr>
            </w:pPr>
          </w:p>
        </w:tc>
      </w:tr>
      <w:tr>
        <w:trPr>
          <w:trHeight w:val="159"/>
        </w:trPr>
        <w:tc>
          <w:tcPr>
            <w:tcW w:w="3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85"/>
              </w:rPr>
              <w:t>Unrealized</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Unrealized</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Unrealized</w:t>
            </w:r>
          </w:p>
        </w:tc>
      </w:tr>
      <w:tr>
        <w:trPr>
          <w:trHeight w:val="180"/>
        </w:trPr>
        <w:tc>
          <w:tcPr>
            <w:tcW w:w="3680" w:type="dxa"/>
            <w:vAlign w:val="bottom"/>
          </w:tcPr>
          <w:p>
            <w:pPr>
              <w:spacing w:after="0"/>
              <w:rPr>
                <w:sz w:val="20"/>
                <w:szCs w:val="20"/>
                <w:color w:val="auto"/>
              </w:rPr>
            </w:pPr>
            <w:r>
              <w:rPr>
                <w:rFonts w:ascii="Arial" w:cs="Arial" w:eastAsia="Arial" w:hAnsi="Arial"/>
                <w:sz w:val="13"/>
                <w:szCs w:val="13"/>
                <w:b w:val="1"/>
                <w:bCs w:val="1"/>
                <w:color w:val="auto"/>
              </w:rPr>
              <w:t>At March 31, 2011</w:t>
            </w:r>
          </w:p>
        </w:tc>
        <w:tc>
          <w:tcPr>
            <w:tcW w:w="30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Loss</w:t>
            </w:r>
          </w:p>
        </w:tc>
        <w:tc>
          <w:tcPr>
            <w:tcW w:w="7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9"/>
              </w:rPr>
              <w:t>Fair Value</w:t>
            </w:r>
          </w:p>
        </w:tc>
        <w:tc>
          <w:tcPr>
            <w:tcW w:w="14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7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Fair Value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77"/>
              <w:spacing w:after="0"/>
              <w:rPr>
                <w:sz w:val="20"/>
                <w:szCs w:val="20"/>
                <w:color w:val="auto"/>
              </w:rPr>
            </w:pPr>
            <w:r>
              <w:rPr>
                <w:rFonts w:ascii="Arial" w:cs="Arial" w:eastAsia="Arial" w:hAnsi="Arial"/>
                <w:sz w:val="13"/>
                <w:szCs w:val="13"/>
                <w:b w:val="1"/>
                <w:bCs w:val="1"/>
                <w:color w:val="auto"/>
                <w:w w:val="98"/>
              </w:rPr>
              <w:t>Loss</w:t>
            </w:r>
          </w:p>
        </w:tc>
      </w:tr>
      <w:tr>
        <w:trPr>
          <w:trHeight w:val="170"/>
        </w:trPr>
        <w:tc>
          <w:tcPr>
            <w:tcW w:w="36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3"/>
                <w:szCs w:val="13"/>
                <w:i w:val="1"/>
                <w:iCs w:val="1"/>
                <w:color w:val="auto"/>
              </w:rPr>
              <w:t>Unrestricted</w:t>
            </w:r>
          </w:p>
        </w:tc>
        <w:tc>
          <w:tcPr>
            <w:tcW w:w="3000" w:type="dxa"/>
            <w:vAlign w:val="bottom"/>
            <w:tcBorders>
              <w:top w:val="single" w:sz="8" w:color="auto"/>
            </w:tcBorders>
            <w:shd w:val="clear" w:color="auto" w:fill="C0C0C0"/>
          </w:tcPr>
          <w:p>
            <w:pPr>
              <w:spacing w:after="0"/>
              <w:rPr>
                <w:sz w:val="14"/>
                <w:szCs w:val="14"/>
                <w:color w:val="auto"/>
              </w:rPr>
            </w:pPr>
          </w:p>
        </w:tc>
        <w:tc>
          <w:tcPr>
            <w:tcW w:w="100" w:type="dxa"/>
            <w:vAlign w:val="bottom"/>
            <w:tcBorders>
              <w:top w:val="single" w:sz="8" w:color="auto"/>
            </w:tcBorders>
            <w:shd w:val="clear" w:color="auto" w:fill="C0C0C0"/>
          </w:tcPr>
          <w:p>
            <w:pPr>
              <w:spacing w:after="0"/>
              <w:rPr>
                <w:sz w:val="14"/>
                <w:szCs w:val="14"/>
                <w:color w:val="auto"/>
              </w:rPr>
            </w:pPr>
          </w:p>
        </w:tc>
        <w:tc>
          <w:tcPr>
            <w:tcW w:w="580" w:type="dxa"/>
            <w:vAlign w:val="bottom"/>
            <w:tcBorders>
              <w:top w:val="single" w:sz="8" w:color="auto"/>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100" w:type="dxa"/>
            <w:vAlign w:val="bottom"/>
            <w:tcBorders>
              <w:top w:val="single" w:sz="8" w:color="auto"/>
            </w:tcBorders>
            <w:shd w:val="clear" w:color="auto" w:fill="C0C0C0"/>
          </w:tcPr>
          <w:p>
            <w:pPr>
              <w:spacing w:after="0"/>
              <w:rPr>
                <w:sz w:val="14"/>
                <w:szCs w:val="14"/>
                <w:color w:val="auto"/>
              </w:rPr>
            </w:pPr>
          </w:p>
        </w:tc>
        <w:tc>
          <w:tcPr>
            <w:tcW w:w="480" w:type="dxa"/>
            <w:vAlign w:val="bottom"/>
            <w:tcBorders>
              <w:top w:val="single" w:sz="8" w:color="auto"/>
            </w:tcBorders>
            <w:shd w:val="clear" w:color="auto" w:fill="C0C0C0"/>
          </w:tcPr>
          <w:p>
            <w:pPr>
              <w:spacing w:after="0"/>
              <w:rPr>
                <w:sz w:val="14"/>
                <w:szCs w:val="14"/>
                <w:color w:val="auto"/>
              </w:rPr>
            </w:pPr>
          </w:p>
        </w:tc>
        <w:tc>
          <w:tcPr>
            <w:tcW w:w="140" w:type="dxa"/>
            <w:vAlign w:val="bottom"/>
            <w:tcBorders>
              <w:top w:val="single" w:sz="8" w:color="C0C0C0"/>
            </w:tcBorders>
            <w:shd w:val="clear" w:color="auto" w:fill="C0C0C0"/>
          </w:tcPr>
          <w:p>
            <w:pPr>
              <w:spacing w:after="0"/>
              <w:rPr>
                <w:sz w:val="14"/>
                <w:szCs w:val="14"/>
                <w:color w:val="auto"/>
              </w:rPr>
            </w:pPr>
          </w:p>
        </w:tc>
        <w:tc>
          <w:tcPr>
            <w:tcW w:w="140" w:type="dxa"/>
            <w:vAlign w:val="bottom"/>
            <w:tcBorders>
              <w:top w:val="single" w:sz="8" w:color="auto"/>
            </w:tcBorders>
            <w:shd w:val="clear" w:color="auto" w:fill="C0C0C0"/>
          </w:tcPr>
          <w:p>
            <w:pPr>
              <w:spacing w:after="0"/>
              <w:rPr>
                <w:sz w:val="14"/>
                <w:szCs w:val="14"/>
                <w:color w:val="auto"/>
              </w:rPr>
            </w:pPr>
          </w:p>
        </w:tc>
        <w:tc>
          <w:tcPr>
            <w:tcW w:w="540" w:type="dxa"/>
            <w:vAlign w:val="bottom"/>
            <w:tcBorders>
              <w:top w:val="single" w:sz="8" w:color="auto"/>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140" w:type="dxa"/>
            <w:vAlign w:val="bottom"/>
            <w:tcBorders>
              <w:top w:val="single" w:sz="8" w:color="C0C0C0"/>
              <w:right w:val="single" w:sz="8" w:color="C0C0C0"/>
            </w:tcBorders>
            <w:shd w:val="clear" w:color="auto" w:fill="C0C0C0"/>
          </w:tcPr>
          <w:p>
            <w:pPr>
              <w:spacing w:after="0"/>
              <w:rPr>
                <w:sz w:val="14"/>
                <w:szCs w:val="14"/>
                <w:color w:val="auto"/>
              </w:rPr>
            </w:pPr>
          </w:p>
        </w:tc>
        <w:tc>
          <w:tcPr>
            <w:tcW w:w="660" w:type="dxa"/>
            <w:vAlign w:val="bottom"/>
            <w:tcBorders>
              <w:top w:val="single" w:sz="8" w:color="auto"/>
            </w:tcBorders>
            <w:shd w:val="clear" w:color="auto" w:fill="C0C0C0"/>
          </w:tcPr>
          <w:p>
            <w:pPr>
              <w:spacing w:after="0"/>
              <w:rPr>
                <w:sz w:val="14"/>
                <w:szCs w:val="14"/>
                <w:color w:val="auto"/>
              </w:rPr>
            </w:pPr>
          </w:p>
        </w:tc>
        <w:tc>
          <w:tcPr>
            <w:tcW w:w="160" w:type="dxa"/>
            <w:vAlign w:val="bottom"/>
            <w:tcBorders>
              <w:top w:val="single" w:sz="8" w:color="C0C0C0"/>
            </w:tcBorders>
            <w:shd w:val="clear" w:color="auto" w:fill="C0C0C0"/>
          </w:tcPr>
          <w:p>
            <w:pPr>
              <w:spacing w:after="0"/>
              <w:rPr>
                <w:sz w:val="14"/>
                <w:szCs w:val="14"/>
                <w:color w:val="auto"/>
              </w:rPr>
            </w:pPr>
          </w:p>
        </w:tc>
        <w:tc>
          <w:tcPr>
            <w:tcW w:w="160" w:type="dxa"/>
            <w:vAlign w:val="bottom"/>
            <w:tcBorders>
              <w:top w:val="single" w:sz="8" w:color="auto"/>
            </w:tcBorders>
            <w:shd w:val="clear" w:color="auto" w:fill="C0C0C0"/>
          </w:tcPr>
          <w:p>
            <w:pPr>
              <w:spacing w:after="0"/>
              <w:rPr>
                <w:sz w:val="14"/>
                <w:szCs w:val="14"/>
                <w:color w:val="auto"/>
              </w:rPr>
            </w:pPr>
          </w:p>
        </w:tc>
        <w:tc>
          <w:tcPr>
            <w:tcW w:w="500" w:type="dxa"/>
            <w:vAlign w:val="bottom"/>
            <w:tcBorders>
              <w:top w:val="single" w:sz="8" w:color="auto"/>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140" w:type="dxa"/>
            <w:vAlign w:val="bottom"/>
            <w:tcBorders>
              <w:top w:val="single" w:sz="8" w:color="auto"/>
            </w:tcBorders>
            <w:shd w:val="clear" w:color="auto" w:fill="C0C0C0"/>
          </w:tcPr>
          <w:p>
            <w:pPr>
              <w:spacing w:after="0"/>
              <w:rPr>
                <w:sz w:val="14"/>
                <w:szCs w:val="14"/>
                <w:color w:val="auto"/>
              </w:rPr>
            </w:pPr>
          </w:p>
        </w:tc>
        <w:tc>
          <w:tcPr>
            <w:tcW w:w="560" w:type="dxa"/>
            <w:vAlign w:val="bottom"/>
            <w:tcBorders>
              <w:top w:val="single" w:sz="8" w:color="auto"/>
            </w:tcBorders>
            <w:shd w:val="clear" w:color="auto" w:fill="C0C0C0"/>
          </w:tcPr>
          <w:p>
            <w:pPr>
              <w:spacing w:after="0"/>
              <w:rPr>
                <w:sz w:val="14"/>
                <w:szCs w:val="14"/>
                <w:color w:val="auto"/>
              </w:rPr>
            </w:pPr>
          </w:p>
        </w:tc>
      </w:tr>
      <w:tr>
        <w:trPr>
          <w:trHeight w:val="169"/>
        </w:trPr>
        <w:tc>
          <w:tcPr>
            <w:tcW w:w="3680" w:type="dxa"/>
            <w:vAlign w:val="bottom"/>
          </w:tcPr>
          <w:p>
            <w:pPr>
              <w:ind w:left="220"/>
              <w:spacing w:after="0"/>
              <w:rPr>
                <w:sz w:val="20"/>
                <w:szCs w:val="20"/>
                <w:color w:val="auto"/>
              </w:rPr>
            </w:pPr>
            <w:r>
              <w:rPr>
                <w:rFonts w:ascii="Arial" w:cs="Arial" w:eastAsia="Arial" w:hAnsi="Arial"/>
                <w:sz w:val="13"/>
                <w:szCs w:val="13"/>
                <w:color w:val="auto"/>
              </w:rPr>
              <w:t>U.S. government obligations</w:t>
            </w:r>
          </w:p>
        </w:tc>
        <w:tc>
          <w:tcPr>
            <w:tcW w:w="3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331,731</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w w:val="92"/>
              </w:rPr>
              <w:t>(1,979)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331,731</w:t>
            </w:r>
          </w:p>
        </w:tc>
        <w:tc>
          <w:tcPr>
            <w:tcW w:w="22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(1,979)</w:t>
            </w:r>
          </w:p>
        </w:tc>
      </w:tr>
      <w:tr>
        <w:trPr>
          <w:trHeight w:val="169"/>
        </w:trPr>
        <w:tc>
          <w:tcPr>
            <w:tcW w:w="368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guaranteed</w:t>
            </w:r>
          </w:p>
        </w:tc>
        <w:tc>
          <w:tcPr>
            <w:tcW w:w="30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40" w:type="dxa"/>
            <w:vAlign w:val="bottom"/>
            <w:tcBorders>
              <w:right w:val="single" w:sz="8" w:color="C0C0C0"/>
            </w:tcBorders>
            <w:shd w:val="clear" w:color="auto" w:fill="C0C0C0"/>
          </w:tcPr>
          <w:p>
            <w:pPr>
              <w:spacing w:after="0"/>
              <w:rPr>
                <w:sz w:val="14"/>
                <w:szCs w:val="14"/>
                <w:color w:val="auto"/>
              </w:rPr>
            </w:pPr>
          </w:p>
        </w:tc>
        <w:tc>
          <w:tcPr>
            <w:tcW w:w="6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60" w:type="dxa"/>
            <w:vAlign w:val="bottom"/>
            <w:shd w:val="clear" w:color="auto" w:fill="C0C0C0"/>
          </w:tcPr>
          <w:p>
            <w:pPr>
              <w:spacing w:after="0"/>
              <w:rPr>
                <w:sz w:val="14"/>
                <w:szCs w:val="14"/>
                <w:color w:val="auto"/>
              </w:rPr>
            </w:pPr>
          </w:p>
        </w:tc>
      </w:tr>
      <w:tr>
        <w:trPr>
          <w:trHeight w:val="185"/>
        </w:trPr>
        <w:tc>
          <w:tcPr>
            <w:tcW w:w="3680" w:type="dxa"/>
            <w:vAlign w:val="bottom"/>
            <w:shd w:val="clear" w:color="auto" w:fill="C0C0C0"/>
          </w:tcPr>
          <w:p>
            <w:pPr>
              <w:ind w:left="440"/>
              <w:spacing w:after="0"/>
              <w:rPr>
                <w:sz w:val="20"/>
                <w:szCs w:val="20"/>
                <w:color w:val="auto"/>
              </w:rPr>
            </w:pPr>
            <w:r>
              <w:rPr>
                <w:rFonts w:ascii="Arial" w:cs="Arial" w:eastAsia="Arial" w:hAnsi="Arial"/>
                <w:sz w:val="13"/>
                <w:szCs w:val="13"/>
                <w:color w:val="auto"/>
              </w:rPr>
              <w:t>corporate bonds</w:t>
            </w:r>
          </w:p>
        </w:tc>
        <w:tc>
          <w:tcPr>
            <w:tcW w:w="30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15,503</w:t>
            </w:r>
          </w:p>
        </w:tc>
        <w:tc>
          <w:tcPr>
            <w:tcW w:w="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8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40" w:type="dxa"/>
            <w:vAlign w:val="bottom"/>
            <w:tcBorders>
              <w:right w:val="single" w:sz="8" w:color="C0C0C0"/>
            </w:tcBorders>
            <w:shd w:val="clear" w:color="auto" w:fill="C0C0C0"/>
          </w:tcPr>
          <w:p>
            <w:pPr>
              <w:spacing w:after="0"/>
              <w:rPr>
                <w:sz w:val="16"/>
                <w:szCs w:val="16"/>
                <w:color w:val="auto"/>
              </w:rPr>
            </w:pPr>
          </w:p>
        </w:tc>
        <w:tc>
          <w:tcPr>
            <w:tcW w:w="66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8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15,503</w:t>
            </w:r>
          </w:p>
        </w:tc>
        <w:tc>
          <w:tcPr>
            <w:tcW w:w="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(43)</w:t>
            </w:r>
          </w:p>
        </w:tc>
      </w:tr>
      <w:tr>
        <w:trPr>
          <w:trHeight w:val="169"/>
        </w:trPr>
        <w:tc>
          <w:tcPr>
            <w:tcW w:w="3680" w:type="dxa"/>
            <w:vAlign w:val="bottom"/>
          </w:tcPr>
          <w:p>
            <w:pPr>
              <w:ind w:left="220"/>
              <w:spacing w:after="0"/>
              <w:rPr>
                <w:sz w:val="20"/>
                <w:szCs w:val="20"/>
                <w:color w:val="auto"/>
              </w:rPr>
            </w:pPr>
            <w:r>
              <w:rPr>
                <w:rFonts w:ascii="Arial" w:cs="Arial" w:eastAsia="Arial" w:hAnsi="Arial"/>
                <w:sz w:val="13"/>
                <w:szCs w:val="13"/>
                <w:color w:val="auto"/>
              </w:rPr>
              <w:t>Mortgage-backed securities</w:t>
            </w: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288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(139)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20"/>
        </w:trPr>
        <w:tc>
          <w:tcPr>
            <w:tcW w:w="3680" w:type="dxa"/>
            <w:vAlign w:val="bottom"/>
            <w:shd w:val="clear" w:color="auto" w:fill="C0C0C0"/>
          </w:tcPr>
          <w:p>
            <w:pPr>
              <w:spacing w:after="0" w:line="20" w:lineRule="exact"/>
              <w:rPr>
                <w:sz w:val="1"/>
                <w:szCs w:val="1"/>
                <w:color w:val="auto"/>
              </w:rPr>
            </w:pPr>
          </w:p>
        </w:tc>
        <w:tc>
          <w:tcPr>
            <w:tcW w:w="30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tcBorders>
              <w:right w:val="single" w:sz="8" w:color="auto"/>
            </w:tcBorders>
            <w:shd w:val="clear" w:color="auto" w:fill="C0C0C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64"/>
        </w:trPr>
        <w:tc>
          <w:tcPr>
            <w:tcW w:w="3680" w:type="dxa"/>
            <w:vAlign w:val="bottom"/>
            <w:shd w:val="clear" w:color="auto" w:fill="C0C0C0"/>
          </w:tcPr>
          <w:p>
            <w:pPr>
              <w:spacing w:after="0"/>
              <w:rPr>
                <w:sz w:val="14"/>
                <w:szCs w:val="14"/>
                <w:color w:val="auto"/>
              </w:rPr>
            </w:pPr>
          </w:p>
        </w:tc>
        <w:tc>
          <w:tcPr>
            <w:tcW w:w="30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347,234</w:t>
            </w: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48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w w:val="92"/>
              </w:rPr>
              <w:t>(2,022)</w:t>
            </w:r>
          </w:p>
        </w:tc>
        <w:tc>
          <w:tcPr>
            <w:tcW w:w="14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62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288</w:t>
            </w:r>
          </w:p>
        </w:tc>
        <w:tc>
          <w:tcPr>
            <w:tcW w:w="140" w:type="dxa"/>
            <w:vAlign w:val="bottom"/>
            <w:tcBorders>
              <w:right w:val="single" w:sz="8" w:color="C0C0C0"/>
            </w:tcBorders>
            <w:shd w:val="clear" w:color="auto" w:fill="C0C0C0"/>
          </w:tcPr>
          <w:p>
            <w:pPr>
              <w:spacing w:after="0"/>
              <w:rPr>
                <w:sz w:val="14"/>
                <w:szCs w:val="14"/>
                <w:color w:val="auto"/>
              </w:rPr>
            </w:pPr>
          </w:p>
        </w:tc>
        <w:tc>
          <w:tcPr>
            <w:tcW w:w="66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(139)</w:t>
            </w: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8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347,522</w:t>
            </w:r>
          </w:p>
        </w:tc>
        <w:tc>
          <w:tcPr>
            <w:tcW w:w="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(2,161)</w:t>
            </w:r>
          </w:p>
        </w:tc>
      </w:tr>
      <w:tr>
        <w:trPr>
          <w:trHeight w:val="170"/>
        </w:trPr>
        <w:tc>
          <w:tcPr>
            <w:tcW w:w="3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r>
      <w:tr>
        <w:trPr>
          <w:trHeight w:val="175"/>
        </w:trPr>
        <w:tc>
          <w:tcPr>
            <w:tcW w:w="3680" w:type="dxa"/>
            <w:vAlign w:val="bottom"/>
            <w:shd w:val="clear" w:color="auto" w:fill="C0C0C0"/>
          </w:tcPr>
          <w:p>
            <w:pPr>
              <w:spacing w:after="0"/>
              <w:rPr>
                <w:sz w:val="20"/>
                <w:szCs w:val="20"/>
                <w:color w:val="auto"/>
              </w:rPr>
            </w:pPr>
            <w:r>
              <w:rPr>
                <w:rFonts w:ascii="Arial" w:cs="Arial" w:eastAsia="Arial" w:hAnsi="Arial"/>
                <w:sz w:val="13"/>
                <w:szCs w:val="13"/>
                <w:i w:val="1"/>
                <w:iCs w:val="1"/>
                <w:color w:val="auto"/>
              </w:rPr>
              <w:t>Restricted</w:t>
            </w:r>
          </w:p>
        </w:tc>
        <w:tc>
          <w:tcPr>
            <w:tcW w:w="30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5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140" w:type="dxa"/>
            <w:vAlign w:val="bottom"/>
            <w:tcBorders>
              <w:right w:val="single" w:sz="8" w:color="C0C0C0"/>
            </w:tcBorders>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60" w:type="dxa"/>
            <w:vAlign w:val="bottom"/>
            <w:shd w:val="clear" w:color="auto" w:fill="C0C0C0"/>
          </w:tcPr>
          <w:p>
            <w:pPr>
              <w:spacing w:after="0"/>
              <w:rPr>
                <w:sz w:val="15"/>
                <w:szCs w:val="15"/>
                <w:color w:val="auto"/>
              </w:rPr>
            </w:pPr>
          </w:p>
        </w:tc>
      </w:tr>
      <w:tr>
        <w:trPr>
          <w:trHeight w:val="169"/>
        </w:trPr>
        <w:tc>
          <w:tcPr>
            <w:tcW w:w="3680" w:type="dxa"/>
            <w:vAlign w:val="bottom"/>
          </w:tcPr>
          <w:p>
            <w:pPr>
              <w:ind w:left="220"/>
              <w:spacing w:after="0"/>
              <w:rPr>
                <w:sz w:val="20"/>
                <w:szCs w:val="20"/>
                <w:color w:val="auto"/>
              </w:rPr>
            </w:pPr>
            <w:r>
              <w:rPr>
                <w:rFonts w:ascii="Arial" w:cs="Arial" w:eastAsia="Arial" w:hAnsi="Arial"/>
                <w:sz w:val="13"/>
                <w:szCs w:val="13"/>
                <w:color w:val="auto"/>
              </w:rPr>
              <w:t>U.S. government obligations</w:t>
            </w: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4,115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20"/>
        </w:trPr>
        <w:tc>
          <w:tcPr>
            <w:tcW w:w="3680" w:type="dxa"/>
            <w:vAlign w:val="bottom"/>
            <w:shd w:val="clear" w:color="auto" w:fill="C0C0C0"/>
          </w:tcPr>
          <w:p>
            <w:pPr>
              <w:spacing w:after="0" w:line="20" w:lineRule="exact"/>
              <w:rPr>
                <w:sz w:val="1"/>
                <w:szCs w:val="1"/>
                <w:color w:val="auto"/>
              </w:rPr>
            </w:pPr>
          </w:p>
        </w:tc>
        <w:tc>
          <w:tcPr>
            <w:tcW w:w="30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tcBorders>
              <w:right w:val="single" w:sz="8" w:color="auto"/>
            </w:tcBorders>
            <w:shd w:val="clear" w:color="auto" w:fill="C0C0C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64"/>
        </w:trPr>
        <w:tc>
          <w:tcPr>
            <w:tcW w:w="3680" w:type="dxa"/>
            <w:vAlign w:val="bottom"/>
            <w:shd w:val="clear" w:color="auto" w:fill="C0C0C0"/>
          </w:tcPr>
          <w:p>
            <w:pPr>
              <w:spacing w:after="0"/>
              <w:rPr>
                <w:sz w:val="14"/>
                <w:szCs w:val="14"/>
                <w:color w:val="auto"/>
              </w:rPr>
            </w:pPr>
          </w:p>
        </w:tc>
        <w:tc>
          <w:tcPr>
            <w:tcW w:w="30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4,115</w:t>
            </w: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48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40" w:type="dxa"/>
            <w:vAlign w:val="bottom"/>
            <w:tcBorders>
              <w:right w:val="single" w:sz="8" w:color="C0C0C0"/>
            </w:tcBorders>
            <w:shd w:val="clear" w:color="auto" w:fill="C0C0C0"/>
          </w:tcPr>
          <w:p>
            <w:pPr>
              <w:spacing w:after="0"/>
              <w:rPr>
                <w:sz w:val="14"/>
                <w:szCs w:val="14"/>
                <w:color w:val="auto"/>
              </w:rPr>
            </w:pPr>
          </w:p>
        </w:tc>
        <w:tc>
          <w:tcPr>
            <w:tcW w:w="6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8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4,115</w:t>
            </w:r>
          </w:p>
        </w:tc>
        <w:tc>
          <w:tcPr>
            <w:tcW w:w="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(23)</w:t>
            </w:r>
          </w:p>
        </w:tc>
      </w:tr>
      <w:tr>
        <w:trPr>
          <w:trHeight w:val="170"/>
        </w:trPr>
        <w:tc>
          <w:tcPr>
            <w:tcW w:w="3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r>
      <w:tr>
        <w:trPr>
          <w:trHeight w:val="189"/>
        </w:trPr>
        <w:tc>
          <w:tcPr>
            <w:tcW w:w="3680" w:type="dxa"/>
            <w:vAlign w:val="bottom"/>
            <w:shd w:val="clear" w:color="auto" w:fill="C0C0C0"/>
          </w:tcPr>
          <w:p>
            <w:pPr>
              <w:spacing w:after="0"/>
              <w:rPr>
                <w:sz w:val="16"/>
                <w:szCs w:val="16"/>
                <w:color w:val="auto"/>
              </w:rPr>
            </w:pPr>
          </w:p>
        </w:tc>
        <w:tc>
          <w:tcPr>
            <w:tcW w:w="31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351,349</w:t>
            </w:r>
          </w:p>
        </w:tc>
        <w:tc>
          <w:tcPr>
            <w:tcW w:w="180" w:type="dxa"/>
            <w:vAlign w:val="bottom"/>
            <w:gridSpan w:val="2"/>
            <w:shd w:val="clear" w:color="auto" w:fill="C0C0C0"/>
          </w:tcPr>
          <w:p>
            <w:pPr>
              <w:ind w:left="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w w:val="92"/>
              </w:rPr>
              <w:t>(2,045)</w:t>
            </w:r>
          </w:p>
        </w:tc>
        <w:tc>
          <w:tcPr>
            <w:tcW w:w="140" w:type="dxa"/>
            <w:vAlign w:val="bottom"/>
            <w:shd w:val="clear" w:color="auto" w:fill="C0C0C0"/>
          </w:tcPr>
          <w:p>
            <w:pPr>
              <w:spacing w:after="0"/>
              <w:rPr>
                <w:sz w:val="16"/>
                <w:szCs w:val="16"/>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288</w:t>
            </w:r>
          </w:p>
        </w:tc>
        <w:tc>
          <w:tcPr>
            <w:tcW w:w="14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(139)</w:t>
            </w:r>
          </w:p>
        </w:tc>
        <w:tc>
          <w:tcPr>
            <w:tcW w:w="160" w:type="dxa"/>
            <w:vAlign w:val="bottom"/>
            <w:shd w:val="clear" w:color="auto" w:fill="C0C0C0"/>
          </w:tcPr>
          <w:p>
            <w:pPr>
              <w:spacing w:after="0"/>
              <w:rPr>
                <w:sz w:val="16"/>
                <w:szCs w:val="16"/>
                <w:color w:val="auto"/>
              </w:rPr>
            </w:pPr>
          </w:p>
        </w:tc>
        <w:tc>
          <w:tcPr>
            <w:tcW w:w="160" w:type="dxa"/>
            <w:vAlign w:val="bottom"/>
            <w:shd w:val="clear" w:color="auto" w:fill="C0C0C0"/>
          </w:tcPr>
          <w:p>
            <w:pPr>
              <w:jc w:val="right"/>
              <w:ind w:right="47"/>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351,637</w:t>
            </w:r>
          </w:p>
        </w:tc>
        <w:tc>
          <w:tcPr>
            <w:tcW w:w="220" w:type="dxa"/>
            <w:vAlign w:val="bottom"/>
            <w:gridSpan w:val="2"/>
            <w:shd w:val="clear" w:color="auto" w:fill="C0C0C0"/>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(2,184)</w:t>
            </w:r>
          </w:p>
        </w:tc>
      </w:tr>
      <w:tr>
        <w:trPr>
          <w:trHeight w:val="314"/>
        </w:trPr>
        <w:tc>
          <w:tcPr>
            <w:tcW w:w="3680" w:type="dxa"/>
            <w:vAlign w:val="bottom"/>
            <w:tcBorders>
              <w:top w:val="single" w:sz="8" w:color="C0C0C0"/>
            </w:tcBorders>
          </w:tcPr>
          <w:p>
            <w:pPr>
              <w:spacing w:after="0"/>
              <w:rPr>
                <w:sz w:val="24"/>
                <w:szCs w:val="24"/>
                <w:color w:val="auto"/>
              </w:rPr>
            </w:pPr>
          </w:p>
        </w:tc>
        <w:tc>
          <w:tcPr>
            <w:tcW w:w="3000" w:type="dxa"/>
            <w:vAlign w:val="bottom"/>
            <w:tcBorders>
              <w:top w:val="single" w:sz="8" w:color="C0C0C0"/>
            </w:tcBorders>
          </w:tcPr>
          <w:p>
            <w:pPr>
              <w:jc w:val="right"/>
              <w:ind w:right="817"/>
              <w:spacing w:after="0"/>
              <w:rPr>
                <w:sz w:val="20"/>
                <w:szCs w:val="20"/>
                <w:color w:val="auto"/>
              </w:rPr>
            </w:pPr>
            <w:r>
              <w:rPr>
                <w:rFonts w:ascii="Arial" w:cs="Arial" w:eastAsia="Arial" w:hAnsi="Arial"/>
                <w:sz w:val="13"/>
                <w:szCs w:val="13"/>
                <w:color w:val="auto"/>
              </w:rPr>
              <w:t>10</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r>
        <w:trPr>
          <w:trHeight w:val="258"/>
        </w:trPr>
        <w:tc>
          <w:tcPr>
            <w:tcW w:w="3680" w:type="dxa"/>
            <w:vAlign w:val="bottom"/>
            <w:tcBorders>
              <w:bottom w:val="single" w:sz="8" w:color="808080"/>
            </w:tcBorders>
          </w:tcPr>
          <w:p>
            <w:pPr>
              <w:spacing w:after="0"/>
              <w:rPr>
                <w:sz w:val="22"/>
                <w:szCs w:val="22"/>
                <w:color w:val="auto"/>
              </w:rPr>
            </w:pPr>
          </w:p>
        </w:tc>
        <w:tc>
          <w:tcPr>
            <w:tcW w:w="300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Condensed Financial Statements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right"/>
              <w:ind w:right="137"/>
              <w:spacing w:after="0"/>
              <w:rPr>
                <w:sz w:val="20"/>
                <w:szCs w:val="20"/>
                <w:color w:val="auto"/>
              </w:rPr>
            </w:pPr>
            <w:r>
              <w:rPr>
                <w:rFonts w:ascii="Arial" w:cs="Arial" w:eastAsia="Arial" w:hAnsi="Arial"/>
                <w:sz w:val="13"/>
                <w:szCs w:val="13"/>
                <w:b w:val="1"/>
                <w:bCs w:val="1"/>
                <w:color w:val="auto"/>
                <w:w w:val="91"/>
              </w:rPr>
              <w:t>Less than 12 Months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0"/>
              </w:rPr>
              <w:t>12 Months or Greater</w:t>
            </w:r>
          </w:p>
        </w:tc>
        <w:tc>
          <w:tcPr>
            <w:tcW w:w="160" w:type="dxa"/>
            <w:vAlign w:val="bottom"/>
          </w:tcPr>
          <w:p>
            <w:pPr>
              <w:spacing w:after="0"/>
              <w:rPr>
                <w:sz w:val="14"/>
                <w:szCs w:val="14"/>
                <w:color w:val="auto"/>
              </w:rPr>
            </w:pPr>
          </w:p>
        </w:tc>
        <w:tc>
          <w:tcPr>
            <w:tcW w:w="1440" w:type="dxa"/>
            <w:vAlign w:val="bottom"/>
            <w:gridSpan w:val="4"/>
          </w:tcPr>
          <w:p>
            <w:pPr>
              <w:jc w:val="right"/>
              <w:ind w:right="597"/>
              <w:spacing w:after="0"/>
              <w:rPr>
                <w:sz w:val="20"/>
                <w:szCs w:val="20"/>
                <w:color w:val="auto"/>
              </w:rPr>
            </w:pPr>
            <w:r>
              <w:rPr>
                <w:rFonts w:ascii="Arial" w:cs="Arial" w:eastAsia="Arial" w:hAnsi="Arial"/>
                <w:sz w:val="13"/>
                <w:szCs w:val="13"/>
                <w:b w:val="1"/>
                <w:bCs w:val="1"/>
                <w:color w:val="auto"/>
              </w:rPr>
              <w:t>Total</w:t>
            </w:r>
          </w:p>
        </w:tc>
      </w:tr>
      <w:tr>
        <w:trPr>
          <w:trHeight w:val="159"/>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Unrealized</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8"/>
              </w:rPr>
              <w:t>Unrealized</w:t>
            </w:r>
          </w:p>
        </w:tc>
      </w:tr>
      <w:tr>
        <w:trPr>
          <w:trHeight w:val="180"/>
        </w:trPr>
        <w:tc>
          <w:tcPr>
            <w:tcW w:w="6160" w:type="dxa"/>
            <w:vAlign w:val="bottom"/>
          </w:tcPr>
          <w:p>
            <w:pPr>
              <w:spacing w:after="0"/>
              <w:rPr>
                <w:sz w:val="20"/>
                <w:szCs w:val="20"/>
                <w:color w:val="auto"/>
              </w:rPr>
            </w:pPr>
            <w:r>
              <w:rPr>
                <w:rFonts w:ascii="Arial" w:cs="Arial" w:eastAsia="Arial" w:hAnsi="Arial"/>
                <w:sz w:val="13"/>
                <w:szCs w:val="13"/>
                <w:b w:val="1"/>
                <w:bCs w:val="1"/>
                <w:color w:val="auto"/>
              </w:rPr>
              <w:t>At December 31, 2010</w:t>
            </w:r>
          </w:p>
        </w:tc>
        <w:tc>
          <w:tcPr>
            <w:tcW w:w="16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560" w:type="dxa"/>
            <w:vAlign w:val="bottom"/>
          </w:tcPr>
          <w:p>
            <w:pPr>
              <w:jc w:val="right"/>
              <w:ind w:right="177"/>
              <w:spacing w:after="0"/>
              <w:rPr>
                <w:sz w:val="20"/>
                <w:szCs w:val="20"/>
                <w:color w:val="auto"/>
              </w:rPr>
            </w:pPr>
            <w:r>
              <w:rPr>
                <w:rFonts w:ascii="Arial" w:cs="Arial" w:eastAsia="Arial" w:hAnsi="Arial"/>
                <w:sz w:val="13"/>
                <w:szCs w:val="13"/>
                <w:b w:val="1"/>
                <w:bCs w:val="1"/>
                <w:color w:val="auto"/>
                <w:w w:val="98"/>
              </w:rPr>
              <w:t>Loss</w:t>
            </w:r>
          </w:p>
        </w:tc>
        <w:tc>
          <w:tcPr>
            <w:tcW w:w="14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Loss</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5"/>
                <w:szCs w:val="15"/>
                <w:color w:val="auto"/>
              </w:rPr>
            </w:pPr>
          </w:p>
        </w:tc>
        <w:tc>
          <w:tcPr>
            <w:tcW w:w="700" w:type="dxa"/>
            <w:vAlign w:val="bottom"/>
          </w:tcPr>
          <w:p>
            <w:pPr>
              <w:jc w:val="right"/>
              <w:ind w:right="217"/>
              <w:spacing w:after="0"/>
              <w:rPr>
                <w:sz w:val="20"/>
                <w:szCs w:val="20"/>
                <w:color w:val="auto"/>
              </w:rPr>
            </w:pPr>
            <w:r>
              <w:rPr>
                <w:rFonts w:ascii="Arial" w:cs="Arial" w:eastAsia="Arial" w:hAnsi="Arial"/>
                <w:sz w:val="13"/>
                <w:szCs w:val="13"/>
                <w:b w:val="1"/>
                <w:bCs w:val="1"/>
                <w:color w:val="auto"/>
              </w:rPr>
              <w:t>Loss</w:t>
            </w:r>
          </w:p>
        </w:tc>
      </w:tr>
      <w:tr>
        <w:trPr>
          <w:trHeight w:val="170"/>
        </w:trPr>
        <w:tc>
          <w:tcPr>
            <w:tcW w:w="61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3"/>
                <w:szCs w:val="13"/>
                <w:i w:val="1"/>
                <w:iCs w:val="1"/>
                <w:color w:val="auto"/>
              </w:rPr>
              <w:t>Unrestricted</w:t>
            </w:r>
          </w:p>
        </w:tc>
        <w:tc>
          <w:tcPr>
            <w:tcW w:w="160" w:type="dxa"/>
            <w:vAlign w:val="bottom"/>
            <w:tcBorders>
              <w:top w:val="single" w:sz="8" w:color="C0C0C0"/>
            </w:tcBorders>
            <w:shd w:val="clear" w:color="auto" w:fill="C0C0C0"/>
          </w:tcPr>
          <w:p>
            <w:pPr>
              <w:spacing w:after="0"/>
              <w:rPr>
                <w:sz w:val="14"/>
                <w:szCs w:val="14"/>
                <w:color w:val="auto"/>
              </w:rPr>
            </w:pPr>
          </w:p>
        </w:tc>
        <w:tc>
          <w:tcPr>
            <w:tcW w:w="120" w:type="dxa"/>
            <w:vAlign w:val="bottom"/>
            <w:tcBorders>
              <w:top w:val="single" w:sz="8" w:color="auto"/>
            </w:tcBorders>
            <w:shd w:val="clear" w:color="auto" w:fill="C0C0C0"/>
          </w:tcPr>
          <w:p>
            <w:pPr>
              <w:spacing w:after="0"/>
              <w:rPr>
                <w:sz w:val="14"/>
                <w:szCs w:val="14"/>
                <w:color w:val="auto"/>
              </w:rPr>
            </w:pPr>
          </w:p>
        </w:tc>
        <w:tc>
          <w:tcPr>
            <w:tcW w:w="540" w:type="dxa"/>
            <w:vAlign w:val="bottom"/>
            <w:tcBorders>
              <w:top w:val="single" w:sz="8" w:color="auto"/>
            </w:tcBorders>
            <w:shd w:val="clear" w:color="auto" w:fill="C0C0C0"/>
          </w:tcPr>
          <w:p>
            <w:pPr>
              <w:spacing w:after="0"/>
              <w:rPr>
                <w:sz w:val="14"/>
                <w:szCs w:val="14"/>
                <w:color w:val="auto"/>
              </w:rPr>
            </w:pPr>
          </w:p>
        </w:tc>
        <w:tc>
          <w:tcPr>
            <w:tcW w:w="160" w:type="dxa"/>
            <w:vAlign w:val="bottom"/>
            <w:tcBorders>
              <w:top w:val="single" w:sz="8" w:color="C0C0C0"/>
            </w:tcBorders>
            <w:shd w:val="clear" w:color="auto" w:fill="C0C0C0"/>
          </w:tcPr>
          <w:p>
            <w:pPr>
              <w:spacing w:after="0"/>
              <w:rPr>
                <w:sz w:val="14"/>
                <w:szCs w:val="14"/>
                <w:color w:val="auto"/>
              </w:rPr>
            </w:pPr>
          </w:p>
        </w:tc>
        <w:tc>
          <w:tcPr>
            <w:tcW w:w="140" w:type="dxa"/>
            <w:vAlign w:val="bottom"/>
            <w:tcBorders>
              <w:top w:val="single" w:sz="8" w:color="auto"/>
            </w:tcBorders>
            <w:shd w:val="clear" w:color="auto" w:fill="C0C0C0"/>
          </w:tcPr>
          <w:p>
            <w:pPr>
              <w:spacing w:after="0"/>
              <w:rPr>
                <w:sz w:val="14"/>
                <w:szCs w:val="14"/>
                <w:color w:val="auto"/>
              </w:rPr>
            </w:pPr>
          </w:p>
        </w:tc>
        <w:tc>
          <w:tcPr>
            <w:tcW w:w="560" w:type="dxa"/>
            <w:vAlign w:val="bottom"/>
            <w:tcBorders>
              <w:top w:val="single" w:sz="8" w:color="auto"/>
            </w:tcBorders>
            <w:shd w:val="clear" w:color="auto" w:fill="C0C0C0"/>
          </w:tcPr>
          <w:p>
            <w:pPr>
              <w:spacing w:after="0"/>
              <w:rPr>
                <w:sz w:val="14"/>
                <w:szCs w:val="14"/>
                <w:color w:val="auto"/>
              </w:rPr>
            </w:pPr>
          </w:p>
        </w:tc>
        <w:tc>
          <w:tcPr>
            <w:tcW w:w="140" w:type="dxa"/>
            <w:vAlign w:val="bottom"/>
            <w:tcBorders>
              <w:top w:val="single" w:sz="8" w:color="C0C0C0"/>
            </w:tcBorders>
            <w:shd w:val="clear" w:color="auto" w:fill="C0C0C0"/>
          </w:tcPr>
          <w:p>
            <w:pPr>
              <w:spacing w:after="0"/>
              <w:rPr>
                <w:sz w:val="14"/>
                <w:szCs w:val="14"/>
                <w:color w:val="auto"/>
              </w:rPr>
            </w:pPr>
          </w:p>
        </w:tc>
        <w:tc>
          <w:tcPr>
            <w:tcW w:w="180" w:type="dxa"/>
            <w:vAlign w:val="bottom"/>
            <w:tcBorders>
              <w:top w:val="single" w:sz="8" w:color="auto"/>
            </w:tcBorders>
            <w:shd w:val="clear" w:color="auto" w:fill="C0C0C0"/>
          </w:tcPr>
          <w:p>
            <w:pPr>
              <w:spacing w:after="0"/>
              <w:rPr>
                <w:sz w:val="14"/>
                <w:szCs w:val="14"/>
                <w:color w:val="auto"/>
              </w:rPr>
            </w:pPr>
          </w:p>
        </w:tc>
        <w:tc>
          <w:tcPr>
            <w:tcW w:w="500" w:type="dxa"/>
            <w:vAlign w:val="bottom"/>
            <w:tcBorders>
              <w:top w:val="single" w:sz="8" w:color="auto"/>
            </w:tcBorders>
            <w:shd w:val="clear" w:color="auto" w:fill="C0C0C0"/>
          </w:tcPr>
          <w:p>
            <w:pPr>
              <w:spacing w:after="0"/>
              <w:rPr>
                <w:sz w:val="14"/>
                <w:szCs w:val="14"/>
                <w:color w:val="auto"/>
              </w:rPr>
            </w:pPr>
          </w:p>
        </w:tc>
        <w:tc>
          <w:tcPr>
            <w:tcW w:w="160" w:type="dxa"/>
            <w:vAlign w:val="bottom"/>
            <w:tcBorders>
              <w:top w:val="single" w:sz="8" w:color="C0C0C0"/>
            </w:tcBorders>
            <w:shd w:val="clear" w:color="auto" w:fill="C0C0C0"/>
          </w:tcPr>
          <w:p>
            <w:pPr>
              <w:spacing w:after="0"/>
              <w:rPr>
                <w:sz w:val="14"/>
                <w:szCs w:val="14"/>
                <w:color w:val="auto"/>
              </w:rPr>
            </w:pPr>
          </w:p>
        </w:tc>
        <w:tc>
          <w:tcPr>
            <w:tcW w:w="120" w:type="dxa"/>
            <w:vAlign w:val="bottom"/>
            <w:tcBorders>
              <w:top w:val="single" w:sz="8" w:color="auto"/>
            </w:tcBorders>
            <w:shd w:val="clear" w:color="auto" w:fill="C0C0C0"/>
          </w:tcPr>
          <w:p>
            <w:pPr>
              <w:spacing w:after="0"/>
              <w:rPr>
                <w:sz w:val="14"/>
                <w:szCs w:val="14"/>
                <w:color w:val="auto"/>
              </w:rPr>
            </w:pPr>
          </w:p>
        </w:tc>
        <w:tc>
          <w:tcPr>
            <w:tcW w:w="780" w:type="dxa"/>
            <w:vAlign w:val="bottom"/>
            <w:tcBorders>
              <w:top w:val="single" w:sz="8" w:color="auto"/>
            </w:tcBorders>
            <w:shd w:val="clear" w:color="auto" w:fill="C0C0C0"/>
          </w:tcPr>
          <w:p>
            <w:pPr>
              <w:spacing w:after="0"/>
              <w:rPr>
                <w:sz w:val="14"/>
                <w:szCs w:val="14"/>
                <w:color w:val="auto"/>
              </w:rPr>
            </w:pPr>
          </w:p>
        </w:tc>
        <w:tc>
          <w:tcPr>
            <w:tcW w:w="160" w:type="dxa"/>
            <w:vAlign w:val="bottom"/>
            <w:tcBorders>
              <w:top w:val="single" w:sz="8" w:color="C0C0C0"/>
            </w:tcBorders>
            <w:shd w:val="clear" w:color="auto" w:fill="C0C0C0"/>
          </w:tcPr>
          <w:p>
            <w:pPr>
              <w:spacing w:after="0"/>
              <w:rPr>
                <w:sz w:val="14"/>
                <w:szCs w:val="14"/>
                <w:color w:val="auto"/>
              </w:rPr>
            </w:pPr>
          </w:p>
        </w:tc>
        <w:tc>
          <w:tcPr>
            <w:tcW w:w="160" w:type="dxa"/>
            <w:vAlign w:val="bottom"/>
            <w:tcBorders>
              <w:top w:val="single" w:sz="8" w:color="auto"/>
            </w:tcBorders>
            <w:shd w:val="clear" w:color="auto" w:fill="C0C0C0"/>
          </w:tcPr>
          <w:p>
            <w:pPr>
              <w:spacing w:after="0"/>
              <w:rPr>
                <w:sz w:val="14"/>
                <w:szCs w:val="14"/>
                <w:color w:val="auto"/>
              </w:rPr>
            </w:pPr>
          </w:p>
        </w:tc>
        <w:tc>
          <w:tcPr>
            <w:tcW w:w="500" w:type="dxa"/>
            <w:vAlign w:val="bottom"/>
            <w:tcBorders>
              <w:top w:val="single" w:sz="8" w:color="auto"/>
            </w:tcBorders>
            <w:shd w:val="clear" w:color="auto" w:fill="C0C0C0"/>
          </w:tcPr>
          <w:p>
            <w:pPr>
              <w:spacing w:after="0"/>
              <w:rPr>
                <w:sz w:val="14"/>
                <w:szCs w:val="14"/>
                <w:color w:val="auto"/>
              </w:rPr>
            </w:pPr>
          </w:p>
        </w:tc>
        <w:tc>
          <w:tcPr>
            <w:tcW w:w="16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auto"/>
            </w:tcBorders>
            <w:shd w:val="clear" w:color="auto" w:fill="C0C0C0"/>
          </w:tcPr>
          <w:p>
            <w:pPr>
              <w:spacing w:after="0"/>
              <w:rPr>
                <w:sz w:val="14"/>
                <w:szCs w:val="14"/>
                <w:color w:val="auto"/>
              </w:rPr>
            </w:pPr>
          </w:p>
        </w:tc>
        <w:tc>
          <w:tcPr>
            <w:tcW w:w="700" w:type="dxa"/>
            <w:vAlign w:val="bottom"/>
            <w:tcBorders>
              <w:top w:val="single" w:sz="8" w:color="auto"/>
            </w:tcBorders>
            <w:shd w:val="clear" w:color="auto" w:fill="C0C0C0"/>
          </w:tcPr>
          <w:p>
            <w:pPr>
              <w:spacing w:after="0"/>
              <w:rPr>
                <w:sz w:val="14"/>
                <w:szCs w:val="14"/>
                <w:color w:val="auto"/>
              </w:rPr>
            </w:pPr>
          </w:p>
        </w:tc>
      </w:tr>
      <w:tr>
        <w:trPr>
          <w:trHeight w:val="169"/>
        </w:trPr>
        <w:tc>
          <w:tcPr>
            <w:tcW w:w="6160" w:type="dxa"/>
            <w:vAlign w:val="bottom"/>
          </w:tcPr>
          <w:p>
            <w:pPr>
              <w:ind w:left="220"/>
              <w:spacing w:after="0"/>
              <w:rPr>
                <w:sz w:val="20"/>
                <w:szCs w:val="20"/>
                <w:color w:val="auto"/>
              </w:rPr>
            </w:pPr>
            <w:r>
              <w:rPr>
                <w:rFonts w:ascii="Arial" w:cs="Arial" w:eastAsia="Arial" w:hAnsi="Arial"/>
                <w:sz w:val="13"/>
                <w:szCs w:val="13"/>
                <w:color w:val="auto"/>
              </w:rPr>
              <w:t>U.S. government obligations</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340,444</w:t>
            </w:r>
          </w:p>
        </w:tc>
        <w:tc>
          <w:tcPr>
            <w:tcW w:w="16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340,444</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(1,731)</w:t>
            </w:r>
          </w:p>
        </w:tc>
      </w:tr>
      <w:tr>
        <w:trPr>
          <w:trHeight w:val="169"/>
        </w:trPr>
        <w:tc>
          <w:tcPr>
            <w:tcW w:w="61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guaranteed</w:t>
            </w:r>
          </w:p>
        </w:tc>
        <w:tc>
          <w:tcPr>
            <w:tcW w:w="16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6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r>
      <w:tr>
        <w:trPr>
          <w:trHeight w:val="185"/>
        </w:trPr>
        <w:tc>
          <w:tcPr>
            <w:tcW w:w="6160" w:type="dxa"/>
            <w:vAlign w:val="bottom"/>
            <w:shd w:val="clear" w:color="auto" w:fill="C0C0C0"/>
          </w:tcPr>
          <w:p>
            <w:pPr>
              <w:ind w:left="440"/>
              <w:spacing w:after="0"/>
              <w:rPr>
                <w:sz w:val="20"/>
                <w:szCs w:val="20"/>
                <w:color w:val="auto"/>
              </w:rPr>
            </w:pPr>
            <w:r>
              <w:rPr>
                <w:rFonts w:ascii="Arial" w:cs="Arial" w:eastAsia="Arial" w:hAnsi="Arial"/>
                <w:sz w:val="13"/>
                <w:szCs w:val="13"/>
                <w:color w:val="auto"/>
              </w:rPr>
              <w:t>corporate bonds</w:t>
            </w:r>
          </w:p>
        </w:tc>
        <w:tc>
          <w:tcPr>
            <w:tcW w:w="1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19,005</w:t>
            </w:r>
          </w:p>
        </w:tc>
        <w:tc>
          <w:tcPr>
            <w:tcW w:w="16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(45)</w:t>
            </w:r>
          </w:p>
        </w:tc>
        <w:tc>
          <w:tcPr>
            <w:tcW w:w="14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78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19,005</w:t>
            </w:r>
          </w:p>
        </w:tc>
        <w:tc>
          <w:tcPr>
            <w:tcW w:w="1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(45)</w:t>
            </w:r>
          </w:p>
        </w:tc>
      </w:tr>
      <w:tr>
        <w:trPr>
          <w:trHeight w:val="169"/>
        </w:trPr>
        <w:tc>
          <w:tcPr>
            <w:tcW w:w="6160" w:type="dxa"/>
            <w:vAlign w:val="bottom"/>
          </w:tcPr>
          <w:p>
            <w:pPr>
              <w:ind w:left="220"/>
              <w:spacing w:after="0"/>
              <w:rPr>
                <w:sz w:val="20"/>
                <w:szCs w:val="20"/>
                <w:color w:val="auto"/>
              </w:rPr>
            </w:pPr>
            <w:r>
              <w:rPr>
                <w:rFonts w:ascii="Arial" w:cs="Arial" w:eastAsia="Arial" w:hAnsi="Arial"/>
                <w:sz w:val="13"/>
                <w:szCs w:val="13"/>
                <w:color w:val="auto"/>
              </w:rPr>
              <w:t>Equity securities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3,612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(433)</w:t>
            </w:r>
          </w:p>
        </w:tc>
      </w:tr>
      <w:tr>
        <w:trPr>
          <w:trHeight w:val="175"/>
        </w:trPr>
        <w:tc>
          <w:tcPr>
            <w:tcW w:w="6160" w:type="dxa"/>
            <w:vAlign w:val="bottom"/>
            <w:shd w:val="clear" w:color="auto" w:fill="C0C0C0"/>
          </w:tcPr>
          <w:p>
            <w:pPr>
              <w:ind w:left="220"/>
              <w:spacing w:after="0"/>
              <w:rPr>
                <w:sz w:val="20"/>
                <w:szCs w:val="20"/>
                <w:color w:val="auto"/>
              </w:rPr>
            </w:pPr>
            <w:r>
              <w:rPr>
                <w:rFonts w:ascii="Arial" w:cs="Arial" w:eastAsia="Arial" w:hAnsi="Arial"/>
                <w:sz w:val="13"/>
                <w:szCs w:val="13"/>
                <w:color w:val="auto"/>
              </w:rPr>
              <w:t>Mortgage-backed securities</w:t>
            </w:r>
          </w:p>
        </w:tc>
        <w:tc>
          <w:tcPr>
            <w:tcW w:w="16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60" w:type="dxa"/>
            <w:vAlign w:val="bottom"/>
            <w:shd w:val="clear" w:color="auto" w:fill="C0C0C0"/>
          </w:tcPr>
          <w:p>
            <w:pPr>
              <w:spacing w:after="0"/>
              <w:rPr>
                <w:sz w:val="15"/>
                <w:szCs w:val="15"/>
                <w:color w:val="auto"/>
              </w:rPr>
            </w:pPr>
          </w:p>
        </w:tc>
        <w:tc>
          <w:tcPr>
            <w:tcW w:w="320" w:type="dxa"/>
            <w:vAlign w:val="bottom"/>
            <w:gridSpan w:val="2"/>
            <w:shd w:val="clear" w:color="auto" w:fill="C0C0C0"/>
          </w:tcPr>
          <w:p>
            <w:pPr>
              <w:jc w:val="right"/>
              <w:ind w:right="57"/>
              <w:spacing w:after="0"/>
              <w:rPr>
                <w:sz w:val="20"/>
                <w:szCs w:val="20"/>
                <w:color w:val="auto"/>
              </w:rPr>
            </w:pPr>
            <w:r>
              <w:rPr>
                <w:rFonts w:ascii="Arial" w:cs="Arial" w:eastAsia="Arial" w:hAnsi="Arial"/>
                <w:sz w:val="13"/>
                <w:szCs w:val="13"/>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1,128</w:t>
            </w:r>
          </w:p>
        </w:tc>
        <w:tc>
          <w:tcPr>
            <w:tcW w:w="160" w:type="dxa"/>
            <w:vAlign w:val="bottom"/>
            <w:shd w:val="clear" w:color="auto" w:fill="C0C0C0"/>
          </w:tcPr>
          <w:p>
            <w:pPr>
              <w:spacing w:after="0"/>
              <w:rPr>
                <w:sz w:val="15"/>
                <w:szCs w:val="15"/>
                <w:color w:val="auto"/>
              </w:rPr>
            </w:pPr>
          </w:p>
        </w:tc>
        <w:tc>
          <w:tcPr>
            <w:tcW w:w="12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(141)</w:t>
            </w: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1,128</w:t>
            </w:r>
          </w:p>
        </w:tc>
        <w:tc>
          <w:tcPr>
            <w:tcW w:w="1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7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(141)</w:t>
            </w:r>
          </w:p>
        </w:tc>
      </w:tr>
      <w:tr>
        <w:trPr>
          <w:trHeight w:val="164"/>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363,061</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(2,209)</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1,128</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364,189</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(2,350)</w:t>
            </w:r>
          </w:p>
        </w:tc>
      </w:tr>
      <w:tr>
        <w:trPr>
          <w:trHeight w:val="170"/>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6160" w:type="dxa"/>
            <w:vAlign w:val="bottom"/>
            <w:shd w:val="clear" w:color="auto" w:fill="C0C0C0"/>
          </w:tcPr>
          <w:p>
            <w:pPr>
              <w:spacing w:after="0"/>
              <w:rPr>
                <w:sz w:val="20"/>
                <w:szCs w:val="20"/>
                <w:color w:val="auto"/>
              </w:rPr>
            </w:pPr>
            <w:r>
              <w:rPr>
                <w:rFonts w:ascii="Arial" w:cs="Arial" w:eastAsia="Arial" w:hAnsi="Arial"/>
                <w:sz w:val="13"/>
                <w:szCs w:val="13"/>
                <w:i w:val="1"/>
                <w:iCs w:val="1"/>
                <w:color w:val="auto"/>
              </w:rPr>
              <w:t>Restricted</w:t>
            </w:r>
          </w:p>
        </w:tc>
        <w:tc>
          <w:tcPr>
            <w:tcW w:w="16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6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78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700" w:type="dxa"/>
            <w:vAlign w:val="bottom"/>
            <w:shd w:val="clear" w:color="auto" w:fill="C0C0C0"/>
          </w:tcPr>
          <w:p>
            <w:pPr>
              <w:spacing w:after="0"/>
              <w:rPr>
                <w:sz w:val="15"/>
                <w:szCs w:val="15"/>
                <w:color w:val="auto"/>
              </w:rPr>
            </w:pPr>
          </w:p>
        </w:tc>
      </w:tr>
      <w:tr>
        <w:trPr>
          <w:trHeight w:val="169"/>
        </w:trPr>
        <w:tc>
          <w:tcPr>
            <w:tcW w:w="6160" w:type="dxa"/>
            <w:vAlign w:val="bottom"/>
            <w:tcBorders>
              <w:bottom w:val="single" w:sz="8" w:color="C0C0C0"/>
            </w:tcBorders>
          </w:tcPr>
          <w:p>
            <w:pPr>
              <w:ind w:left="220"/>
              <w:spacing w:after="0"/>
              <w:rPr>
                <w:sz w:val="20"/>
                <w:szCs w:val="20"/>
                <w:color w:val="auto"/>
              </w:rPr>
            </w:pPr>
            <w:r>
              <w:rPr>
                <w:rFonts w:ascii="Arial" w:cs="Arial" w:eastAsia="Arial" w:hAnsi="Arial"/>
                <w:sz w:val="13"/>
                <w:szCs w:val="13"/>
                <w:color w:val="auto"/>
              </w:rPr>
              <w:t>U.S. government obligations</w:t>
            </w:r>
          </w:p>
        </w:tc>
        <w:tc>
          <w:tcPr>
            <w:tcW w:w="160" w:type="dxa"/>
            <w:vAlign w:val="bottom"/>
            <w:tcBorders>
              <w:bottom w:val="single" w:sz="8" w:color="C0C0C0"/>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6,154</w:t>
            </w:r>
          </w:p>
        </w:tc>
        <w:tc>
          <w:tcPr>
            <w:tcW w:w="160" w:type="dxa"/>
            <w:vAlign w:val="bottom"/>
            <w:tcBorders>
              <w:bottom w:val="single" w:sz="8" w:color="C0C0C0"/>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40" w:type="dxa"/>
            <w:vAlign w:val="bottom"/>
            <w:tcBorders>
              <w:bottom w:val="single" w:sz="8" w:color="C0C0C0"/>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C0C0C0"/>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C0C0C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6,154</w:t>
            </w:r>
          </w:p>
        </w:tc>
        <w:tc>
          <w:tcPr>
            <w:tcW w:w="16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w:t>
            </w:r>
          </w:p>
        </w:tc>
      </w:tr>
      <w:tr>
        <w:trPr>
          <w:trHeight w:val="164"/>
        </w:trPr>
        <w:tc>
          <w:tcPr>
            <w:tcW w:w="6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20" w:type="dxa"/>
            <w:vAlign w:val="bottom"/>
            <w:tcBorders>
              <w:bottom w:val="single" w:sz="8" w:color="auto"/>
            </w:tcBorders>
            <w:shd w:val="clear" w:color="auto" w:fill="C0C0C0"/>
          </w:tcPr>
          <w:p>
            <w:pPr>
              <w:spacing w:after="0"/>
              <w:rPr>
                <w:sz w:val="14"/>
                <w:szCs w:val="14"/>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6,154</w:t>
            </w:r>
          </w:p>
        </w:tc>
        <w:tc>
          <w:tcPr>
            <w:tcW w:w="160" w:type="dxa"/>
            <w:vAlign w:val="bottom"/>
            <w:shd w:val="clear" w:color="auto" w:fill="C0C0C0"/>
          </w:tcPr>
          <w:p>
            <w:pPr>
              <w:spacing w:after="0"/>
              <w:rPr>
                <w:sz w:val="14"/>
                <w:szCs w:val="14"/>
                <w:color w:val="auto"/>
              </w:rPr>
            </w:pPr>
          </w:p>
        </w:tc>
        <w:tc>
          <w:tcPr>
            <w:tcW w:w="140" w:type="dxa"/>
            <w:vAlign w:val="bottom"/>
            <w:tcBorders>
              <w:bottom w:val="single" w:sz="8" w:color="auto"/>
            </w:tcBorders>
            <w:shd w:val="clear" w:color="auto" w:fill="C0C0C0"/>
          </w:tcPr>
          <w:p>
            <w:pPr>
              <w:spacing w:after="0"/>
              <w:rPr>
                <w:sz w:val="14"/>
                <w:szCs w:val="14"/>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0C0C0"/>
          </w:tcPr>
          <w:p>
            <w:pPr>
              <w:spacing w:after="0"/>
              <w:rPr>
                <w:sz w:val="14"/>
                <w:szCs w:val="14"/>
                <w:color w:val="auto"/>
              </w:rPr>
            </w:pPr>
          </w:p>
        </w:tc>
        <w:tc>
          <w:tcPr>
            <w:tcW w:w="180" w:type="dxa"/>
            <w:vAlign w:val="bottom"/>
            <w:tcBorders>
              <w:bottom w:val="single" w:sz="8" w:color="auto"/>
            </w:tcBorders>
            <w:shd w:val="clear" w:color="auto" w:fill="C0C0C0"/>
          </w:tcPr>
          <w:p>
            <w:pPr>
              <w:spacing w:after="0"/>
              <w:rPr>
                <w:sz w:val="14"/>
                <w:szCs w:val="14"/>
                <w:color w:val="auto"/>
              </w:rPr>
            </w:pPr>
          </w:p>
        </w:tc>
        <w:tc>
          <w:tcPr>
            <w:tcW w:w="500" w:type="dxa"/>
            <w:vAlign w:val="bottom"/>
            <w:tcBorders>
              <w:bottom w:val="single" w:sz="8" w:color="auto"/>
            </w:tcBorders>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20" w:type="dxa"/>
            <w:vAlign w:val="bottom"/>
            <w:tcBorders>
              <w:bottom w:val="single" w:sz="8" w:color="auto"/>
            </w:tcBorders>
            <w:shd w:val="clear" w:color="auto" w:fill="C0C0C0"/>
          </w:tcPr>
          <w:p>
            <w:pPr>
              <w:spacing w:after="0"/>
              <w:rPr>
                <w:sz w:val="14"/>
                <w:szCs w:val="14"/>
                <w:color w:val="auto"/>
              </w:rPr>
            </w:pPr>
          </w:p>
        </w:tc>
        <w:tc>
          <w:tcPr>
            <w:tcW w:w="780" w:type="dxa"/>
            <w:vAlign w:val="bottom"/>
            <w:tcBorders>
              <w:bottom w:val="single" w:sz="8" w:color="auto"/>
            </w:tcBorders>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60" w:type="dxa"/>
            <w:vAlign w:val="bottom"/>
            <w:tcBorders>
              <w:bottom w:val="single" w:sz="8" w:color="auto"/>
            </w:tcBorders>
            <w:shd w:val="clear" w:color="auto" w:fill="C0C0C0"/>
          </w:tcPr>
          <w:p>
            <w:pPr>
              <w:spacing w:after="0"/>
              <w:rPr>
                <w:sz w:val="14"/>
                <w:szCs w:val="14"/>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6,154</w:t>
            </w:r>
          </w:p>
        </w:tc>
        <w:tc>
          <w:tcPr>
            <w:tcW w:w="160" w:type="dxa"/>
            <w:vAlign w:val="bottom"/>
            <w:shd w:val="clear" w:color="auto" w:fill="C0C0C0"/>
          </w:tcPr>
          <w:p>
            <w:pPr>
              <w:spacing w:after="0"/>
              <w:rPr>
                <w:sz w:val="14"/>
                <w:szCs w:val="14"/>
                <w:color w:val="auto"/>
              </w:rPr>
            </w:pPr>
          </w:p>
        </w:tc>
        <w:tc>
          <w:tcPr>
            <w:tcW w:w="80" w:type="dxa"/>
            <w:vAlign w:val="bottom"/>
            <w:tcBorders>
              <w:bottom w:val="single" w:sz="8" w:color="auto"/>
            </w:tcBorders>
            <w:shd w:val="clear" w:color="auto" w:fill="C0C0C0"/>
          </w:tcPr>
          <w:p>
            <w:pPr>
              <w:spacing w:after="0"/>
              <w:rPr>
                <w:sz w:val="14"/>
                <w:szCs w:val="14"/>
                <w:color w:val="auto"/>
              </w:rPr>
            </w:pPr>
          </w:p>
        </w:tc>
        <w:tc>
          <w:tcPr>
            <w:tcW w:w="70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3"/>
                <w:szCs w:val="13"/>
                <w:color w:val="auto"/>
              </w:rPr>
              <w:t>(18)</w:t>
            </w:r>
          </w:p>
        </w:tc>
      </w:tr>
      <w:tr>
        <w:trPr>
          <w:trHeight w:val="170"/>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6160" w:type="dxa"/>
            <w:vAlign w:val="bottom"/>
            <w:shd w:val="clear" w:color="auto" w:fill="C0C0C0"/>
          </w:tcPr>
          <w:p>
            <w:pPr>
              <w:spacing w:after="0"/>
              <w:rPr>
                <w:sz w:val="14"/>
                <w:szCs w:val="14"/>
                <w:color w:val="auto"/>
              </w:rPr>
            </w:pP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369,215</w:t>
            </w:r>
          </w:p>
        </w:tc>
        <w:tc>
          <w:tcPr>
            <w:tcW w:w="160" w:type="dxa"/>
            <w:vAlign w:val="bottom"/>
            <w:shd w:val="clear" w:color="auto" w:fill="C0C0C0"/>
          </w:tcPr>
          <w:p>
            <w:pPr>
              <w:spacing w:after="0"/>
              <w:rPr>
                <w:sz w:val="14"/>
                <w:szCs w:val="14"/>
                <w:color w:val="auto"/>
              </w:rPr>
            </w:pPr>
          </w:p>
        </w:tc>
        <w:tc>
          <w:tcPr>
            <w:tcW w:w="140" w:type="dxa"/>
            <w:vAlign w:val="bottom"/>
            <w:shd w:val="clear" w:color="auto" w:fill="C0C0C0"/>
          </w:tcPr>
          <w:p>
            <w:pPr>
              <w:jc w:val="right"/>
              <w:ind w:right="27"/>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(2,227)</w:t>
            </w:r>
          </w:p>
        </w:tc>
        <w:tc>
          <w:tcPr>
            <w:tcW w:w="320" w:type="dxa"/>
            <w:vAlign w:val="bottom"/>
            <w:gridSpan w:val="2"/>
            <w:shd w:val="clear" w:color="auto" w:fill="C0C0C0"/>
          </w:tcPr>
          <w:p>
            <w:pPr>
              <w:jc w:val="right"/>
              <w:ind w:right="57"/>
              <w:spacing w:after="0"/>
              <w:rPr>
                <w:sz w:val="20"/>
                <w:szCs w:val="20"/>
                <w:color w:val="auto"/>
              </w:rPr>
            </w:pPr>
            <w:r>
              <w:rPr>
                <w:rFonts w:ascii="Arial" w:cs="Arial" w:eastAsia="Arial" w:hAnsi="Arial"/>
                <w:sz w:val="13"/>
                <w:szCs w:val="13"/>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1,128</w:t>
            </w:r>
          </w:p>
        </w:tc>
        <w:tc>
          <w:tcPr>
            <w:tcW w:w="160" w:type="dxa"/>
            <w:vAlign w:val="bottom"/>
            <w:shd w:val="clear" w:color="auto" w:fill="C0C0C0"/>
          </w:tcPr>
          <w:p>
            <w:pPr>
              <w:spacing w:after="0"/>
              <w:rPr>
                <w:sz w:val="14"/>
                <w:szCs w:val="14"/>
                <w:color w:val="auto"/>
              </w:rPr>
            </w:pPr>
          </w:p>
        </w:tc>
        <w:tc>
          <w:tcPr>
            <w:tcW w:w="12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(141)</w:t>
            </w: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jc w:val="right"/>
              <w:ind w:right="47"/>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370,343</w:t>
            </w:r>
          </w:p>
        </w:tc>
        <w:tc>
          <w:tcPr>
            <w:tcW w:w="160" w:type="dxa"/>
            <w:vAlign w:val="bottom"/>
            <w:shd w:val="clear" w:color="auto" w:fill="C0C0C0"/>
          </w:tcPr>
          <w:p>
            <w:pPr>
              <w:spacing w:after="0"/>
              <w:rPr>
                <w:sz w:val="14"/>
                <w:szCs w:val="14"/>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0C0C0"/>
          </w:tcPr>
          <w:p>
            <w:pPr>
              <w:jc w:val="right"/>
              <w:ind w:right="17"/>
              <w:spacing w:after="0"/>
              <w:rPr>
                <w:sz w:val="20"/>
                <w:szCs w:val="20"/>
                <w:color w:val="auto"/>
              </w:rPr>
            </w:pPr>
            <w:r>
              <w:rPr>
                <w:rFonts w:ascii="Arial" w:cs="Arial" w:eastAsia="Arial" w:hAnsi="Arial"/>
                <w:sz w:val="13"/>
                <w:szCs w:val="13"/>
                <w:color w:val="auto"/>
              </w:rPr>
              <w:t>(2,368)</w:t>
            </w:r>
          </w:p>
        </w:tc>
      </w:tr>
      <w:tr>
        <w:trPr>
          <w:trHeight w:val="25"/>
        </w:trPr>
        <w:tc>
          <w:tcPr>
            <w:tcW w:w="616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188" w:lineRule="exact"/>
        <w:rPr>
          <w:sz w:val="20"/>
          <w:szCs w:val="20"/>
          <w:color w:val="auto"/>
        </w:rPr>
      </w:pPr>
    </w:p>
    <w:p>
      <w:pPr>
        <w:jc w:val="both"/>
        <w:ind w:right="20" w:firstLine="243"/>
        <w:spacing w:after="0" w:line="258" w:lineRule="auto"/>
        <w:rPr>
          <w:sz w:val="20"/>
          <w:szCs w:val="20"/>
          <w:color w:val="auto"/>
        </w:rPr>
      </w:pPr>
      <w:r>
        <w:rPr>
          <w:rFonts w:ascii="Arial" w:cs="Arial" w:eastAsia="Arial" w:hAnsi="Arial"/>
          <w:sz w:val="13"/>
          <w:szCs w:val="13"/>
          <w:color w:val="auto"/>
        </w:rPr>
        <w:t>Realized gains and losses are included as a component of investment income. For the three months ended March 31, 2011 and 2010, realized gains and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The Company’s assets that are measured at fair value on a recurring basis</w:t>
      </w:r>
      <w:r>
        <w:rPr>
          <w:rFonts w:ascii="Arial" w:cs="Arial" w:eastAsia="Arial" w:hAnsi="Arial"/>
          <w:sz w:val="13"/>
          <w:szCs w:val="13"/>
          <w:i w:val="1"/>
          <w:iCs w:val="1"/>
          <w:color w:val="auto"/>
        </w:rPr>
        <w:t>,</w:t>
      </w:r>
      <w:r>
        <w:rPr>
          <w:rFonts w:ascii="Arial" w:cs="Arial" w:eastAsia="Arial" w:hAnsi="Arial"/>
          <w:sz w:val="13"/>
          <w:szCs w:val="13"/>
          <w:color w:val="auto"/>
        </w:rPr>
        <w:t xml:space="preserve"> at March 31, 2011 and December 31, 2010,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1"/>
              </w:rPr>
              <w:t>Fair Value Measurements at Reporting Date Using</w:t>
            </w:r>
          </w:p>
        </w:tc>
      </w:tr>
      <w:tr>
        <w:trPr>
          <w:trHeight w:val="159"/>
        </w:trPr>
        <w:tc>
          <w:tcPr>
            <w:tcW w:w="39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Quoted Prices</w:t>
            </w:r>
          </w:p>
        </w:tc>
        <w:tc>
          <w:tcPr>
            <w:tcW w:w="1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Significant</w:t>
            </w:r>
          </w:p>
        </w:tc>
        <w:tc>
          <w:tcPr>
            <w:tcW w:w="800" w:type="dxa"/>
            <w:vAlign w:val="bottom"/>
          </w:tcPr>
          <w:p>
            <w:pPr>
              <w:spacing w:after="0"/>
              <w:rPr>
                <w:sz w:val="13"/>
                <w:szCs w:val="13"/>
                <w:color w:val="auto"/>
              </w:rPr>
            </w:pPr>
          </w:p>
        </w:tc>
      </w:tr>
      <w:tr>
        <w:trPr>
          <w:trHeight w:val="174"/>
        </w:trPr>
        <w:tc>
          <w:tcPr>
            <w:tcW w:w="3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in Active</w:t>
            </w: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Significant</w:t>
            </w:r>
          </w:p>
        </w:tc>
      </w:tr>
      <w:tr>
        <w:trPr>
          <w:trHeight w:val="175"/>
        </w:trPr>
        <w:tc>
          <w:tcPr>
            <w:tcW w:w="3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Markets for</w:t>
            </w: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Observable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Unobservable</w:t>
            </w:r>
          </w:p>
        </w:tc>
      </w:tr>
      <w:tr>
        <w:trPr>
          <w:trHeight w:val="175"/>
        </w:trPr>
        <w:tc>
          <w:tcPr>
            <w:tcW w:w="3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4"/>
              </w:rPr>
              <w:t>Identical Assets</w:t>
            </w: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Inputs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Inputs</w:t>
            </w:r>
          </w:p>
        </w:tc>
      </w:tr>
      <w:tr>
        <w:trPr>
          <w:trHeight w:val="180"/>
        </w:trPr>
        <w:tc>
          <w:tcPr>
            <w:tcW w:w="3940" w:type="dxa"/>
            <w:vAlign w:val="bottom"/>
          </w:tcPr>
          <w:p>
            <w:pPr>
              <w:spacing w:after="0"/>
              <w:rPr>
                <w:sz w:val="20"/>
                <w:szCs w:val="20"/>
                <w:color w:val="auto"/>
              </w:rPr>
            </w:pPr>
            <w:r>
              <w:rPr>
                <w:rFonts w:ascii="Arial" w:cs="Arial" w:eastAsia="Arial" w:hAnsi="Arial"/>
                <w:sz w:val="13"/>
                <w:szCs w:val="13"/>
                <w:b w:val="1"/>
                <w:bCs w:val="1"/>
                <w:color w:val="auto"/>
              </w:rPr>
              <w:t>At March 31, 2011</w:t>
            </w: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Fair Value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(Level 1)</w:t>
            </w: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(Level 2)</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(Level 3)</w:t>
            </w:r>
          </w:p>
        </w:tc>
      </w:tr>
      <w:tr>
        <w:trPr>
          <w:trHeight w:val="170"/>
        </w:trPr>
        <w:tc>
          <w:tcPr>
            <w:tcW w:w="39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3"/>
                <w:szCs w:val="13"/>
                <w:i w:val="1"/>
                <w:iCs w:val="1"/>
                <w:color w:val="auto"/>
              </w:rPr>
              <w:t>Unrestricted</w:t>
            </w:r>
          </w:p>
        </w:tc>
        <w:tc>
          <w:tcPr>
            <w:tcW w:w="3620" w:type="dxa"/>
            <w:vAlign w:val="bottom"/>
            <w:tcBorders>
              <w:top w:val="single" w:sz="8" w:color="auto"/>
            </w:tcBorders>
            <w:shd w:val="clear" w:color="auto" w:fill="C0C0C0"/>
          </w:tcPr>
          <w:p>
            <w:pPr>
              <w:spacing w:after="0"/>
              <w:rPr>
                <w:sz w:val="14"/>
                <w:szCs w:val="14"/>
                <w:color w:val="auto"/>
              </w:rPr>
            </w:pPr>
          </w:p>
        </w:tc>
        <w:tc>
          <w:tcPr>
            <w:tcW w:w="160" w:type="dxa"/>
            <w:vAlign w:val="bottom"/>
            <w:tcBorders>
              <w:top w:val="single" w:sz="8" w:color="C0C0C0"/>
            </w:tcBorders>
            <w:shd w:val="clear" w:color="auto" w:fill="C0C0C0"/>
          </w:tcPr>
          <w:p>
            <w:pPr>
              <w:spacing w:after="0"/>
              <w:rPr>
                <w:sz w:val="14"/>
                <w:szCs w:val="14"/>
                <w:color w:val="auto"/>
              </w:rPr>
            </w:pPr>
          </w:p>
        </w:tc>
        <w:tc>
          <w:tcPr>
            <w:tcW w:w="160" w:type="dxa"/>
            <w:vAlign w:val="bottom"/>
            <w:tcBorders>
              <w:top w:val="single" w:sz="8" w:color="auto"/>
            </w:tcBorders>
            <w:shd w:val="clear" w:color="auto" w:fill="C0C0C0"/>
          </w:tcPr>
          <w:p>
            <w:pPr>
              <w:spacing w:after="0"/>
              <w:rPr>
                <w:sz w:val="14"/>
                <w:szCs w:val="14"/>
                <w:color w:val="auto"/>
              </w:rPr>
            </w:pPr>
          </w:p>
        </w:tc>
        <w:tc>
          <w:tcPr>
            <w:tcW w:w="500" w:type="dxa"/>
            <w:vAlign w:val="bottom"/>
            <w:tcBorders>
              <w:top w:val="single" w:sz="8" w:color="auto"/>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auto"/>
            </w:tcBorders>
            <w:shd w:val="clear" w:color="auto" w:fill="C0C0C0"/>
          </w:tcPr>
          <w:p>
            <w:pPr>
              <w:spacing w:after="0"/>
              <w:rPr>
                <w:sz w:val="14"/>
                <w:szCs w:val="14"/>
                <w:color w:val="auto"/>
              </w:rPr>
            </w:pPr>
          </w:p>
        </w:tc>
        <w:tc>
          <w:tcPr>
            <w:tcW w:w="860" w:type="dxa"/>
            <w:vAlign w:val="bottom"/>
            <w:tcBorders>
              <w:top w:val="single" w:sz="8" w:color="auto"/>
            </w:tcBorders>
            <w:shd w:val="clear" w:color="auto" w:fill="C0C0C0"/>
          </w:tcPr>
          <w:p>
            <w:pPr>
              <w:spacing w:after="0"/>
              <w:rPr>
                <w:sz w:val="14"/>
                <w:szCs w:val="14"/>
                <w:color w:val="auto"/>
              </w:rPr>
            </w:pPr>
          </w:p>
        </w:tc>
        <w:tc>
          <w:tcPr>
            <w:tcW w:w="140" w:type="dxa"/>
            <w:vAlign w:val="bottom"/>
            <w:tcBorders>
              <w:top w:val="single" w:sz="8" w:color="C0C0C0"/>
            </w:tcBorders>
            <w:shd w:val="clear" w:color="auto" w:fill="C0C0C0"/>
          </w:tcPr>
          <w:p>
            <w:pPr>
              <w:spacing w:after="0"/>
              <w:rPr>
                <w:sz w:val="14"/>
                <w:szCs w:val="14"/>
                <w:color w:val="auto"/>
              </w:rPr>
            </w:pPr>
          </w:p>
        </w:tc>
        <w:tc>
          <w:tcPr>
            <w:tcW w:w="100" w:type="dxa"/>
            <w:vAlign w:val="bottom"/>
            <w:tcBorders>
              <w:top w:val="single" w:sz="8" w:color="auto"/>
            </w:tcBorders>
            <w:shd w:val="clear" w:color="auto" w:fill="C0C0C0"/>
          </w:tcPr>
          <w:p>
            <w:pPr>
              <w:spacing w:after="0"/>
              <w:rPr>
                <w:sz w:val="14"/>
                <w:szCs w:val="14"/>
                <w:color w:val="auto"/>
              </w:rPr>
            </w:pPr>
          </w:p>
        </w:tc>
        <w:tc>
          <w:tcPr>
            <w:tcW w:w="800" w:type="dxa"/>
            <w:vAlign w:val="bottom"/>
            <w:tcBorders>
              <w:top w:val="single" w:sz="8" w:color="auto"/>
            </w:tcBorders>
            <w:shd w:val="clear" w:color="auto" w:fill="C0C0C0"/>
          </w:tcPr>
          <w:p>
            <w:pPr>
              <w:spacing w:after="0"/>
              <w:rPr>
                <w:sz w:val="14"/>
                <w:szCs w:val="14"/>
                <w:color w:val="auto"/>
              </w:rPr>
            </w:pPr>
          </w:p>
        </w:tc>
        <w:tc>
          <w:tcPr>
            <w:tcW w:w="160" w:type="dxa"/>
            <w:vAlign w:val="bottom"/>
            <w:tcBorders>
              <w:top w:val="single" w:sz="8" w:color="C0C0C0"/>
            </w:tcBorders>
            <w:shd w:val="clear" w:color="auto" w:fill="C0C0C0"/>
          </w:tcPr>
          <w:p>
            <w:pPr>
              <w:spacing w:after="0"/>
              <w:rPr>
                <w:sz w:val="14"/>
                <w:szCs w:val="14"/>
                <w:color w:val="auto"/>
              </w:rPr>
            </w:pPr>
          </w:p>
        </w:tc>
        <w:tc>
          <w:tcPr>
            <w:tcW w:w="800" w:type="dxa"/>
            <w:vAlign w:val="bottom"/>
            <w:tcBorders>
              <w:top w:val="single" w:sz="8" w:color="auto"/>
            </w:tcBorders>
            <w:shd w:val="clear" w:color="auto" w:fill="C0C0C0"/>
          </w:tcPr>
          <w:p>
            <w:pPr>
              <w:spacing w:after="0"/>
              <w:rPr>
                <w:sz w:val="14"/>
                <w:szCs w:val="14"/>
                <w:color w:val="auto"/>
              </w:rPr>
            </w:pPr>
          </w:p>
        </w:tc>
      </w:tr>
      <w:tr>
        <w:trPr>
          <w:trHeight w:val="169"/>
        </w:trPr>
        <w:tc>
          <w:tcPr>
            <w:tcW w:w="3940" w:type="dxa"/>
            <w:vAlign w:val="bottom"/>
          </w:tcPr>
          <w:p>
            <w:pPr>
              <w:spacing w:after="0"/>
              <w:rPr>
                <w:sz w:val="20"/>
                <w:szCs w:val="20"/>
                <w:color w:val="auto"/>
              </w:rPr>
            </w:pPr>
            <w:r>
              <w:rPr>
                <w:rFonts w:ascii="Arial" w:cs="Arial" w:eastAsia="Arial" w:hAnsi="Arial"/>
                <w:sz w:val="13"/>
                <w:szCs w:val="13"/>
                <w:color w:val="auto"/>
              </w:rPr>
              <w:t>Available-for-sale marketable securities</w:t>
            </w: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394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obligations</w:t>
            </w:r>
          </w:p>
        </w:tc>
        <w:tc>
          <w:tcPr>
            <w:tcW w:w="3940" w:type="dxa"/>
            <w:vAlign w:val="bottom"/>
            <w:gridSpan w:val="3"/>
            <w:shd w:val="clear" w:color="auto" w:fill="C0C0C0"/>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385,377</w:t>
            </w: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6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385,377</w:t>
            </w:r>
          </w:p>
        </w:tc>
        <w:tc>
          <w:tcPr>
            <w:tcW w:w="800" w:type="dxa"/>
            <w:vAlign w:val="bottom"/>
            <w:shd w:val="clear" w:color="auto" w:fill="C0C0C0"/>
          </w:tcPr>
          <w:p>
            <w:pPr>
              <w:spacing w:after="0"/>
              <w:rPr>
                <w:sz w:val="15"/>
                <w:szCs w:val="15"/>
                <w:color w:val="auto"/>
              </w:rPr>
            </w:pPr>
          </w:p>
        </w:tc>
      </w:tr>
      <w:tr>
        <w:trPr>
          <w:trHeight w:val="164"/>
        </w:trPr>
        <w:tc>
          <w:tcPr>
            <w:tcW w:w="3940" w:type="dxa"/>
            <w:vAlign w:val="bottom"/>
          </w:tcPr>
          <w:p>
            <w:pPr>
              <w:ind w:left="220"/>
              <w:spacing w:after="0"/>
              <w:rPr>
                <w:sz w:val="20"/>
                <w:szCs w:val="20"/>
                <w:color w:val="auto"/>
              </w:rPr>
            </w:pPr>
            <w:r>
              <w:rPr>
                <w:rFonts w:ascii="Arial" w:cs="Arial" w:eastAsia="Arial" w:hAnsi="Arial"/>
                <w:sz w:val="13"/>
                <w:szCs w:val="13"/>
                <w:color w:val="auto"/>
              </w:rPr>
              <w:t>U.S. government guaranteed corporate</w:t>
            </w: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3940" w:type="dxa"/>
            <w:vAlign w:val="bottom"/>
          </w:tcPr>
          <w:p>
            <w:pPr>
              <w:ind w:left="440"/>
              <w:spacing w:after="0"/>
              <w:rPr>
                <w:sz w:val="20"/>
                <w:szCs w:val="20"/>
                <w:color w:val="auto"/>
              </w:rPr>
            </w:pPr>
            <w:r>
              <w:rPr>
                <w:rFonts w:ascii="Arial" w:cs="Arial" w:eastAsia="Arial" w:hAnsi="Arial"/>
                <w:sz w:val="13"/>
                <w:szCs w:val="13"/>
                <w:color w:val="auto"/>
              </w:rPr>
              <w:t>bonds</w:t>
            </w: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55,442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55,442</w:t>
            </w:r>
          </w:p>
        </w:tc>
        <w:tc>
          <w:tcPr>
            <w:tcW w:w="800" w:type="dxa"/>
            <w:vAlign w:val="bottom"/>
          </w:tcPr>
          <w:p>
            <w:pPr>
              <w:spacing w:after="0"/>
              <w:rPr>
                <w:sz w:val="15"/>
                <w:szCs w:val="15"/>
                <w:color w:val="auto"/>
              </w:rPr>
            </w:pPr>
          </w:p>
        </w:tc>
      </w:tr>
      <w:tr>
        <w:trPr>
          <w:trHeight w:val="169"/>
        </w:trPr>
        <w:tc>
          <w:tcPr>
            <w:tcW w:w="394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guaranteed</w:t>
            </w:r>
          </w:p>
        </w:tc>
        <w:tc>
          <w:tcPr>
            <w:tcW w:w="362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6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r>
      <w:tr>
        <w:trPr>
          <w:trHeight w:val="185"/>
        </w:trPr>
        <w:tc>
          <w:tcPr>
            <w:tcW w:w="3940" w:type="dxa"/>
            <w:vAlign w:val="bottom"/>
            <w:shd w:val="clear" w:color="auto" w:fill="C0C0C0"/>
          </w:tcPr>
          <w:p>
            <w:pPr>
              <w:ind w:left="440"/>
              <w:spacing w:after="0"/>
              <w:rPr>
                <w:sz w:val="20"/>
                <w:szCs w:val="20"/>
                <w:color w:val="auto"/>
              </w:rPr>
            </w:pPr>
            <w:r>
              <w:rPr>
                <w:rFonts w:ascii="Arial" w:cs="Arial" w:eastAsia="Arial" w:hAnsi="Arial"/>
                <w:sz w:val="13"/>
                <w:szCs w:val="13"/>
                <w:color w:val="auto"/>
              </w:rPr>
              <w:t>collateralized mortgage obligations</w:t>
            </w:r>
          </w:p>
        </w:tc>
        <w:tc>
          <w:tcPr>
            <w:tcW w:w="36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8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1,590</w:t>
            </w:r>
          </w:p>
        </w:tc>
        <w:tc>
          <w:tcPr>
            <w:tcW w:w="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86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1,590</w:t>
            </w:r>
          </w:p>
        </w:tc>
        <w:tc>
          <w:tcPr>
            <w:tcW w:w="800" w:type="dxa"/>
            <w:vAlign w:val="bottom"/>
            <w:shd w:val="clear" w:color="auto" w:fill="C0C0C0"/>
          </w:tcPr>
          <w:p>
            <w:pPr>
              <w:spacing w:after="0"/>
              <w:rPr>
                <w:sz w:val="16"/>
                <w:szCs w:val="16"/>
                <w:color w:val="auto"/>
              </w:rPr>
            </w:pPr>
          </w:p>
        </w:tc>
      </w:tr>
      <w:tr>
        <w:trPr>
          <w:trHeight w:val="169"/>
        </w:trPr>
        <w:tc>
          <w:tcPr>
            <w:tcW w:w="3940" w:type="dxa"/>
            <w:vAlign w:val="bottom"/>
          </w:tcPr>
          <w:p>
            <w:pPr>
              <w:ind w:left="220"/>
              <w:spacing w:after="0"/>
              <w:rPr>
                <w:sz w:val="20"/>
                <w:szCs w:val="20"/>
                <w:color w:val="auto"/>
              </w:rPr>
            </w:pPr>
            <w:r>
              <w:rPr>
                <w:rFonts w:ascii="Arial" w:cs="Arial" w:eastAsia="Arial" w:hAnsi="Arial"/>
                <w:sz w:val="13"/>
                <w:szCs w:val="13"/>
                <w:color w:val="auto"/>
              </w:rPr>
              <w:t>Municipal bonds</w:t>
            </w: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17,351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17,351</w:t>
            </w:r>
          </w:p>
        </w:tc>
        <w:tc>
          <w:tcPr>
            <w:tcW w:w="800" w:type="dxa"/>
            <w:vAlign w:val="bottom"/>
          </w:tcPr>
          <w:p>
            <w:pPr>
              <w:spacing w:after="0"/>
              <w:rPr>
                <w:sz w:val="14"/>
                <w:szCs w:val="14"/>
                <w:color w:val="auto"/>
              </w:rPr>
            </w:pPr>
          </w:p>
        </w:tc>
      </w:tr>
      <w:tr>
        <w:trPr>
          <w:trHeight w:val="180"/>
        </w:trPr>
        <w:tc>
          <w:tcPr>
            <w:tcW w:w="3940" w:type="dxa"/>
            <w:vAlign w:val="bottom"/>
            <w:shd w:val="clear" w:color="auto" w:fill="C0C0C0"/>
          </w:tcPr>
          <w:p>
            <w:pPr>
              <w:ind w:left="220"/>
              <w:spacing w:after="0"/>
              <w:rPr>
                <w:sz w:val="20"/>
                <w:szCs w:val="20"/>
                <w:color w:val="auto"/>
              </w:rPr>
            </w:pPr>
            <w:r>
              <w:rPr>
                <w:rFonts w:ascii="Arial" w:cs="Arial" w:eastAsia="Arial" w:hAnsi="Arial"/>
                <w:sz w:val="13"/>
                <w:szCs w:val="13"/>
                <w:color w:val="auto"/>
              </w:rPr>
              <w:t>Mortgage-backed securities</w:t>
            </w:r>
          </w:p>
        </w:tc>
        <w:tc>
          <w:tcPr>
            <w:tcW w:w="362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8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288</w:t>
            </w: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6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288</w:t>
            </w:r>
          </w:p>
        </w:tc>
        <w:tc>
          <w:tcPr>
            <w:tcW w:w="800" w:type="dxa"/>
            <w:vAlign w:val="bottom"/>
            <w:shd w:val="clear" w:color="auto" w:fill="C0C0C0"/>
          </w:tcPr>
          <w:p>
            <w:pPr>
              <w:spacing w:after="0"/>
              <w:rPr>
                <w:sz w:val="15"/>
                <w:szCs w:val="15"/>
                <w:color w:val="auto"/>
              </w:rPr>
            </w:pPr>
          </w:p>
        </w:tc>
      </w:tr>
      <w:tr>
        <w:trPr>
          <w:trHeight w:val="169"/>
        </w:trPr>
        <w:tc>
          <w:tcPr>
            <w:tcW w:w="3940" w:type="dxa"/>
            <w:vAlign w:val="bottom"/>
          </w:tcPr>
          <w:p>
            <w:pPr>
              <w:ind w:left="220"/>
              <w:spacing w:after="0"/>
              <w:rPr>
                <w:sz w:val="20"/>
                <w:szCs w:val="20"/>
                <w:color w:val="auto"/>
              </w:rPr>
            </w:pPr>
            <w:r>
              <w:rPr>
                <w:rFonts w:ascii="Arial" w:cs="Arial" w:eastAsia="Arial" w:hAnsi="Arial"/>
                <w:sz w:val="13"/>
                <w:szCs w:val="13"/>
                <w:color w:val="auto"/>
              </w:rPr>
              <w:t>Equity securities</w:t>
            </w: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4,638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4,638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3940" w:type="dxa"/>
            <w:vAlign w:val="bottom"/>
            <w:shd w:val="clear" w:color="auto" w:fill="C0C0C0"/>
          </w:tcPr>
          <w:p>
            <w:pPr>
              <w:spacing w:after="0" w:line="20" w:lineRule="exact"/>
              <w:rPr>
                <w:sz w:val="1"/>
                <w:szCs w:val="1"/>
                <w:color w:val="auto"/>
              </w:rPr>
            </w:pPr>
          </w:p>
        </w:tc>
        <w:tc>
          <w:tcPr>
            <w:tcW w:w="36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0" w:type="dxa"/>
            <w:vAlign w:val="bottom"/>
            <w:shd w:val="clear" w:color="auto" w:fill="C0C0C0"/>
          </w:tcPr>
          <w:p>
            <w:pPr>
              <w:spacing w:after="0" w:line="20" w:lineRule="exact"/>
              <w:rPr>
                <w:sz w:val="1"/>
                <w:szCs w:val="1"/>
                <w:color w:val="auto"/>
              </w:rPr>
            </w:pPr>
          </w:p>
        </w:tc>
      </w:tr>
      <w:tr>
        <w:trPr>
          <w:trHeight w:val="164"/>
        </w:trPr>
        <w:tc>
          <w:tcPr>
            <w:tcW w:w="3940" w:type="dxa"/>
            <w:vAlign w:val="bottom"/>
            <w:shd w:val="clear" w:color="auto" w:fill="C0C0C0"/>
          </w:tcPr>
          <w:p>
            <w:pPr>
              <w:spacing w:after="0"/>
              <w:rPr>
                <w:sz w:val="14"/>
                <w:szCs w:val="14"/>
                <w:color w:val="auto"/>
              </w:rPr>
            </w:pPr>
          </w:p>
        </w:tc>
        <w:tc>
          <w:tcPr>
            <w:tcW w:w="362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58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464,686</w:t>
            </w: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4,638</w:t>
            </w:r>
          </w:p>
        </w:tc>
        <w:tc>
          <w:tcPr>
            <w:tcW w:w="1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460,048</w:t>
            </w:r>
          </w:p>
        </w:tc>
        <w:tc>
          <w:tcPr>
            <w:tcW w:w="800" w:type="dxa"/>
            <w:vAlign w:val="bottom"/>
            <w:shd w:val="clear" w:color="auto" w:fill="C0C0C0"/>
          </w:tcPr>
          <w:p>
            <w:pPr>
              <w:spacing w:after="0"/>
              <w:rPr>
                <w:sz w:val="14"/>
                <w:szCs w:val="14"/>
                <w:color w:val="auto"/>
              </w:rPr>
            </w:pPr>
          </w:p>
        </w:tc>
      </w:tr>
      <w:tr>
        <w:trPr>
          <w:trHeight w:val="170"/>
        </w:trPr>
        <w:tc>
          <w:tcPr>
            <w:tcW w:w="39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3940" w:type="dxa"/>
            <w:vAlign w:val="bottom"/>
            <w:shd w:val="clear" w:color="auto" w:fill="C0C0C0"/>
          </w:tcPr>
          <w:p>
            <w:pPr>
              <w:spacing w:after="0"/>
              <w:rPr>
                <w:sz w:val="20"/>
                <w:szCs w:val="20"/>
                <w:color w:val="auto"/>
              </w:rPr>
            </w:pPr>
            <w:r>
              <w:rPr>
                <w:rFonts w:ascii="Arial" w:cs="Arial" w:eastAsia="Arial" w:hAnsi="Arial"/>
                <w:sz w:val="13"/>
                <w:szCs w:val="13"/>
                <w:i w:val="1"/>
                <w:iCs w:val="1"/>
                <w:color w:val="auto"/>
              </w:rPr>
              <w:t>Restricted</w:t>
            </w:r>
          </w:p>
        </w:tc>
        <w:tc>
          <w:tcPr>
            <w:tcW w:w="362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6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8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800" w:type="dxa"/>
            <w:vAlign w:val="bottom"/>
            <w:shd w:val="clear" w:color="auto" w:fill="C0C0C0"/>
          </w:tcPr>
          <w:p>
            <w:pPr>
              <w:spacing w:after="0"/>
              <w:rPr>
                <w:sz w:val="15"/>
                <w:szCs w:val="15"/>
                <w:color w:val="auto"/>
              </w:rPr>
            </w:pPr>
          </w:p>
        </w:tc>
      </w:tr>
      <w:tr>
        <w:trPr>
          <w:trHeight w:val="169"/>
        </w:trPr>
        <w:tc>
          <w:tcPr>
            <w:tcW w:w="3940" w:type="dxa"/>
            <w:vAlign w:val="bottom"/>
          </w:tcPr>
          <w:p>
            <w:pPr>
              <w:spacing w:after="0"/>
              <w:rPr>
                <w:sz w:val="20"/>
                <w:szCs w:val="20"/>
                <w:color w:val="auto"/>
              </w:rPr>
            </w:pPr>
            <w:r>
              <w:rPr>
                <w:rFonts w:ascii="Arial" w:cs="Arial" w:eastAsia="Arial" w:hAnsi="Arial"/>
                <w:sz w:val="13"/>
                <w:szCs w:val="13"/>
                <w:color w:val="auto"/>
              </w:rPr>
              <w:t>Available-for-sale marketable securities</w:t>
            </w: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394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obligations</w:t>
            </w:r>
          </w:p>
        </w:tc>
        <w:tc>
          <w:tcPr>
            <w:tcW w:w="362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8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7,041</w:t>
            </w: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6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7,041</w:t>
            </w:r>
          </w:p>
        </w:tc>
        <w:tc>
          <w:tcPr>
            <w:tcW w:w="800" w:type="dxa"/>
            <w:vAlign w:val="bottom"/>
            <w:shd w:val="clear" w:color="auto" w:fill="C0C0C0"/>
          </w:tcPr>
          <w:p>
            <w:pPr>
              <w:spacing w:after="0"/>
              <w:rPr>
                <w:sz w:val="15"/>
                <w:szCs w:val="15"/>
                <w:color w:val="auto"/>
              </w:rPr>
            </w:pPr>
          </w:p>
        </w:tc>
      </w:tr>
      <w:tr>
        <w:trPr>
          <w:trHeight w:val="170"/>
        </w:trPr>
        <w:tc>
          <w:tcPr>
            <w:tcW w:w="39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9"/>
        </w:trPr>
        <w:tc>
          <w:tcPr>
            <w:tcW w:w="3940" w:type="dxa"/>
            <w:vAlign w:val="bottom"/>
            <w:shd w:val="clear" w:color="auto" w:fill="C0C0C0"/>
          </w:tcPr>
          <w:p>
            <w:pPr>
              <w:spacing w:after="0"/>
              <w:rPr>
                <w:sz w:val="16"/>
                <w:szCs w:val="16"/>
                <w:color w:val="auto"/>
              </w:rPr>
            </w:pPr>
          </w:p>
        </w:tc>
        <w:tc>
          <w:tcPr>
            <w:tcW w:w="3940" w:type="dxa"/>
            <w:vAlign w:val="bottom"/>
            <w:gridSpan w:val="3"/>
            <w:shd w:val="clear" w:color="auto" w:fill="C0C0C0"/>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471,727</w:t>
            </w:r>
          </w:p>
        </w:tc>
        <w:tc>
          <w:tcPr>
            <w:tcW w:w="1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4,638</w:t>
            </w:r>
          </w:p>
        </w:tc>
        <w:tc>
          <w:tcPr>
            <w:tcW w:w="140" w:type="dxa"/>
            <w:vAlign w:val="bottom"/>
            <w:shd w:val="clear" w:color="auto" w:fill="C0C0C0"/>
          </w:tcPr>
          <w:p>
            <w:pPr>
              <w:spacing w:after="0"/>
              <w:rPr>
                <w:sz w:val="16"/>
                <w:szCs w:val="16"/>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467,089</w:t>
            </w:r>
          </w:p>
        </w:tc>
        <w:tc>
          <w:tcPr>
            <w:tcW w:w="800" w:type="dxa"/>
            <w:vAlign w:val="bottom"/>
            <w:shd w:val="clear" w:color="auto" w:fill="C0C0C0"/>
          </w:tcPr>
          <w:p>
            <w:pPr>
              <w:spacing w:after="0"/>
              <w:rPr>
                <w:sz w:val="16"/>
                <w:szCs w:val="16"/>
                <w:color w:val="auto"/>
              </w:rPr>
            </w:pPr>
          </w:p>
        </w:tc>
      </w:tr>
      <w:tr>
        <w:trPr>
          <w:trHeight w:val="314"/>
        </w:trPr>
        <w:tc>
          <w:tcPr>
            <w:tcW w:w="3940" w:type="dxa"/>
            <w:vAlign w:val="bottom"/>
            <w:tcBorders>
              <w:top w:val="single" w:sz="8" w:color="C0C0C0"/>
            </w:tcBorders>
          </w:tcPr>
          <w:p>
            <w:pPr>
              <w:spacing w:after="0"/>
              <w:rPr>
                <w:sz w:val="24"/>
                <w:szCs w:val="24"/>
                <w:color w:val="auto"/>
              </w:rPr>
            </w:pPr>
          </w:p>
        </w:tc>
        <w:tc>
          <w:tcPr>
            <w:tcW w:w="3620" w:type="dxa"/>
            <w:vAlign w:val="bottom"/>
            <w:tcBorders>
              <w:top w:val="single" w:sz="8" w:color="C0C0C0"/>
            </w:tcBorders>
          </w:tcPr>
          <w:p>
            <w:pPr>
              <w:jc w:val="right"/>
              <w:ind w:right="1697"/>
              <w:spacing w:after="0"/>
              <w:rPr>
                <w:sz w:val="20"/>
                <w:szCs w:val="20"/>
                <w:color w:val="auto"/>
              </w:rPr>
            </w:pPr>
            <w:r>
              <w:rPr>
                <w:rFonts w:ascii="Arial" w:cs="Arial" w:eastAsia="Arial" w:hAnsi="Arial"/>
                <w:sz w:val="13"/>
                <w:szCs w:val="13"/>
                <w:color w:val="auto"/>
              </w:rPr>
              <w:t>11</w:t>
            </w:r>
          </w:p>
        </w:tc>
        <w:tc>
          <w:tcPr>
            <w:tcW w:w="160" w:type="dxa"/>
            <w:vAlign w:val="bottom"/>
            <w:tcBorders>
              <w:top w:val="single" w:sz="8" w:color="C0C0C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800" w:type="dxa"/>
            <w:vAlign w:val="bottom"/>
            <w:tcBorders>
              <w:top w:val="single" w:sz="8" w:color="C0C0C0"/>
            </w:tcBorders>
          </w:tcPr>
          <w:p>
            <w:pPr>
              <w:spacing w:after="0"/>
              <w:rPr>
                <w:sz w:val="24"/>
                <w:szCs w:val="24"/>
                <w:color w:val="auto"/>
              </w:rPr>
            </w:pPr>
          </w:p>
        </w:tc>
      </w:tr>
      <w:tr>
        <w:trPr>
          <w:trHeight w:val="258"/>
        </w:trPr>
        <w:tc>
          <w:tcPr>
            <w:tcW w:w="3940" w:type="dxa"/>
            <w:vAlign w:val="bottom"/>
            <w:tcBorders>
              <w:bottom w:val="single" w:sz="8" w:color="808080"/>
            </w:tcBorders>
          </w:tcPr>
          <w:p>
            <w:pPr>
              <w:spacing w:after="0"/>
              <w:rPr>
                <w:sz w:val="22"/>
                <w:szCs w:val="22"/>
                <w:color w:val="auto"/>
              </w:rPr>
            </w:pPr>
          </w:p>
        </w:tc>
        <w:tc>
          <w:tcPr>
            <w:tcW w:w="362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Condensed Financial Statements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w w:val="91"/>
              </w:rPr>
              <w:t>Fair Value Measurements at Reporting Date Using</w:t>
            </w:r>
          </w:p>
        </w:tc>
      </w:tr>
      <w:tr>
        <w:trPr>
          <w:trHeight w:val="159"/>
        </w:trPr>
        <w:tc>
          <w:tcPr>
            <w:tcW w:w="7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Quoted Prices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Significant</w:t>
            </w:r>
          </w:p>
        </w:tc>
        <w:tc>
          <w:tcPr>
            <w:tcW w:w="760" w:type="dxa"/>
            <w:vAlign w:val="bottom"/>
          </w:tcPr>
          <w:p>
            <w:pPr>
              <w:spacing w:after="0"/>
              <w:rPr>
                <w:sz w:val="13"/>
                <w:szCs w:val="13"/>
                <w:color w:val="auto"/>
              </w:rPr>
            </w:pPr>
          </w:p>
        </w:tc>
      </w:tr>
      <w:tr>
        <w:trPr>
          <w:trHeight w:val="174"/>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in Active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Significant</w:t>
            </w:r>
          </w:p>
        </w:tc>
      </w:tr>
      <w:tr>
        <w:trPr>
          <w:trHeight w:val="175"/>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Markets for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Observable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Unobservable</w:t>
            </w:r>
          </w:p>
        </w:tc>
      </w:tr>
      <w:tr>
        <w:trPr>
          <w:trHeight w:val="175"/>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Identical Assets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Inputs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Inputs</w:t>
            </w:r>
          </w:p>
        </w:tc>
      </w:tr>
      <w:tr>
        <w:trPr>
          <w:trHeight w:val="180"/>
        </w:trPr>
        <w:tc>
          <w:tcPr>
            <w:tcW w:w="7520" w:type="dxa"/>
            <w:vAlign w:val="bottom"/>
          </w:tcPr>
          <w:p>
            <w:pPr>
              <w:spacing w:after="0"/>
              <w:rPr>
                <w:sz w:val="20"/>
                <w:szCs w:val="20"/>
                <w:color w:val="auto"/>
              </w:rPr>
            </w:pPr>
            <w:r>
              <w:rPr>
                <w:rFonts w:ascii="Arial" w:cs="Arial" w:eastAsia="Arial" w:hAnsi="Arial"/>
                <w:sz w:val="13"/>
                <w:szCs w:val="13"/>
                <w:b w:val="1"/>
                <w:bCs w:val="1"/>
                <w:color w:val="auto"/>
              </w:rPr>
              <w:t>At December 31, 2010</w:t>
            </w:r>
          </w:p>
        </w:tc>
        <w:tc>
          <w:tcPr>
            <w:tcW w:w="2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0"/>
              </w:rPr>
              <w:t>Fair Value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(Level 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(Level 2)</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(Level 3)</w:t>
            </w:r>
          </w:p>
        </w:tc>
      </w:tr>
      <w:tr>
        <w:trPr>
          <w:trHeight w:val="170"/>
        </w:trPr>
        <w:tc>
          <w:tcPr>
            <w:tcW w:w="75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3"/>
                <w:szCs w:val="13"/>
                <w:i w:val="1"/>
                <w:iCs w:val="1"/>
                <w:color w:val="auto"/>
              </w:rPr>
              <w:t>Unrestricted</w:t>
            </w:r>
          </w:p>
        </w:tc>
        <w:tc>
          <w:tcPr>
            <w:tcW w:w="220" w:type="dxa"/>
            <w:vAlign w:val="bottom"/>
            <w:tcBorders>
              <w:top w:val="single" w:sz="8" w:color="C0C0C0"/>
              <w:right w:val="single" w:sz="8" w:color="C0C0C0"/>
            </w:tcBorders>
            <w:shd w:val="clear" w:color="auto" w:fill="C0C0C0"/>
          </w:tcPr>
          <w:p>
            <w:pPr>
              <w:spacing w:after="0"/>
              <w:rPr>
                <w:sz w:val="14"/>
                <w:szCs w:val="14"/>
                <w:color w:val="auto"/>
              </w:rPr>
            </w:pPr>
          </w:p>
        </w:tc>
        <w:tc>
          <w:tcPr>
            <w:tcW w:w="640" w:type="dxa"/>
            <w:vAlign w:val="bottom"/>
            <w:tcBorders>
              <w:top w:val="single" w:sz="8" w:color="auto"/>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auto"/>
            </w:tcBorders>
            <w:shd w:val="clear" w:color="auto" w:fill="C0C0C0"/>
          </w:tcPr>
          <w:p>
            <w:pPr>
              <w:spacing w:after="0"/>
              <w:rPr>
                <w:sz w:val="14"/>
                <w:szCs w:val="14"/>
                <w:color w:val="auto"/>
              </w:rPr>
            </w:pPr>
          </w:p>
        </w:tc>
        <w:tc>
          <w:tcPr>
            <w:tcW w:w="920" w:type="dxa"/>
            <w:vAlign w:val="bottom"/>
            <w:tcBorders>
              <w:top w:val="single" w:sz="8" w:color="auto"/>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80" w:type="dxa"/>
            <w:vAlign w:val="bottom"/>
            <w:tcBorders>
              <w:top w:val="single" w:sz="8" w:color="C0C0C0"/>
            </w:tcBorders>
            <w:shd w:val="clear" w:color="auto" w:fill="C0C0C0"/>
          </w:tcPr>
          <w:p>
            <w:pPr>
              <w:spacing w:after="0"/>
              <w:rPr>
                <w:sz w:val="14"/>
                <w:szCs w:val="14"/>
                <w:color w:val="auto"/>
              </w:rPr>
            </w:pPr>
          </w:p>
        </w:tc>
        <w:tc>
          <w:tcPr>
            <w:tcW w:w="100" w:type="dxa"/>
            <w:vAlign w:val="bottom"/>
            <w:tcBorders>
              <w:top w:val="single" w:sz="8" w:color="auto"/>
            </w:tcBorders>
            <w:shd w:val="clear" w:color="auto" w:fill="C0C0C0"/>
          </w:tcPr>
          <w:p>
            <w:pPr>
              <w:spacing w:after="0"/>
              <w:rPr>
                <w:sz w:val="14"/>
                <w:szCs w:val="14"/>
                <w:color w:val="auto"/>
              </w:rPr>
            </w:pPr>
          </w:p>
        </w:tc>
        <w:tc>
          <w:tcPr>
            <w:tcW w:w="760" w:type="dxa"/>
            <w:vAlign w:val="bottom"/>
            <w:tcBorders>
              <w:top w:val="single" w:sz="8" w:color="auto"/>
            </w:tcBorders>
            <w:shd w:val="clear" w:color="auto" w:fill="C0C0C0"/>
          </w:tcPr>
          <w:p>
            <w:pPr>
              <w:spacing w:after="0"/>
              <w:rPr>
                <w:sz w:val="14"/>
                <w:szCs w:val="14"/>
                <w:color w:val="auto"/>
              </w:rPr>
            </w:pPr>
          </w:p>
        </w:tc>
        <w:tc>
          <w:tcPr>
            <w:tcW w:w="160" w:type="dxa"/>
            <w:vAlign w:val="bottom"/>
            <w:tcBorders>
              <w:top w:val="single" w:sz="8" w:color="C0C0C0"/>
            </w:tcBorders>
            <w:shd w:val="clear" w:color="auto" w:fill="C0C0C0"/>
          </w:tcPr>
          <w:p>
            <w:pPr>
              <w:spacing w:after="0"/>
              <w:rPr>
                <w:sz w:val="14"/>
                <w:szCs w:val="14"/>
                <w:color w:val="auto"/>
              </w:rPr>
            </w:pPr>
          </w:p>
        </w:tc>
        <w:tc>
          <w:tcPr>
            <w:tcW w:w="760" w:type="dxa"/>
            <w:vAlign w:val="bottom"/>
            <w:tcBorders>
              <w:top w:val="single" w:sz="8" w:color="auto"/>
            </w:tcBorders>
            <w:shd w:val="clear" w:color="auto" w:fill="C0C0C0"/>
          </w:tcPr>
          <w:p>
            <w:pPr>
              <w:spacing w:after="0"/>
              <w:rPr>
                <w:sz w:val="14"/>
                <w:szCs w:val="14"/>
                <w:color w:val="auto"/>
              </w:rPr>
            </w:pPr>
          </w:p>
        </w:tc>
      </w:tr>
      <w:tr>
        <w:trPr>
          <w:trHeight w:val="169"/>
        </w:trPr>
        <w:tc>
          <w:tcPr>
            <w:tcW w:w="7520" w:type="dxa"/>
            <w:vAlign w:val="bottom"/>
          </w:tcPr>
          <w:p>
            <w:pPr>
              <w:spacing w:after="0"/>
              <w:rPr>
                <w:sz w:val="20"/>
                <w:szCs w:val="20"/>
                <w:color w:val="auto"/>
              </w:rPr>
            </w:pPr>
            <w:r>
              <w:rPr>
                <w:rFonts w:ascii="Arial" w:cs="Arial" w:eastAsia="Arial" w:hAnsi="Arial"/>
                <w:sz w:val="13"/>
                <w:szCs w:val="13"/>
                <w:color w:val="auto"/>
              </w:rPr>
              <w:t>Available-for-sale marketable securities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0"/>
        </w:trPr>
        <w:tc>
          <w:tcPr>
            <w:tcW w:w="752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obligations</w:t>
            </w:r>
          </w:p>
        </w:tc>
        <w:tc>
          <w:tcPr>
            <w:tcW w:w="2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434,367</w:t>
            </w: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92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180" w:type="dxa"/>
            <w:vAlign w:val="bottom"/>
            <w:gridSpan w:val="2"/>
            <w:shd w:val="clear" w:color="auto" w:fill="C0C0C0"/>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434,367</w:t>
            </w:r>
          </w:p>
        </w:tc>
        <w:tc>
          <w:tcPr>
            <w:tcW w:w="760" w:type="dxa"/>
            <w:vAlign w:val="bottom"/>
            <w:shd w:val="clear" w:color="auto" w:fill="C0C0C0"/>
          </w:tcPr>
          <w:p>
            <w:pPr>
              <w:spacing w:after="0"/>
              <w:rPr>
                <w:sz w:val="15"/>
                <w:szCs w:val="15"/>
                <w:color w:val="auto"/>
              </w:rPr>
            </w:pPr>
          </w:p>
        </w:tc>
      </w:tr>
      <w:tr>
        <w:trPr>
          <w:trHeight w:val="164"/>
        </w:trPr>
        <w:tc>
          <w:tcPr>
            <w:tcW w:w="7520" w:type="dxa"/>
            <w:vAlign w:val="bottom"/>
          </w:tcPr>
          <w:p>
            <w:pPr>
              <w:ind w:left="220"/>
              <w:spacing w:after="0"/>
              <w:rPr>
                <w:sz w:val="20"/>
                <w:szCs w:val="20"/>
                <w:color w:val="auto"/>
              </w:rPr>
            </w:pPr>
            <w:r>
              <w:rPr>
                <w:rFonts w:ascii="Arial" w:cs="Arial" w:eastAsia="Arial" w:hAnsi="Arial"/>
                <w:sz w:val="13"/>
                <w:szCs w:val="13"/>
                <w:color w:val="auto"/>
              </w:rPr>
              <w:t>U.S. government guaranteed corporate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0"/>
        </w:trPr>
        <w:tc>
          <w:tcPr>
            <w:tcW w:w="7520" w:type="dxa"/>
            <w:vAlign w:val="bottom"/>
          </w:tcPr>
          <w:p>
            <w:pPr>
              <w:ind w:left="440"/>
              <w:spacing w:after="0"/>
              <w:rPr>
                <w:sz w:val="20"/>
                <w:szCs w:val="20"/>
                <w:color w:val="auto"/>
              </w:rPr>
            </w:pPr>
            <w:r>
              <w:rPr>
                <w:rFonts w:ascii="Arial" w:cs="Arial" w:eastAsia="Arial" w:hAnsi="Arial"/>
                <w:sz w:val="13"/>
                <w:szCs w:val="13"/>
                <w:color w:val="auto"/>
              </w:rPr>
              <w:t>bonds</w:t>
            </w:r>
          </w:p>
        </w:tc>
        <w:tc>
          <w:tcPr>
            <w:tcW w:w="2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64,008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64,008</w:t>
            </w:r>
          </w:p>
        </w:tc>
        <w:tc>
          <w:tcPr>
            <w:tcW w:w="760" w:type="dxa"/>
            <w:vAlign w:val="bottom"/>
          </w:tcPr>
          <w:p>
            <w:pPr>
              <w:spacing w:after="0"/>
              <w:rPr>
                <w:sz w:val="15"/>
                <w:szCs w:val="15"/>
                <w:color w:val="auto"/>
              </w:rPr>
            </w:pPr>
          </w:p>
        </w:tc>
      </w:tr>
      <w:tr>
        <w:trPr>
          <w:trHeight w:val="169"/>
        </w:trPr>
        <w:tc>
          <w:tcPr>
            <w:tcW w:w="752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guaranteed</w:t>
            </w:r>
          </w:p>
        </w:tc>
        <w:tc>
          <w:tcPr>
            <w:tcW w:w="220" w:type="dxa"/>
            <w:vAlign w:val="bottom"/>
            <w:tcBorders>
              <w:right w:val="single" w:sz="8" w:color="C0C0C0"/>
            </w:tcBorders>
            <w:shd w:val="clear" w:color="auto" w:fill="C0C0C0"/>
          </w:tcPr>
          <w:p>
            <w:pPr>
              <w:spacing w:after="0"/>
              <w:rPr>
                <w:sz w:val="14"/>
                <w:szCs w:val="14"/>
                <w:color w:val="auto"/>
              </w:rPr>
            </w:pPr>
          </w:p>
        </w:tc>
        <w:tc>
          <w:tcPr>
            <w:tcW w:w="64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7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760" w:type="dxa"/>
            <w:vAlign w:val="bottom"/>
            <w:shd w:val="clear" w:color="auto" w:fill="C0C0C0"/>
          </w:tcPr>
          <w:p>
            <w:pPr>
              <w:spacing w:after="0"/>
              <w:rPr>
                <w:sz w:val="14"/>
                <w:szCs w:val="14"/>
                <w:color w:val="auto"/>
              </w:rPr>
            </w:pPr>
          </w:p>
        </w:tc>
      </w:tr>
      <w:tr>
        <w:trPr>
          <w:trHeight w:val="185"/>
        </w:trPr>
        <w:tc>
          <w:tcPr>
            <w:tcW w:w="7520" w:type="dxa"/>
            <w:vAlign w:val="bottom"/>
            <w:shd w:val="clear" w:color="auto" w:fill="C0C0C0"/>
          </w:tcPr>
          <w:p>
            <w:pPr>
              <w:ind w:left="440"/>
              <w:spacing w:after="0"/>
              <w:rPr>
                <w:sz w:val="20"/>
                <w:szCs w:val="20"/>
                <w:color w:val="auto"/>
              </w:rPr>
            </w:pPr>
            <w:r>
              <w:rPr>
                <w:rFonts w:ascii="Arial" w:cs="Arial" w:eastAsia="Arial" w:hAnsi="Arial"/>
                <w:sz w:val="13"/>
                <w:szCs w:val="13"/>
                <w:color w:val="auto"/>
              </w:rPr>
              <w:t>collateralized mortgage obligations</w:t>
            </w:r>
          </w:p>
        </w:tc>
        <w:tc>
          <w:tcPr>
            <w:tcW w:w="220" w:type="dxa"/>
            <w:vAlign w:val="bottom"/>
            <w:tcBorders>
              <w:right w:val="single" w:sz="8" w:color="C0C0C0"/>
            </w:tcBorders>
            <w:shd w:val="clear" w:color="auto" w:fill="C0C0C0"/>
          </w:tcPr>
          <w:p>
            <w:pPr>
              <w:spacing w:after="0"/>
              <w:rPr>
                <w:sz w:val="16"/>
                <w:szCs w:val="16"/>
                <w:color w:val="auto"/>
              </w:rPr>
            </w:pPr>
          </w:p>
        </w:tc>
        <w:tc>
          <w:tcPr>
            <w:tcW w:w="72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2,131</w:t>
            </w:r>
          </w:p>
        </w:tc>
        <w:tc>
          <w:tcPr>
            <w:tcW w:w="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9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92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2,131</w:t>
            </w:r>
          </w:p>
        </w:tc>
        <w:tc>
          <w:tcPr>
            <w:tcW w:w="760" w:type="dxa"/>
            <w:vAlign w:val="bottom"/>
            <w:shd w:val="clear" w:color="auto" w:fill="C0C0C0"/>
          </w:tcPr>
          <w:p>
            <w:pPr>
              <w:spacing w:after="0"/>
              <w:rPr>
                <w:sz w:val="16"/>
                <w:szCs w:val="16"/>
                <w:color w:val="auto"/>
              </w:rPr>
            </w:pPr>
          </w:p>
        </w:tc>
      </w:tr>
      <w:tr>
        <w:trPr>
          <w:trHeight w:val="169"/>
        </w:trPr>
        <w:tc>
          <w:tcPr>
            <w:tcW w:w="7520" w:type="dxa"/>
            <w:vAlign w:val="bottom"/>
          </w:tcPr>
          <w:p>
            <w:pPr>
              <w:ind w:left="220"/>
              <w:spacing w:after="0"/>
              <w:rPr>
                <w:sz w:val="20"/>
                <w:szCs w:val="20"/>
                <w:color w:val="auto"/>
              </w:rPr>
            </w:pPr>
            <w:r>
              <w:rPr>
                <w:rFonts w:ascii="Arial" w:cs="Arial" w:eastAsia="Arial" w:hAnsi="Arial"/>
                <w:sz w:val="13"/>
                <w:szCs w:val="13"/>
                <w:color w:val="auto"/>
              </w:rPr>
              <w:t>Municipal bonds</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1,603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1,603</w:t>
            </w:r>
          </w:p>
        </w:tc>
        <w:tc>
          <w:tcPr>
            <w:tcW w:w="760" w:type="dxa"/>
            <w:vAlign w:val="bottom"/>
          </w:tcPr>
          <w:p>
            <w:pPr>
              <w:spacing w:after="0"/>
              <w:rPr>
                <w:sz w:val="14"/>
                <w:szCs w:val="14"/>
                <w:color w:val="auto"/>
              </w:rPr>
            </w:pPr>
          </w:p>
        </w:tc>
      </w:tr>
      <w:tr>
        <w:trPr>
          <w:trHeight w:val="180"/>
        </w:trPr>
        <w:tc>
          <w:tcPr>
            <w:tcW w:w="7520" w:type="dxa"/>
            <w:vAlign w:val="bottom"/>
            <w:shd w:val="clear" w:color="auto" w:fill="C0C0C0"/>
          </w:tcPr>
          <w:p>
            <w:pPr>
              <w:ind w:left="220"/>
              <w:spacing w:after="0"/>
              <w:rPr>
                <w:sz w:val="20"/>
                <w:szCs w:val="20"/>
                <w:color w:val="auto"/>
              </w:rPr>
            </w:pPr>
            <w:r>
              <w:rPr>
                <w:rFonts w:ascii="Arial" w:cs="Arial" w:eastAsia="Arial" w:hAnsi="Arial"/>
                <w:sz w:val="13"/>
                <w:szCs w:val="13"/>
                <w:color w:val="auto"/>
              </w:rPr>
              <w:t>Mortgage-backed securities</w:t>
            </w:r>
          </w:p>
        </w:tc>
        <w:tc>
          <w:tcPr>
            <w:tcW w:w="220" w:type="dxa"/>
            <w:vAlign w:val="bottom"/>
            <w:tcBorders>
              <w:right w:val="single" w:sz="8" w:color="C0C0C0"/>
            </w:tcBorders>
            <w:shd w:val="clear" w:color="auto" w:fill="C0C0C0"/>
          </w:tcPr>
          <w:p>
            <w:pPr>
              <w:spacing w:after="0"/>
              <w:rPr>
                <w:sz w:val="15"/>
                <w:szCs w:val="15"/>
                <w:color w:val="auto"/>
              </w:rPr>
            </w:pPr>
          </w:p>
        </w:tc>
        <w:tc>
          <w:tcPr>
            <w:tcW w:w="72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1,128</w:t>
            </w: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92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92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1,128</w:t>
            </w:r>
          </w:p>
        </w:tc>
        <w:tc>
          <w:tcPr>
            <w:tcW w:w="760" w:type="dxa"/>
            <w:vAlign w:val="bottom"/>
            <w:shd w:val="clear" w:color="auto" w:fill="C0C0C0"/>
          </w:tcPr>
          <w:p>
            <w:pPr>
              <w:spacing w:after="0"/>
              <w:rPr>
                <w:sz w:val="15"/>
                <w:szCs w:val="15"/>
                <w:color w:val="auto"/>
              </w:rPr>
            </w:pPr>
          </w:p>
        </w:tc>
      </w:tr>
      <w:tr>
        <w:trPr>
          <w:trHeight w:val="169"/>
        </w:trPr>
        <w:tc>
          <w:tcPr>
            <w:tcW w:w="7520" w:type="dxa"/>
            <w:vAlign w:val="bottom"/>
          </w:tcPr>
          <w:p>
            <w:pPr>
              <w:ind w:left="220"/>
              <w:spacing w:after="0"/>
              <w:rPr>
                <w:sz w:val="20"/>
                <w:szCs w:val="20"/>
                <w:color w:val="auto"/>
              </w:rPr>
            </w:pPr>
            <w:r>
              <w:rPr>
                <w:rFonts w:ascii="Arial" w:cs="Arial" w:eastAsia="Arial" w:hAnsi="Arial"/>
                <w:sz w:val="13"/>
                <w:szCs w:val="13"/>
                <w:color w:val="auto"/>
              </w:rPr>
              <w:t>Equity securities</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3,612</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3,612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7520" w:type="dxa"/>
            <w:vAlign w:val="bottom"/>
            <w:shd w:val="clear" w:color="auto" w:fill="C0C0C0"/>
          </w:tcPr>
          <w:p>
            <w:pPr>
              <w:spacing w:after="0" w:line="20" w:lineRule="exact"/>
              <w:rPr>
                <w:sz w:val="1"/>
                <w:szCs w:val="1"/>
                <w:color w:val="auto"/>
              </w:rPr>
            </w:pPr>
          </w:p>
        </w:tc>
        <w:tc>
          <w:tcPr>
            <w:tcW w:w="220" w:type="dxa"/>
            <w:vAlign w:val="bottom"/>
            <w:tcBorders>
              <w:right w:val="single" w:sz="8" w:color="auto"/>
            </w:tcBorders>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760" w:type="dxa"/>
            <w:vAlign w:val="bottom"/>
            <w:shd w:val="clear" w:color="auto" w:fill="C0C0C0"/>
          </w:tcPr>
          <w:p>
            <w:pPr>
              <w:spacing w:after="0" w:line="20" w:lineRule="exact"/>
              <w:rPr>
                <w:sz w:val="1"/>
                <w:szCs w:val="1"/>
                <w:color w:val="auto"/>
              </w:rPr>
            </w:pPr>
          </w:p>
        </w:tc>
      </w:tr>
      <w:tr>
        <w:trPr>
          <w:trHeight w:val="164"/>
        </w:trPr>
        <w:tc>
          <w:tcPr>
            <w:tcW w:w="7520" w:type="dxa"/>
            <w:vAlign w:val="bottom"/>
            <w:shd w:val="clear" w:color="auto" w:fill="C0C0C0"/>
          </w:tcPr>
          <w:p>
            <w:pPr>
              <w:spacing w:after="0"/>
              <w:rPr>
                <w:sz w:val="14"/>
                <w:szCs w:val="14"/>
                <w:color w:val="auto"/>
              </w:rPr>
            </w:pPr>
          </w:p>
        </w:tc>
        <w:tc>
          <w:tcPr>
            <w:tcW w:w="220" w:type="dxa"/>
            <w:vAlign w:val="bottom"/>
            <w:tcBorders>
              <w:right w:val="single" w:sz="8" w:color="C0C0C0"/>
            </w:tcBorders>
            <w:shd w:val="clear" w:color="auto" w:fill="C0C0C0"/>
          </w:tcPr>
          <w:p>
            <w:pPr>
              <w:spacing w:after="0"/>
              <w:rPr>
                <w:sz w:val="14"/>
                <w:szCs w:val="14"/>
                <w:color w:val="auto"/>
              </w:rPr>
            </w:pPr>
          </w:p>
        </w:tc>
        <w:tc>
          <w:tcPr>
            <w:tcW w:w="72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506,849</w:t>
            </w:r>
          </w:p>
        </w:tc>
        <w:tc>
          <w:tcPr>
            <w:tcW w:w="8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00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3,612</w:t>
            </w:r>
          </w:p>
        </w:tc>
        <w:tc>
          <w:tcPr>
            <w:tcW w:w="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92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503,237</w:t>
            </w:r>
          </w:p>
        </w:tc>
        <w:tc>
          <w:tcPr>
            <w:tcW w:w="760" w:type="dxa"/>
            <w:vAlign w:val="bottom"/>
            <w:shd w:val="clear" w:color="auto" w:fill="C0C0C0"/>
          </w:tcPr>
          <w:p>
            <w:pPr>
              <w:spacing w:after="0"/>
              <w:rPr>
                <w:sz w:val="14"/>
                <w:szCs w:val="14"/>
                <w:color w:val="auto"/>
              </w:rPr>
            </w:pPr>
          </w:p>
        </w:tc>
      </w:tr>
      <w:tr>
        <w:trPr>
          <w:trHeight w:val="170"/>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7520" w:type="dxa"/>
            <w:vAlign w:val="bottom"/>
            <w:shd w:val="clear" w:color="auto" w:fill="C0C0C0"/>
          </w:tcPr>
          <w:p>
            <w:pPr>
              <w:spacing w:after="0"/>
              <w:rPr>
                <w:sz w:val="20"/>
                <w:szCs w:val="20"/>
                <w:color w:val="auto"/>
              </w:rPr>
            </w:pPr>
            <w:r>
              <w:rPr>
                <w:rFonts w:ascii="Arial" w:cs="Arial" w:eastAsia="Arial" w:hAnsi="Arial"/>
                <w:sz w:val="13"/>
                <w:szCs w:val="13"/>
                <w:i w:val="1"/>
                <w:iCs w:val="1"/>
                <w:color w:val="auto"/>
              </w:rPr>
              <w:t>Restricted</w:t>
            </w:r>
          </w:p>
        </w:tc>
        <w:tc>
          <w:tcPr>
            <w:tcW w:w="220" w:type="dxa"/>
            <w:vAlign w:val="bottom"/>
            <w:tcBorders>
              <w:right w:val="single" w:sz="8" w:color="C0C0C0"/>
            </w:tcBorders>
            <w:shd w:val="clear" w:color="auto" w:fill="C0C0C0"/>
          </w:tcPr>
          <w:p>
            <w:pPr>
              <w:spacing w:after="0"/>
              <w:rPr>
                <w:sz w:val="15"/>
                <w:szCs w:val="15"/>
                <w:color w:val="auto"/>
              </w:rPr>
            </w:pPr>
          </w:p>
        </w:tc>
        <w:tc>
          <w:tcPr>
            <w:tcW w:w="6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92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r>
      <w:tr>
        <w:trPr>
          <w:trHeight w:val="169"/>
        </w:trPr>
        <w:tc>
          <w:tcPr>
            <w:tcW w:w="7520" w:type="dxa"/>
            <w:vAlign w:val="bottom"/>
          </w:tcPr>
          <w:p>
            <w:pPr>
              <w:spacing w:after="0"/>
              <w:rPr>
                <w:sz w:val="20"/>
                <w:szCs w:val="20"/>
                <w:color w:val="auto"/>
              </w:rPr>
            </w:pPr>
            <w:r>
              <w:rPr>
                <w:rFonts w:ascii="Arial" w:cs="Arial" w:eastAsia="Arial" w:hAnsi="Arial"/>
                <w:sz w:val="13"/>
                <w:szCs w:val="13"/>
                <w:color w:val="auto"/>
              </w:rPr>
              <w:t>Available-for-sale marketable securities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7520" w:type="dxa"/>
            <w:vAlign w:val="bottom"/>
            <w:shd w:val="clear" w:color="auto" w:fill="C0C0C0"/>
          </w:tcPr>
          <w:p>
            <w:pPr>
              <w:ind w:left="220"/>
              <w:spacing w:after="0"/>
              <w:rPr>
                <w:sz w:val="20"/>
                <w:szCs w:val="20"/>
                <w:color w:val="auto"/>
              </w:rPr>
            </w:pPr>
            <w:r>
              <w:rPr>
                <w:rFonts w:ascii="Arial" w:cs="Arial" w:eastAsia="Arial" w:hAnsi="Arial"/>
                <w:sz w:val="13"/>
                <w:szCs w:val="13"/>
                <w:color w:val="auto"/>
              </w:rPr>
              <w:t>U.S. government obligations</w:t>
            </w:r>
          </w:p>
        </w:tc>
        <w:tc>
          <w:tcPr>
            <w:tcW w:w="220" w:type="dxa"/>
            <w:vAlign w:val="bottom"/>
            <w:tcBorders>
              <w:right w:val="single" w:sz="8" w:color="C0C0C0"/>
            </w:tcBorders>
            <w:shd w:val="clear" w:color="auto" w:fill="C0C0C0"/>
          </w:tcPr>
          <w:p>
            <w:pPr>
              <w:spacing w:after="0"/>
              <w:rPr>
                <w:sz w:val="15"/>
                <w:szCs w:val="15"/>
                <w:color w:val="auto"/>
              </w:rPr>
            </w:pPr>
          </w:p>
        </w:tc>
        <w:tc>
          <w:tcPr>
            <w:tcW w:w="72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7,039</w:t>
            </w: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92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92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7,039</w:t>
            </w:r>
          </w:p>
        </w:tc>
        <w:tc>
          <w:tcPr>
            <w:tcW w:w="760" w:type="dxa"/>
            <w:vAlign w:val="bottom"/>
            <w:shd w:val="clear" w:color="auto" w:fill="C0C0C0"/>
          </w:tcPr>
          <w:p>
            <w:pPr>
              <w:spacing w:after="0"/>
              <w:rPr>
                <w:sz w:val="15"/>
                <w:szCs w:val="15"/>
                <w:color w:val="auto"/>
              </w:rPr>
            </w:pPr>
          </w:p>
        </w:tc>
      </w:tr>
      <w:tr>
        <w:trPr>
          <w:trHeight w:val="170"/>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9"/>
        </w:trPr>
        <w:tc>
          <w:tcPr>
            <w:tcW w:w="7520" w:type="dxa"/>
            <w:vAlign w:val="bottom"/>
            <w:shd w:val="clear" w:color="auto" w:fill="C0C0C0"/>
          </w:tcPr>
          <w:p>
            <w:pPr>
              <w:spacing w:after="0"/>
              <w:rPr>
                <w:sz w:val="14"/>
                <w:szCs w:val="14"/>
                <w:color w:val="auto"/>
              </w:rPr>
            </w:pPr>
          </w:p>
        </w:tc>
        <w:tc>
          <w:tcPr>
            <w:tcW w:w="2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513,888</w:t>
            </w:r>
          </w:p>
        </w:tc>
        <w:tc>
          <w:tcPr>
            <w:tcW w:w="160" w:type="dxa"/>
            <w:vAlign w:val="bottom"/>
            <w:gridSpan w:val="2"/>
            <w:shd w:val="clear" w:color="auto" w:fill="C0C0C0"/>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3,612</w:t>
            </w:r>
          </w:p>
        </w:tc>
        <w:tc>
          <w:tcPr>
            <w:tcW w:w="180" w:type="dxa"/>
            <w:vAlign w:val="bottom"/>
            <w:gridSpan w:val="2"/>
            <w:shd w:val="clear" w:color="auto" w:fill="C0C0C0"/>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510,276</w:t>
            </w:r>
          </w:p>
        </w:tc>
        <w:tc>
          <w:tcPr>
            <w:tcW w:w="760" w:type="dxa"/>
            <w:vAlign w:val="bottom"/>
            <w:shd w:val="clear" w:color="auto" w:fill="C0C0C0"/>
          </w:tcPr>
          <w:p>
            <w:pPr>
              <w:spacing w:after="0"/>
              <w:rPr>
                <w:sz w:val="14"/>
                <w:szCs w:val="14"/>
                <w:color w:val="auto"/>
              </w:rPr>
            </w:pPr>
          </w:p>
        </w:tc>
      </w:tr>
      <w:tr>
        <w:trPr>
          <w:trHeight w:val="25"/>
        </w:trPr>
        <w:tc>
          <w:tcPr>
            <w:tcW w:w="7520" w:type="dxa"/>
            <w:vAlign w:val="bottom"/>
            <w:shd w:val="clear" w:color="auto" w:fill="C0C0C0"/>
          </w:tcPr>
          <w:p>
            <w:pPr>
              <w:spacing w:after="0"/>
              <w:rPr>
                <w:sz w:val="2"/>
                <w:szCs w:val="2"/>
                <w:color w:val="auto"/>
              </w:rPr>
            </w:pPr>
          </w:p>
        </w:tc>
        <w:tc>
          <w:tcPr>
            <w:tcW w:w="220" w:type="dxa"/>
            <w:vAlign w:val="bottom"/>
            <w:tcBorders>
              <w:right w:val="single" w:sz="8" w:color="auto"/>
            </w:tcBorders>
            <w:shd w:val="clear" w:color="auto" w:fill="C0C0C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760" w:type="dxa"/>
            <w:vAlign w:val="bottom"/>
            <w:shd w:val="clear" w:color="auto" w:fill="C0C0C0"/>
          </w:tcPr>
          <w:p>
            <w:pPr>
              <w:spacing w:after="0"/>
              <w:rPr>
                <w:sz w:val="2"/>
                <w:szCs w:val="2"/>
                <w:color w:val="auto"/>
              </w:rPr>
            </w:pPr>
          </w:p>
        </w:tc>
      </w:tr>
    </w:tbl>
    <w:p>
      <w:pPr>
        <w:spacing w:after="0" w:line="188" w:lineRule="exact"/>
        <w:rPr>
          <w:sz w:val="20"/>
          <w:szCs w:val="20"/>
          <w:color w:val="auto"/>
        </w:rPr>
      </w:pPr>
    </w:p>
    <w:p>
      <w:pPr>
        <w:jc w:val="both"/>
        <w:ind w:firstLine="204"/>
        <w:spacing w:after="0" w:line="253" w:lineRule="auto"/>
        <w:rPr>
          <w:sz w:val="20"/>
          <w:szCs w:val="20"/>
          <w:color w:val="auto"/>
        </w:rPr>
      </w:pPr>
      <w:r>
        <w:rPr>
          <w:rFonts w:ascii="Arial" w:cs="Arial" w:eastAsia="Arial" w:hAnsi="Arial"/>
          <w:sz w:val="13"/>
          <w:szCs w:val="13"/>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During the three months ended March 31, 2010, deterioration in the credit quality of a marketable security from one issuer subjected the Company to the risk of not being able to recover a portion of the security’s $1.1 million carrying value. As a result, the Company recognized a $0.1 million impairment charge related to this Level 2 marketable security, which the Company considered to be other-than-temporarily impaired. The Company did not record any charges for other-than-temporary impairment of its Level 2 marketable securities during the three months ended March 31, 2011.</w:t>
      </w:r>
    </w:p>
    <w:p>
      <w:pPr>
        <w:spacing w:after="0" w:line="183" w:lineRule="exact"/>
        <w:rPr>
          <w:sz w:val="20"/>
          <w:szCs w:val="20"/>
          <w:color w:val="auto"/>
        </w:rPr>
      </w:pPr>
    </w:p>
    <w:p>
      <w:pPr>
        <w:jc w:val="both"/>
        <w:ind w:right="20" w:firstLine="194"/>
        <w:spacing w:after="0" w:line="255" w:lineRule="auto"/>
        <w:rPr>
          <w:sz w:val="20"/>
          <w:szCs w:val="20"/>
          <w:color w:val="auto"/>
        </w:rPr>
      </w:pPr>
      <w:r>
        <w:rPr>
          <w:rFonts w:ascii="Arial" w:cs="Arial" w:eastAsia="Arial" w:hAnsi="Arial"/>
          <w:sz w:val="13"/>
          <w:szCs w:val="13"/>
          <w:color w:val="auto"/>
        </w:rPr>
        <w:t>The Company holds one Level 3 marketable security, which had no fair value at March 31, 2011 and December 31, 2010. This Level 3 security was valued using information provided by the Company’s investment advisors and other sources, including quoted bid prices which took into consideration the security’s lack of liquidity. There were no purchases, sales, or maturities of Level 3 marketable securities and no unrealized gains or losses related to Level 3 marketable securities for the three months ended March 31, 2011 and 2010. There were no transfers of marketable securities between Levels 1, 2, or 3 classifications during the three months ended March 31, 2011 and 2010.</w:t>
      </w:r>
    </w:p>
    <w:p>
      <w:pPr>
        <w:spacing w:after="0" w:line="180" w:lineRule="exact"/>
        <w:rPr>
          <w:sz w:val="20"/>
          <w:szCs w:val="20"/>
          <w:color w:val="auto"/>
        </w:rPr>
      </w:pPr>
    </w:p>
    <w:p>
      <w:pPr>
        <w:jc w:val="both"/>
        <w:ind w:right="20" w:firstLine="194"/>
        <w:spacing w:after="0" w:line="289" w:lineRule="auto"/>
        <w:rPr>
          <w:sz w:val="20"/>
          <w:szCs w:val="20"/>
          <w:color w:val="auto"/>
        </w:rPr>
      </w:pPr>
      <w:r>
        <w:rPr>
          <w:rFonts w:ascii="Arial" w:cs="Arial" w:eastAsia="Arial" w:hAnsi="Arial"/>
          <w:sz w:val="12"/>
          <w:szCs w:val="12"/>
          <w:color w:val="auto"/>
        </w:rPr>
        <w:t>On a quarterly basis, the Company reviews its portfolio of marketable securities, using both quantitative and qualitative factors, to determine if declines in fair value below cost are other-than-temporary. With respect to debt securities, this review process also includes an evaluation of the Company’s (a) intent to sell an individual debt security or (b) need to sell the debt security before its anticipated recovery or maturity. With respect to equity securities, this review process includes an evaluation of the Company’s ability and intent to hold the securities until their full value can be recovered.</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Inventory</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Inventories as of March 31, 2011 and December 31, 2010 consist of the following: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Condensed Financial Statements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rPr>
              <w:t>March 31,</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December 31,</w:t>
            </w:r>
          </w:p>
        </w:tc>
      </w:tr>
      <w:tr>
        <w:trPr>
          <w:trHeight w:val="180"/>
        </w:trPr>
        <w:tc>
          <w:tcPr>
            <w:tcW w:w="870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C0C0C0"/>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2010</w:t>
            </w:r>
          </w:p>
        </w:tc>
      </w:tr>
      <w:tr>
        <w:trPr>
          <w:trHeight w:val="170"/>
        </w:trPr>
        <w:tc>
          <w:tcPr>
            <w:tcW w:w="8700" w:type="dxa"/>
            <w:vAlign w:val="bottom"/>
            <w:shd w:val="clear" w:color="auto" w:fill="C0C0C0"/>
          </w:tcPr>
          <w:p>
            <w:pPr>
              <w:spacing w:after="0"/>
              <w:rPr>
                <w:sz w:val="20"/>
                <w:szCs w:val="20"/>
                <w:color w:val="auto"/>
              </w:rPr>
            </w:pPr>
            <w:r>
              <w:rPr>
                <w:rFonts w:ascii="Arial" w:cs="Arial" w:eastAsia="Arial" w:hAnsi="Arial"/>
                <w:sz w:val="13"/>
                <w:szCs w:val="13"/>
                <w:color w:val="auto"/>
              </w:rPr>
              <w:t>Raw materials</w:t>
            </w:r>
          </w:p>
        </w:tc>
        <w:tc>
          <w:tcPr>
            <w:tcW w:w="120" w:type="dxa"/>
            <w:vAlign w:val="bottom"/>
            <w:shd w:val="clear" w:color="auto" w:fill="C0C0C0"/>
          </w:tcPr>
          <w:p>
            <w:pPr>
              <w:jc w:val="right"/>
              <w:ind w:right="7"/>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162</w:t>
            </w:r>
          </w:p>
        </w:tc>
        <w:tc>
          <w:tcPr>
            <w:tcW w:w="140" w:type="dxa"/>
            <w:vAlign w:val="bottom"/>
            <w:shd w:val="clear" w:color="auto" w:fill="C0C0C0"/>
          </w:tcPr>
          <w:p>
            <w:pPr>
              <w:spacing w:after="0"/>
              <w:rPr>
                <w:sz w:val="14"/>
                <w:szCs w:val="14"/>
                <w:color w:val="auto"/>
              </w:rPr>
            </w:pPr>
          </w:p>
        </w:tc>
        <w:tc>
          <w:tcPr>
            <w:tcW w:w="1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592</w:t>
            </w:r>
          </w:p>
        </w:tc>
      </w:tr>
      <w:tr>
        <w:trPr>
          <w:trHeight w:val="169"/>
        </w:trPr>
        <w:tc>
          <w:tcPr>
            <w:tcW w:w="8700" w:type="dxa"/>
            <w:vAlign w:val="bottom"/>
          </w:tcPr>
          <w:p>
            <w:pPr>
              <w:spacing w:after="0"/>
              <w:rPr>
                <w:sz w:val="20"/>
                <w:szCs w:val="20"/>
                <w:color w:val="auto"/>
              </w:rPr>
            </w:pPr>
            <w:r>
              <w:rPr>
                <w:rFonts w:ascii="Arial" w:cs="Arial" w:eastAsia="Arial" w:hAnsi="Arial"/>
                <w:sz w:val="13"/>
                <w:szCs w:val="13"/>
                <w:color w:val="auto"/>
              </w:rPr>
              <w:t>Work in process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3,634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699</w:t>
            </w:r>
          </w:p>
        </w:tc>
      </w:tr>
      <w:tr>
        <w:trPr>
          <w:trHeight w:val="175"/>
        </w:trPr>
        <w:tc>
          <w:tcPr>
            <w:tcW w:w="8700" w:type="dxa"/>
            <w:vAlign w:val="bottom"/>
            <w:shd w:val="clear" w:color="auto" w:fill="C0C0C0"/>
          </w:tcPr>
          <w:p>
            <w:pPr>
              <w:spacing w:after="0"/>
              <w:rPr>
                <w:sz w:val="20"/>
                <w:szCs w:val="20"/>
                <w:color w:val="auto"/>
              </w:rPr>
            </w:pPr>
            <w:r>
              <w:rPr>
                <w:rFonts w:ascii="Arial" w:cs="Arial" w:eastAsia="Arial" w:hAnsi="Arial"/>
                <w:sz w:val="13"/>
                <w:szCs w:val="13"/>
                <w:color w:val="auto"/>
              </w:rPr>
              <w:t>Finished goods</w:t>
            </w:r>
          </w:p>
        </w:tc>
        <w:tc>
          <w:tcPr>
            <w:tcW w:w="120" w:type="dxa"/>
            <w:vAlign w:val="bottom"/>
            <w:tcBorders>
              <w:bottom w:val="single" w:sz="8" w:color="auto"/>
            </w:tcBorders>
            <w:shd w:val="clear" w:color="auto" w:fill="C0C0C0"/>
          </w:tcPr>
          <w:p>
            <w:pPr>
              <w:spacing w:after="0"/>
              <w:rPr>
                <w:sz w:val="15"/>
                <w:szCs w:val="15"/>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85</w:t>
            </w:r>
          </w:p>
        </w:tc>
        <w:tc>
          <w:tcPr>
            <w:tcW w:w="140" w:type="dxa"/>
            <w:vAlign w:val="bottom"/>
            <w:shd w:val="clear" w:color="auto" w:fill="C0C0C0"/>
          </w:tcPr>
          <w:p>
            <w:pPr>
              <w:spacing w:after="0"/>
              <w:rPr>
                <w:sz w:val="15"/>
                <w:szCs w:val="15"/>
                <w:color w:val="auto"/>
              </w:rPr>
            </w:pPr>
          </w:p>
        </w:tc>
        <w:tc>
          <w:tcPr>
            <w:tcW w:w="180" w:type="dxa"/>
            <w:vAlign w:val="bottom"/>
            <w:tcBorders>
              <w:bottom w:val="single" w:sz="8" w:color="auto"/>
            </w:tcBorders>
            <w:shd w:val="clear" w:color="auto" w:fill="C0C0C0"/>
          </w:tcPr>
          <w:p>
            <w:pPr>
              <w:spacing w:after="0"/>
              <w:rPr>
                <w:sz w:val="15"/>
                <w:szCs w:val="15"/>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132</w:t>
            </w:r>
          </w:p>
        </w:tc>
      </w:tr>
      <w:tr>
        <w:trPr>
          <w:trHeight w:val="169"/>
        </w:trPr>
        <w:tc>
          <w:tcPr>
            <w:tcW w:w="8700" w:type="dxa"/>
            <w:vAlign w:val="bottom"/>
          </w:tcPr>
          <w:p>
            <w:pPr>
              <w:spacing w:after="0"/>
              <w:rPr>
                <w:sz w:val="14"/>
                <w:szCs w:val="14"/>
                <w:color w:val="auto"/>
              </w:rPr>
            </w:pPr>
          </w:p>
        </w:tc>
        <w:tc>
          <w:tcPr>
            <w:tcW w:w="120" w:type="dxa"/>
            <w:vAlign w:val="bottom"/>
            <w:tcBorders>
              <w:bottom w:val="single" w:sz="8" w:color="auto"/>
            </w:tcBorders>
          </w:tcPr>
          <w:p>
            <w:pPr>
              <w:jc w:val="right"/>
              <w:ind w:right="7"/>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3,881</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1,423</w:t>
            </w:r>
          </w:p>
        </w:tc>
      </w:tr>
    </w:tbl>
    <w:p>
      <w:pPr>
        <w:spacing w:after="0" w:line="188" w:lineRule="exact"/>
        <w:rPr>
          <w:sz w:val="20"/>
          <w:szCs w:val="20"/>
          <w:color w:val="auto"/>
        </w:rPr>
      </w:pPr>
    </w:p>
    <w:p>
      <w:pPr>
        <w:jc w:val="both"/>
        <w:ind w:right="20" w:firstLine="204"/>
        <w:spacing w:after="0" w:line="266" w:lineRule="auto"/>
        <w:rPr>
          <w:sz w:val="20"/>
          <w:szCs w:val="20"/>
          <w:color w:val="auto"/>
        </w:rPr>
      </w:pPr>
      <w:r>
        <w:rPr>
          <w:rFonts w:ascii="Arial" w:cs="Arial" w:eastAsia="Arial" w:hAnsi="Arial"/>
          <w:sz w:val="13"/>
          <w:szCs w:val="13"/>
          <w:color w:val="auto"/>
        </w:rPr>
        <w:t>At March 31, 2011, $0.1 million of inventories were included in prepaid expenses and other current assets and $3.8 million of inventories were included in other assets. At December 31, 2010, inventories were included in prepaid expenses and other current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80" w:type="dxa"/>
            <w:vAlign w:val="bottom"/>
          </w:tcPr>
          <w:p>
            <w:pPr>
              <w:spacing w:after="0"/>
              <w:rPr>
                <w:sz w:val="20"/>
                <w:szCs w:val="20"/>
                <w:color w:val="auto"/>
              </w:rPr>
            </w:pPr>
            <w:r>
              <w:rPr>
                <w:rFonts w:ascii="Arial" w:cs="Arial" w:eastAsia="Arial" w:hAnsi="Arial"/>
                <w:sz w:val="13"/>
                <w:szCs w:val="13"/>
                <w:b w:val="1"/>
                <w:bCs w:val="1"/>
                <w:color w:val="auto"/>
              </w:rPr>
              <w:t>7. Accounts Payable and Accrued Expenses</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49"/>
        </w:trPr>
        <w:tc>
          <w:tcPr>
            <w:tcW w:w="7280" w:type="dxa"/>
            <w:vAlign w:val="bottom"/>
          </w:tcPr>
          <w:p>
            <w:pPr>
              <w:ind w:left="200"/>
              <w:spacing w:after="0"/>
              <w:rPr>
                <w:sz w:val="20"/>
                <w:szCs w:val="20"/>
                <w:color w:val="auto"/>
              </w:rPr>
            </w:pPr>
            <w:r>
              <w:rPr>
                <w:rFonts w:ascii="Arial" w:cs="Arial" w:eastAsia="Arial" w:hAnsi="Arial"/>
                <w:sz w:val="13"/>
                <w:szCs w:val="13"/>
                <w:color w:val="auto"/>
              </w:rPr>
              <w:t>Accounts payable and accrued expenses as of March 31, 2011 and December 31, 2010 consist of the following:</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0"/>
        </w:trPr>
        <w:tc>
          <w:tcPr>
            <w:tcW w:w="7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March 31,</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December 31,</w:t>
            </w:r>
          </w:p>
        </w:tc>
      </w:tr>
      <w:tr>
        <w:trPr>
          <w:trHeight w:val="180"/>
        </w:trPr>
        <w:tc>
          <w:tcPr>
            <w:tcW w:w="7280" w:type="dxa"/>
            <w:vAlign w:val="bottom"/>
            <w:tcBorders>
              <w:bottom w:val="single" w:sz="8" w:color="C0C0C0"/>
            </w:tcBorders>
          </w:tcPr>
          <w:p>
            <w:pPr>
              <w:spacing w:after="0"/>
              <w:rPr>
                <w:sz w:val="15"/>
                <w:szCs w:val="15"/>
                <w:color w:val="auto"/>
              </w:rPr>
            </w:pPr>
          </w:p>
        </w:tc>
        <w:tc>
          <w:tcPr>
            <w:tcW w:w="148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6"/>
              </w:rPr>
              <w:t>2011</w:t>
            </w:r>
          </w:p>
        </w:tc>
        <w:tc>
          <w:tcPr>
            <w:tcW w:w="140" w:type="dxa"/>
            <w:vAlign w:val="bottom"/>
            <w:tcBorders>
              <w:bottom w:val="single" w:sz="8" w:color="C0C0C0"/>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2010</w:t>
            </w:r>
          </w:p>
        </w:tc>
      </w:tr>
      <w:tr>
        <w:trPr>
          <w:trHeight w:val="170"/>
        </w:trPr>
        <w:tc>
          <w:tcPr>
            <w:tcW w:w="7280" w:type="dxa"/>
            <w:vAlign w:val="bottom"/>
            <w:shd w:val="clear" w:color="auto" w:fill="C0C0C0"/>
          </w:tcPr>
          <w:p>
            <w:pPr>
              <w:spacing w:after="0"/>
              <w:rPr>
                <w:sz w:val="20"/>
                <w:szCs w:val="20"/>
                <w:color w:val="auto"/>
              </w:rPr>
            </w:pPr>
            <w:r>
              <w:rPr>
                <w:rFonts w:ascii="Arial" w:cs="Arial" w:eastAsia="Arial" w:hAnsi="Arial"/>
                <w:sz w:val="13"/>
                <w:szCs w:val="13"/>
                <w:color w:val="auto"/>
              </w:rPr>
              <w:t>Accounts payable</w:t>
            </w:r>
          </w:p>
        </w:tc>
        <w:tc>
          <w:tcPr>
            <w:tcW w:w="16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16,146</w:t>
            </w:r>
          </w:p>
        </w:tc>
        <w:tc>
          <w:tcPr>
            <w:tcW w:w="140" w:type="dxa"/>
            <w:vAlign w:val="bottom"/>
            <w:shd w:val="clear" w:color="auto" w:fill="C0C0C0"/>
          </w:tcPr>
          <w:p>
            <w:pPr>
              <w:spacing w:after="0"/>
              <w:rPr>
                <w:sz w:val="14"/>
                <w:szCs w:val="14"/>
                <w:color w:val="auto"/>
              </w:rPr>
            </w:pPr>
          </w:p>
        </w:tc>
        <w:tc>
          <w:tcPr>
            <w:tcW w:w="1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15,589</w:t>
            </w:r>
          </w:p>
        </w:tc>
      </w:tr>
      <w:tr>
        <w:trPr>
          <w:trHeight w:val="169"/>
        </w:trPr>
        <w:tc>
          <w:tcPr>
            <w:tcW w:w="7280" w:type="dxa"/>
            <w:vAlign w:val="bottom"/>
          </w:tcPr>
          <w:p>
            <w:pPr>
              <w:spacing w:after="0"/>
              <w:rPr>
                <w:sz w:val="20"/>
                <w:szCs w:val="20"/>
                <w:color w:val="auto"/>
              </w:rPr>
            </w:pPr>
            <w:r>
              <w:rPr>
                <w:rFonts w:ascii="Arial" w:cs="Arial" w:eastAsia="Arial" w:hAnsi="Arial"/>
                <w:sz w:val="13"/>
                <w:szCs w:val="13"/>
                <w:color w:val="auto"/>
              </w:rPr>
              <w:t>Accrued payroll and related costs</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20,039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12,025</w:t>
            </w:r>
          </w:p>
        </w:tc>
      </w:tr>
      <w:tr>
        <w:trPr>
          <w:trHeight w:val="180"/>
        </w:trPr>
        <w:tc>
          <w:tcPr>
            <w:tcW w:w="7280" w:type="dxa"/>
            <w:vAlign w:val="bottom"/>
            <w:shd w:val="clear" w:color="auto" w:fill="C0C0C0"/>
          </w:tcPr>
          <w:p>
            <w:pPr>
              <w:spacing w:after="0"/>
              <w:rPr>
                <w:sz w:val="20"/>
                <w:szCs w:val="20"/>
                <w:color w:val="auto"/>
              </w:rPr>
            </w:pPr>
            <w:r>
              <w:rPr>
                <w:rFonts w:ascii="Arial" w:cs="Arial" w:eastAsia="Arial" w:hAnsi="Arial"/>
                <w:sz w:val="13"/>
                <w:szCs w:val="13"/>
                <w:color w:val="auto"/>
              </w:rPr>
              <w:t>Accrued clinical trial expense</w:t>
            </w:r>
          </w:p>
        </w:tc>
        <w:tc>
          <w:tcPr>
            <w:tcW w:w="148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8,606</w:t>
            </w:r>
          </w:p>
        </w:tc>
        <w:tc>
          <w:tcPr>
            <w:tcW w:w="1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9,727</w:t>
            </w:r>
          </w:p>
        </w:tc>
      </w:tr>
      <w:tr>
        <w:trPr>
          <w:trHeight w:val="169"/>
        </w:trPr>
        <w:tc>
          <w:tcPr>
            <w:tcW w:w="7280" w:type="dxa"/>
            <w:vAlign w:val="bottom"/>
          </w:tcPr>
          <w:p>
            <w:pPr>
              <w:spacing w:after="0"/>
              <w:rPr>
                <w:sz w:val="20"/>
                <w:szCs w:val="20"/>
                <w:color w:val="auto"/>
              </w:rPr>
            </w:pPr>
            <w:r>
              <w:rPr>
                <w:rFonts w:ascii="Arial" w:cs="Arial" w:eastAsia="Arial" w:hAnsi="Arial"/>
                <w:sz w:val="13"/>
                <w:szCs w:val="13"/>
                <w:color w:val="auto"/>
              </w:rPr>
              <w:t>Accrued property, plant, and equipment costs</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3,940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7,622</w:t>
            </w:r>
          </w:p>
        </w:tc>
      </w:tr>
      <w:tr>
        <w:trPr>
          <w:trHeight w:val="180"/>
        </w:trPr>
        <w:tc>
          <w:tcPr>
            <w:tcW w:w="7280" w:type="dxa"/>
            <w:vAlign w:val="bottom"/>
            <w:shd w:val="clear" w:color="auto" w:fill="C0C0C0"/>
          </w:tcPr>
          <w:p>
            <w:pPr>
              <w:spacing w:after="0"/>
              <w:rPr>
                <w:sz w:val="20"/>
                <w:szCs w:val="20"/>
                <w:color w:val="auto"/>
              </w:rPr>
            </w:pPr>
            <w:r>
              <w:rPr>
                <w:rFonts w:ascii="Arial" w:cs="Arial" w:eastAsia="Arial" w:hAnsi="Arial"/>
                <w:sz w:val="13"/>
                <w:szCs w:val="13"/>
                <w:color w:val="auto"/>
              </w:rPr>
              <w:t>Other accrued expenses and liabilities</w:t>
            </w:r>
          </w:p>
        </w:tc>
        <w:tc>
          <w:tcPr>
            <w:tcW w:w="148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7,112</w:t>
            </w:r>
          </w:p>
        </w:tc>
        <w:tc>
          <w:tcPr>
            <w:tcW w:w="1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6,441</w:t>
            </w:r>
          </w:p>
        </w:tc>
      </w:tr>
      <w:tr>
        <w:trPr>
          <w:trHeight w:val="169"/>
        </w:trPr>
        <w:tc>
          <w:tcPr>
            <w:tcW w:w="7280" w:type="dxa"/>
            <w:vAlign w:val="bottom"/>
            <w:tcBorders>
              <w:bottom w:val="single" w:sz="8" w:color="C0C0C0"/>
            </w:tcBorders>
          </w:tcPr>
          <w:p>
            <w:pPr>
              <w:spacing w:after="0"/>
              <w:rPr>
                <w:sz w:val="20"/>
                <w:szCs w:val="20"/>
                <w:color w:val="auto"/>
              </w:rPr>
            </w:pPr>
            <w:r>
              <w:rPr>
                <w:rFonts w:ascii="Arial" w:cs="Arial" w:eastAsia="Arial" w:hAnsi="Arial"/>
                <w:sz w:val="13"/>
                <w:szCs w:val="13"/>
                <w:color w:val="auto"/>
              </w:rPr>
              <w:t>Payable to Bayer HealthCare</w:t>
            </w:r>
          </w:p>
        </w:tc>
        <w:tc>
          <w:tcPr>
            <w:tcW w:w="1480" w:type="dxa"/>
            <w:vAlign w:val="bottom"/>
            <w:tcBorders>
              <w:bottom w:val="single" w:sz="8" w:color="C0C0C0"/>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2,759</w:t>
            </w:r>
          </w:p>
        </w:tc>
        <w:tc>
          <w:tcPr>
            <w:tcW w:w="140" w:type="dxa"/>
            <w:vAlign w:val="bottom"/>
            <w:tcBorders>
              <w:bottom w:val="single" w:sz="8" w:color="C0C0C0"/>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2,254</w:t>
            </w:r>
          </w:p>
        </w:tc>
      </w:tr>
      <w:tr>
        <w:trPr>
          <w:trHeight w:val="164"/>
        </w:trPr>
        <w:tc>
          <w:tcPr>
            <w:tcW w:w="7280" w:type="dxa"/>
            <w:vAlign w:val="bottom"/>
            <w:shd w:val="clear" w:color="auto" w:fill="C0C0C0"/>
          </w:tcPr>
          <w:p>
            <w:pPr>
              <w:spacing w:after="0"/>
              <w:rPr>
                <w:sz w:val="14"/>
                <w:szCs w:val="14"/>
                <w:color w:val="auto"/>
              </w:rPr>
            </w:pPr>
          </w:p>
        </w:tc>
        <w:tc>
          <w:tcPr>
            <w:tcW w:w="16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58,602</w:t>
            </w:r>
          </w:p>
        </w:tc>
        <w:tc>
          <w:tcPr>
            <w:tcW w:w="140" w:type="dxa"/>
            <w:vAlign w:val="bottom"/>
            <w:shd w:val="clear" w:color="auto" w:fill="C0C0C0"/>
          </w:tcPr>
          <w:p>
            <w:pPr>
              <w:spacing w:after="0"/>
              <w:rPr>
                <w:sz w:val="14"/>
                <w:szCs w:val="14"/>
                <w:color w:val="auto"/>
              </w:rPr>
            </w:pPr>
          </w:p>
        </w:tc>
        <w:tc>
          <w:tcPr>
            <w:tcW w:w="18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53,658</w:t>
            </w:r>
          </w:p>
        </w:tc>
      </w:tr>
      <w:tr>
        <w:trPr>
          <w:trHeight w:val="25"/>
        </w:trPr>
        <w:tc>
          <w:tcPr>
            <w:tcW w:w="7280" w:type="dxa"/>
            <w:vAlign w:val="bottom"/>
            <w:shd w:val="clear" w:color="auto" w:fill="C0C0C0"/>
          </w:tcPr>
          <w:p>
            <w:pPr>
              <w:spacing w:after="0"/>
              <w:rPr>
                <w:sz w:val="2"/>
                <w:szCs w:val="2"/>
                <w:color w:val="auto"/>
              </w:rPr>
            </w:pPr>
          </w:p>
        </w:tc>
        <w:tc>
          <w:tcPr>
            <w:tcW w:w="14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Income Taxes</w:t>
      </w:r>
    </w:p>
    <w:p>
      <w:pPr>
        <w:spacing w:after="0" w:line="204" w:lineRule="exact"/>
        <w:rPr>
          <w:sz w:val="20"/>
          <w:szCs w:val="20"/>
          <w:color w:val="auto"/>
        </w:rPr>
      </w:pPr>
    </w:p>
    <w:p>
      <w:pPr>
        <w:jc w:val="both"/>
        <w:ind w:right="20" w:firstLine="194"/>
        <w:spacing w:after="0" w:line="258" w:lineRule="auto"/>
        <w:rPr>
          <w:sz w:val="20"/>
          <w:szCs w:val="20"/>
          <w:color w:val="auto"/>
        </w:rPr>
      </w:pPr>
      <w:r>
        <w:rPr>
          <w:rFonts w:ascii="Arial" w:cs="Arial" w:eastAsia="Arial" w:hAnsi="Arial"/>
          <w:sz w:val="13"/>
          <w:szCs w:val="13"/>
          <w:color w:val="auto"/>
        </w:rPr>
        <w:t>For the three months ended March 31, 2011 and 2010, the Company incurred net losses for tax purposes and recognized a full valuation allowance against deferred tax assets. For the three months ended March 31, 2011, the Company recognized a $0.2 million income tax benefit in connection with the net tax effect of the decrease in the Company’s unrealized loss on “available-for-sale” marketable securities, which is included in other comprehensive loss. For the three months ended March 31, 2010, no provision or benefit for income taxes was recorded.</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Legal Matters</w:t>
      </w:r>
    </w:p>
    <w:p>
      <w:pPr>
        <w:spacing w:after="0" w:line="204" w:lineRule="exact"/>
        <w:rPr>
          <w:sz w:val="20"/>
          <w:szCs w:val="20"/>
          <w:color w:val="auto"/>
        </w:rPr>
      </w:pPr>
    </w:p>
    <w:p>
      <w:pPr>
        <w:jc w:val="both"/>
        <w:ind w:right="20" w:firstLine="204"/>
        <w:spacing w:after="0" w:line="266" w:lineRule="auto"/>
        <w:rPr>
          <w:sz w:val="20"/>
          <w:szCs w:val="20"/>
          <w:color w:val="auto"/>
        </w:rPr>
      </w:pPr>
      <w:r>
        <w:rPr>
          <w:rFonts w:ascii="Arial" w:cs="Arial" w:eastAsia="Arial" w:hAnsi="Arial"/>
          <w:sz w:val="13"/>
          <w:szCs w:val="13"/>
          <w:color w:val="auto"/>
        </w:rPr>
        <w:t>From time to time, the Company is a party to legal proceedings in the course of the Company’s business. The Company does not expect any such current ordinary course legal proceedings to have a material adverse effect on the Company’s business or financial condition. Legal costs associated with the Company’s resolution of legal proceedings are expensed as incurred.</w:t>
      </w:r>
    </w:p>
    <w:p>
      <w:pPr>
        <w:spacing w:after="0" w:line="173" w:lineRule="exact"/>
        <w:rPr>
          <w:sz w:val="20"/>
          <w:szCs w:val="20"/>
          <w:color w:val="auto"/>
        </w:rPr>
      </w:pPr>
    </w:p>
    <w:p>
      <w:pPr>
        <w:jc w:val="both"/>
        <w:ind w:firstLine="233"/>
        <w:spacing w:after="0" w:line="274" w:lineRule="auto"/>
        <w:rPr>
          <w:sz w:val="20"/>
          <w:szCs w:val="20"/>
          <w:color w:val="auto"/>
        </w:rPr>
      </w:pPr>
      <w:r>
        <w:rPr>
          <w:rFonts w:ascii="Arial" w:cs="Arial" w:eastAsia="Arial" w:hAnsi="Arial"/>
          <w:sz w:val="12"/>
          <w:szCs w:val="12"/>
          <w:color w:val="auto"/>
        </w:rPr>
        <w:t>As previously reported, on November 19, 2010, the Company filed a complaint against Genentech, Inc. in the U.S. District Court for the Southern District of New York seeking a declaratory judgment that no activities relating to VEGF Trap infringe any valid claim of certain Genentech patents referred to as the Davis-Smyth patents. On January 12, 2011, Genentech filed a motion to dismiss the complaint, arguing that the lawsuit was premature and thus the Court lacked subject matter jurisdiction. Upon the Company’s submission to the FDA of a Biologics License Application (“BLA”) for VEGF Trap-Eye for the treatment of wet AMD, the Company filed a second complaint against Genentech in the same court seeking the same declaratory relief. On April 7, 2011, the Company and Genentech entered into a Joint Stipulation, which was approved and executed by the Court on April 11, 2011. Pursuant to the Joint Stipulation, the Company voluntarily dismissed its original complaint in favor of proceeding with its second complaint, and Genentech agreed that it would not seek to transfer the case to another judicial district or move to dismiss the second complaint for lack of subject matter jurisdiction or otherwise under Rule 12(b) of the Federal Rules of Civil Procedure. On April 25, 2011, Genentech filed an answer to the second complaint, denying that the Company is entitled to the declaratory relief being sought by it, and asserting counterclaims that the Company's prior or planned activities relating to VEGF Trap have infringed or will infringe one or more claims of the Davis-Smyth patents. In its answer, Genentech requests a judgment against the Company for damages, including for willful infringement, and other relief as the Court deems appropriate. The Company believes Genentech’s counterclaims are without merit and intends to defend against them vigorously. As this matter is at a very early stage, at this time the Company is not able to predict the probability of the outcome or an estimate of loss, if any, related to this matter.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13" w:name="page14"/>
    <w:bookmarkEnd w:id="13"/>
    <w:p>
      <w:pPr>
        <w:ind w:left="2"/>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Notes to Condensed Financial Statements (Unaudited)</w:t>
      </w:r>
    </w:p>
    <w:p>
      <w:pPr>
        <w:spacing w:after="0" w:line="6"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95" w:lineRule="exact"/>
        <w:rPr>
          <w:sz w:val="20"/>
          <w:szCs w:val="20"/>
          <w:color w:val="auto"/>
        </w:rPr>
      </w:pPr>
    </w:p>
    <w:p>
      <w:pPr>
        <w:ind w:left="202"/>
        <w:spacing w:after="0"/>
        <w:rPr>
          <w:sz w:val="20"/>
          <w:szCs w:val="20"/>
          <w:color w:val="auto"/>
        </w:rPr>
      </w:pPr>
      <w:r>
        <w:rPr>
          <w:rFonts w:ascii="Arial" w:cs="Arial" w:eastAsia="Arial" w:hAnsi="Arial"/>
          <w:sz w:val="13"/>
          <w:szCs w:val="13"/>
          <w:color w:val="auto"/>
        </w:rPr>
        <w:t>The Company has initiated patent-related actions against Genentech in Germany and the United Kingdom, and may initiate other actions in other countries outside the U.S.</w:t>
      </w:r>
    </w:p>
    <w:p>
      <w:pPr>
        <w:spacing w:after="0" w:line="177"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10. Recently Issued Accounting Standards</w:t>
      </w:r>
    </w:p>
    <w:p>
      <w:pPr>
        <w:spacing w:after="0" w:line="185"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Multiple-deliverable revenue arrangements</w:t>
      </w:r>
    </w:p>
    <w:p>
      <w:pPr>
        <w:spacing w:after="0" w:line="200" w:lineRule="exact"/>
        <w:rPr>
          <w:sz w:val="20"/>
          <w:szCs w:val="20"/>
          <w:color w:val="auto"/>
        </w:rPr>
      </w:pPr>
    </w:p>
    <w:p>
      <w:pPr>
        <w:jc w:val="both"/>
        <w:ind w:left="2" w:firstLine="204"/>
        <w:spacing w:after="0" w:line="253" w:lineRule="auto"/>
        <w:rPr>
          <w:sz w:val="20"/>
          <w:szCs w:val="20"/>
          <w:color w:val="auto"/>
        </w:rPr>
      </w:pPr>
      <w:r>
        <w:rPr>
          <w:rFonts w:ascii="Arial" w:cs="Arial" w:eastAsia="Arial" w:hAnsi="Arial"/>
          <w:sz w:val="13"/>
          <w:szCs w:val="13"/>
          <w:color w:val="auto"/>
        </w:rPr>
        <w:t>During the first quarter of 2011 the Company adopted amended authoritative guidance issued by the Financial Accounting Standards Board (“FASB”) on multiple-deliverable revenue arrangements. The amended guidance provides greater ability to separate and allocate consideration to be received in a multiple-deliverable revenue arrangement by requiring the use of estimated selling prices to allocate the consideration, thereby eliminating the use of the residual method of allocation. The amended guidance also requires expanded qualitative and quantitative disclosures surrounding multiple-deliverable revenue arrangements. The Company is applying this amended guidance prospectively for new or materially modified arrangements, of which there were none during the three months ended March 31, 2011. The adoption of this guidance did not have a material impact on the Company’s financial statements.</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Milestone method of revenue recognition</w:t>
      </w:r>
    </w:p>
    <w:p>
      <w:pPr>
        <w:spacing w:after="0" w:line="200" w:lineRule="exact"/>
        <w:rPr>
          <w:sz w:val="20"/>
          <w:szCs w:val="20"/>
          <w:color w:val="auto"/>
        </w:rPr>
      </w:pPr>
    </w:p>
    <w:p>
      <w:pPr>
        <w:jc w:val="both"/>
        <w:ind w:left="2" w:right="20" w:firstLine="204"/>
        <w:spacing w:after="0" w:line="359" w:lineRule="auto"/>
        <w:rPr>
          <w:sz w:val="20"/>
          <w:szCs w:val="20"/>
          <w:color w:val="auto"/>
        </w:rPr>
      </w:pPr>
      <w:r>
        <w:rPr>
          <w:rFonts w:ascii="Arial" w:cs="Arial" w:eastAsia="Arial" w:hAnsi="Arial"/>
          <w:sz w:val="11"/>
          <w:szCs w:val="11"/>
          <w:color w:val="auto"/>
        </w:rPr>
        <w:t>During the first quarter of 2011, the Company adopted amended authoritative guidance issued by FASB codifying the milestone method of revenue recognition as an acceptable revenue recognition model when a milestone is deemed to be substantive. The Company has historically accounted for milestones under the milestone method; as such the adoption of this guidance did not have a material impact on the Company’s financial statements.</w:t>
      </w:r>
    </w:p>
    <w:p>
      <w:pPr>
        <w:spacing w:after="0" w:line="126" w:lineRule="exact"/>
        <w:rPr>
          <w:sz w:val="20"/>
          <w:szCs w:val="20"/>
          <w:color w:val="auto"/>
        </w:rPr>
      </w:pPr>
    </w:p>
    <w:p>
      <w:pPr>
        <w:jc w:val="both"/>
        <w:ind w:left="2" w:right="20" w:firstLine="252"/>
        <w:spacing w:after="0" w:line="296" w:lineRule="auto"/>
        <w:rPr>
          <w:sz w:val="20"/>
          <w:szCs w:val="20"/>
          <w:color w:val="auto"/>
        </w:rPr>
      </w:pPr>
      <w:r>
        <w:rPr>
          <w:rFonts w:ascii="Arial" w:cs="Arial" w:eastAsia="Arial" w:hAnsi="Arial"/>
          <w:sz w:val="11"/>
          <w:szCs w:val="11"/>
          <w:color w:val="auto"/>
        </w:rPr>
        <w:t>In accordance with the Company’s accounting policy for recognition of revenue in connection with collaboration agreements, as previously disclosed in the Company’s financial statements included in the Company’s Annual Report on Form 10-K for the year ended December 31, 2010, payments which are based on achieving a specific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nature, timing, and value of significant achievements in the development life-cycle of the related development product candidate,</w:t>
      </w:r>
    </w:p>
    <w:p>
      <w:pPr>
        <w:spacing w:after="0" w:line="2" w:lineRule="exact"/>
        <w:rPr>
          <w:sz w:val="20"/>
          <w:szCs w:val="20"/>
          <w:color w:val="auto"/>
        </w:rPr>
      </w:pPr>
    </w:p>
    <w:p>
      <w:pPr>
        <w:jc w:val="both"/>
        <w:ind w:left="2" w:right="20" w:hanging="2"/>
        <w:spacing w:after="0" w:line="253" w:lineRule="auto"/>
        <w:tabs>
          <w:tab w:leader="none" w:pos="192"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relative level of effort required to achieve 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164465</wp:posOffset>
            </wp:positionV>
            <wp:extent cx="730377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2"/>
          </w:cols>
          <w:pgMar w:left="218" w:top="479" w:right="19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Condensed Financial Statements (Unaudited)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95" w:lineRule="exact"/>
        <w:rPr>
          <w:sz w:val="20"/>
          <w:szCs w:val="20"/>
          <w:color w:val="auto"/>
        </w:rPr>
      </w:pPr>
    </w:p>
    <w:p>
      <w:pPr>
        <w:jc w:val="both"/>
        <w:ind w:firstLine="194"/>
        <w:spacing w:after="0" w:line="269" w:lineRule="auto"/>
        <w:rPr>
          <w:sz w:val="20"/>
          <w:szCs w:val="20"/>
          <w:color w:val="auto"/>
        </w:rPr>
      </w:pPr>
      <w:r>
        <w:rPr>
          <w:rFonts w:ascii="Arial" w:cs="Arial" w:eastAsia="Arial" w:hAnsi="Arial"/>
          <w:sz w:val="11"/>
          <w:szCs w:val="11"/>
          <w:color w:val="auto"/>
        </w:rPr>
        <w:t>The Company earns substantive performance milestone payments in connection with its collaboration agreements to develop and commercialize product candidates with the sanofi-aventis Group and Bayer HealthCare LLC. Descriptions of these collaboration agreements, including various financial terms and conditions, were provided in the Company’s financial statements included in the Company’s Annual Report on Form 10-K for the year ended December 31, 2010. Under the Company’s collaboration agreement with sanofi-aventis to jointly develop and commercialize 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(aflibercept), the Company may receive up to $400 million in substantive milestone payments upon receipt of specified marketing approvals, including up to $360 million in milestone payments related to the receipt of marketing approvals for up to eight 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oncology and other indications in the U.S. or the European Union and up to $40 million related to the receipt of marketing approvals for up to five 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oncology indications in Japan. Under the Company’s global, strategic collaboration with sanofi-aventis to discover, develop, and commercialize fully human monoclonal antibodies, for each drug candidate identified under the collaboration’s Discovery and Preclinical Development Agreement, sanofi-aventis has the option to license rights to the candidate under the collaboration’s License and Collaboration Agreement and co-develop the drug candidate with the Company through product approval. Under certain defined circumstances, upon exercising its option to license rights to particular candidates, sanofi-aventis must make a $10.0 million substantive milestone payment to the Company. Under the Company’s license and collaboration agreement with Bayer HealthCare LLC to globally develop, and commercialize outside the U.S., the Company’s VEGF Trap for the treatment of eye disease by local administration (“VEGF Trap-Eye”), the Company is eligible to receive up to $50 million in future substantive milestone payments related to marketing approvals of VEGF Trap-Eye in major market countries outside the U.S..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204" w:lineRule="exact"/>
        <w:rPr>
          <w:sz w:val="20"/>
          <w:szCs w:val="20"/>
          <w:color w:val="auto"/>
        </w:rPr>
      </w:pPr>
    </w:p>
    <w:p>
      <w:pPr>
        <w:jc w:val="both"/>
        <w:ind w:firstLine="204"/>
        <w:spacing w:after="0" w:line="302" w:lineRule="auto"/>
        <w:rPr>
          <w:sz w:val="20"/>
          <w:szCs w:val="20"/>
          <w:color w:val="auto"/>
        </w:rPr>
      </w:pPr>
      <w:r>
        <w:rPr>
          <w:rFonts w:ascii="Arial" w:cs="Arial" w:eastAsia="Arial" w:hAnsi="Arial"/>
          <w:sz w:val="11"/>
          <w:szCs w:val="11"/>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from these forward-looking statements. These statements concern, and these risks and uncertainties include, among other things, the nature, timing, and possible success and therapeutic applications of our product candidates and research programs now underway or planned, the likelihood and timing of possible regulatory approval and commercial launch of our late-stage product candidates, determinations by regulatory and administrative governmental authorities which may delay or restrict our ability to continue to develop or commercialize its product and drug candidates, competing drugs that may be superior to our product and drug candidates, uncertainty of market acceptance of our product and drug candidates, unanticipated expenses, the availability and cost of capital, the costs of developing, producing, and selling products, the potential for any collaboration agreement, including our agreements with the sanofi-aventis Group and Bayer HealthCare LLC, to be canceled or terminated without any product success, and risks associated with third-party intellectual property and pending or future litigation relating thereto. These statements are made by us based on management's current beliefs and judgment.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204" w:lineRule="exact"/>
        <w:rPr>
          <w:sz w:val="20"/>
          <w:szCs w:val="20"/>
          <w:color w:val="auto"/>
        </w:rPr>
      </w:pPr>
    </w:p>
    <w:p>
      <w:pPr>
        <w:jc w:val="both"/>
        <w:ind w:firstLine="243"/>
        <w:spacing w:after="0" w:line="228" w:lineRule="auto"/>
        <w:rPr>
          <w:sz w:val="20"/>
          <w:szCs w:val="20"/>
          <w:color w:val="auto"/>
        </w:rPr>
      </w:pPr>
      <w:r>
        <w:rPr>
          <w:rFonts w:ascii="Arial" w:cs="Arial" w:eastAsia="Arial" w:hAnsi="Arial"/>
          <w:sz w:val="13"/>
          <w:szCs w:val="13"/>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190" w:lineRule="exact"/>
        <w:rPr>
          <w:sz w:val="20"/>
          <w:szCs w:val="20"/>
          <w:color w:val="auto"/>
        </w:rPr>
      </w:pPr>
    </w:p>
    <w:p>
      <w:pPr>
        <w:jc w:val="both"/>
        <w:ind w:firstLine="194"/>
        <w:spacing w:after="0" w:line="217" w:lineRule="auto"/>
        <w:rPr>
          <w:sz w:val="20"/>
          <w:szCs w:val="20"/>
          <w:color w:val="auto"/>
        </w:rPr>
      </w:pPr>
      <w:r>
        <w:rPr>
          <w:rFonts w:ascii="Arial" w:cs="Arial" w:eastAsia="Arial" w:hAnsi="Arial"/>
          <w:sz w:val="13"/>
          <w:szCs w:val="13"/>
          <w:color w:val="auto"/>
        </w:rPr>
        <w:t>We have 11 product candidates in clinical development, including three that are in late-stage (Phase 3) studies. All of these product candidates were discovered in our research laboratories. Our late-stage programs are VEGF Trap-Eye (aflibercept ophthalmic solution), which is being developed using intraocular delivery for the treatment of serious eye diseases;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(aflibercept), also known as VEGF Trap, which is being developed in oncology in collaboration with sanofi-aventis; and ARCALYST</w:t>
      </w:r>
      <w:r>
        <w:rPr>
          <w:rFonts w:ascii="Arial" w:cs="Arial" w:eastAsia="Arial" w:hAnsi="Arial"/>
          <w:sz w:val="17"/>
          <w:szCs w:val="17"/>
          <w:color w:val="auto"/>
          <w:vertAlign w:val="superscript"/>
        </w:rPr>
        <w:t>®</w:t>
      </w:r>
      <w:r>
        <w:rPr>
          <w:rFonts w:ascii="Arial" w:cs="Arial" w:eastAsia="Arial" w:hAnsi="Arial"/>
          <w:sz w:val="13"/>
          <w:szCs w:val="13"/>
          <w:color w:val="auto"/>
        </w:rPr>
        <w:t>, which is being developed for the prevention of gout flares in patients initiating uric acid-lowering treatment. Our earlier stage clinical programs include the following fully human antibodies, which are being developed in collaboration with sanofi-aventis: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REGN727, an antibody to Proprotein Convertase Substilisin/Kexin type 9 (PCSK9), which is being developed for low-density lipoprotein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-66040</wp:posOffset>
            </wp:positionV>
            <wp:extent cx="50165" cy="5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REGN88, an antibody to the interleukin-6 receptor (IL-6R), which is being developed in rheumatoid arthritis and ankylosing spondylitis;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REGN668, an antibody to the interleukin-4 receptor (IL-4R), which is being developed in atopic dermatitis and eosinophilic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REGN421, an antibody to Delta-like ligand-4 (Dll4), a novel angiogenesis target, which is being developed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REGN910, an antibody to Angiopoietin-2 (ANG2), another novel angiogenesis target, which is being developed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REGN475, an antibody to Nerve Growth Factor (NGF), which is being developed for the treatment of pain (currently on clinical hold);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REGN728 and REGN846, two antibodies in clinical development against undisclosed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136" w:lineRule="exact"/>
        <w:rPr>
          <w:sz w:val="20"/>
          <w:szCs w:val="20"/>
          <w:color w:val="auto"/>
        </w:rPr>
      </w:pPr>
    </w:p>
    <w:p>
      <w:pPr>
        <w:jc w:val="both"/>
        <w:ind w:firstLine="194"/>
        <w:spacing w:after="0" w:line="289" w:lineRule="auto"/>
        <w:rPr>
          <w:sz w:val="20"/>
          <w:szCs w:val="20"/>
          <w:color w:val="auto"/>
        </w:rPr>
      </w:pPr>
      <w:r>
        <w:rPr>
          <w:rFonts w:ascii="Arial" w:cs="Arial" w:eastAsia="Arial" w:hAnsi="Arial"/>
          <w:sz w:val="12"/>
          <w:szCs w:val="12"/>
          <w:color w:val="auto"/>
        </w:rPr>
        <w:t>Our core business strategy is to maintain a strong foundation in basic scientific research and discovery-enabling technologies, to combine that foundation with our clinical development and manufacturing capabilities, and to continue to expand our commercialization capabilities in anticipation of possible regulatory approval and launch of one or more of our late-stage product candidates. Our long-term objective is to build a successful, integrated, multi-product biopharmaceutical company that provides patients and medical professionals with innovative options for preventing and treating human diseases.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479" w:right="219" w:bottom="1440" w:gutter="0" w:footer="0" w:header="0"/>
        </w:sectPr>
      </w:pPr>
    </w:p>
    <w:bookmarkStart w:id="16" w:name="page17"/>
    <w:bookmarkEnd w:id="16"/>
    <w:p>
      <w:pPr>
        <w:jc w:val="both"/>
        <w:ind w:firstLine="214"/>
        <w:spacing w:after="0" w:line="232" w:lineRule="auto"/>
        <w:rPr>
          <w:sz w:val="20"/>
          <w:szCs w:val="20"/>
          <w:color w:val="auto"/>
        </w:rPr>
      </w:pPr>
      <w:r>
        <w:rPr>
          <w:rFonts w:ascii="Arial" w:cs="Arial" w:eastAsia="Arial" w:hAnsi="Arial"/>
          <w:sz w:val="12"/>
          <w:szCs w:val="12"/>
          <w:color w:val="auto"/>
        </w:rPr>
        <w:t xml:space="preserve">We believe that our ability to develop product candidates is enhanced by the application of our </w:t>
      </w:r>
      <w:r>
        <w:rPr>
          <w:rFonts w:ascii="Arial" w:cs="Arial" w:eastAsia="Arial" w:hAnsi="Arial"/>
          <w:sz w:val="12"/>
          <w:szCs w:val="12"/>
          <w:i w:val="1"/>
          <w:iCs w:val="1"/>
          <w:color w:val="auto"/>
        </w:rPr>
        <w:t>VelociSuite™</w:t>
      </w:r>
      <w:r>
        <w:rPr>
          <w:rFonts w:ascii="Arial" w:cs="Arial" w:eastAsia="Arial" w:hAnsi="Arial"/>
          <w:sz w:val="12"/>
          <w:szCs w:val="12"/>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2"/>
          <w:szCs w:val="12"/>
          <w:i w:val="1"/>
          <w:iCs w:val="1"/>
          <w:color w:val="auto"/>
        </w:rPr>
        <w:t>VelociGene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technology to understand the role of these proteins in normal physiology, as well as in models of disease. Our human monoclonal antibody technology (</w:t>
      </w:r>
      <w:r>
        <w:rPr>
          <w:rFonts w:ascii="Arial" w:cs="Arial" w:eastAsia="Arial" w:hAnsi="Arial"/>
          <w:sz w:val="12"/>
          <w:szCs w:val="12"/>
          <w:i w:val="1"/>
          <w:iCs w:val="1"/>
          <w:color w:val="auto"/>
        </w:rPr>
        <w:t>VelocImmune</w:t>
      </w:r>
      <w:r>
        <w:rPr>
          <w:rFonts w:ascii="Arial" w:cs="Arial" w:eastAsia="Arial" w:hAnsi="Arial"/>
          <w:sz w:val="16"/>
          <w:szCs w:val="16"/>
          <w:color w:val="auto"/>
          <w:vertAlign w:val="superscript"/>
        </w:rPr>
        <w:t>®</w:t>
      </w:r>
      <w:r>
        <w:rPr>
          <w:rFonts w:ascii="Arial" w:cs="Arial" w:eastAsia="Arial" w:hAnsi="Arial"/>
          <w:sz w:val="12"/>
          <w:szCs w:val="12"/>
          <w:color w:val="auto"/>
        </w:rPr>
        <w:t>) and cell line expression technologies (</w:t>
      </w:r>
      <w:r>
        <w:rPr>
          <w:rFonts w:ascii="Arial" w:cs="Arial" w:eastAsia="Arial" w:hAnsi="Arial"/>
          <w:sz w:val="12"/>
          <w:szCs w:val="12"/>
          <w:i w:val="1"/>
          <w:iCs w:val="1"/>
          <w:color w:val="auto"/>
        </w:rPr>
        <w:t>VelociMab</w:t>
      </w:r>
      <w:r>
        <w:rPr>
          <w:rFonts w:ascii="Arial" w:cs="Arial" w:eastAsia="Arial" w:hAnsi="Arial"/>
          <w:sz w:val="16"/>
          <w:szCs w:val="16"/>
          <w:color w:val="auto"/>
          <w:vertAlign w:val="superscript"/>
        </w:rPr>
        <w:t>®</w:t>
      </w:r>
      <w:r>
        <w:rPr>
          <w:rFonts w:ascii="Arial" w:cs="Arial" w:eastAsia="Arial" w:hAnsi="Arial"/>
          <w:sz w:val="12"/>
          <w:szCs w:val="12"/>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2"/>
          <w:szCs w:val="12"/>
          <w:i w:val="1"/>
          <w:iCs w:val="1"/>
          <w:color w:val="auto"/>
        </w:rPr>
        <w:t>VelocImmune</w:t>
      </w:r>
      <w:r>
        <w:rPr>
          <w:rFonts w:ascii="Arial" w:cs="Arial" w:eastAsia="Arial" w:hAnsi="Arial"/>
          <w:sz w:val="16"/>
          <w:szCs w:val="16"/>
          <w:color w:val="auto"/>
          <w:vertAlign w:val="superscript"/>
        </w:rPr>
        <w:t>®</w:t>
      </w:r>
      <w:r>
        <w:rPr>
          <w:rFonts w:ascii="Arial" w:cs="Arial" w:eastAsia="Arial" w:hAnsi="Arial"/>
          <w:sz w:val="12"/>
          <w:szCs w:val="12"/>
          <w:color w:val="auto"/>
        </w:rPr>
        <w:t>. Under the terms of our antibody collaboration with sanofi-aventis, which was expanded during 2009, we plan to advance an average of four to five new antibody product candidates into clinical development each year, for an anticipated total of 30-40 candidates from 2010 through 2017. We continue to invest in the development of enabling technologies to assist in our efforts to identify, develop, manufacture, and commercialize new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Commercial Product: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ARCALYST</w:t>
      </w:r>
      <w:r>
        <w:rPr>
          <w:rFonts w:ascii="Arial" w:cs="Arial" w:eastAsia="Arial" w:hAnsi="Arial"/>
          <w:sz w:val="17"/>
          <w:szCs w:val="17"/>
          <w:b w:val="1"/>
          <w:bCs w:val="1"/>
          <w:color w:val="auto"/>
          <w:vertAlign w:val="superscript"/>
        </w:rPr>
        <w:t>®</w:t>
      </w:r>
      <w:r>
        <w:rPr>
          <w:rFonts w:ascii="Arial" w:cs="Arial" w:eastAsia="Arial" w:hAnsi="Arial"/>
          <w:sz w:val="13"/>
          <w:szCs w:val="13"/>
          <w:b w:val="1"/>
          <w:bCs w:val="1"/>
          <w:i w:val="1"/>
          <w:iCs w:val="1"/>
          <w:color w:val="auto"/>
        </w:rPr>
        <w:t xml:space="preserve"> – CAPS</w:t>
      </w:r>
    </w:p>
    <w:p>
      <w:pPr>
        <w:spacing w:after="0" w:line="158" w:lineRule="exact"/>
        <w:rPr>
          <w:sz w:val="20"/>
          <w:szCs w:val="20"/>
          <w:color w:val="auto"/>
        </w:rPr>
      </w:pPr>
    </w:p>
    <w:p>
      <w:pPr>
        <w:jc w:val="both"/>
        <w:ind w:firstLine="194"/>
        <w:spacing w:after="0" w:line="194" w:lineRule="auto"/>
        <w:rPr>
          <w:sz w:val="20"/>
          <w:szCs w:val="20"/>
          <w:color w:val="auto"/>
        </w:rPr>
      </w:pPr>
      <w:r>
        <w:rPr>
          <w:rFonts w:ascii="Arial" w:cs="Arial" w:eastAsia="Arial" w:hAnsi="Arial"/>
          <w:sz w:val="13"/>
          <w:szCs w:val="13"/>
          <w:color w:val="auto"/>
        </w:rPr>
        <w:t>Net product sales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(rilonacept) in the first quarter of 2011 were $4.4 million. In the same quarter of 2010, net product sales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were $9.9 million, which included $5.1 million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net product sales made in the first quarter of 2010 and $4.8 million of previously deferred net product sales, as described below under “Results of Operations.”</w:t>
      </w:r>
    </w:p>
    <w:p>
      <w:pPr>
        <w:spacing w:after="0" w:line="189" w:lineRule="exact"/>
        <w:rPr>
          <w:sz w:val="20"/>
          <w:szCs w:val="20"/>
          <w:color w:val="auto"/>
        </w:rPr>
      </w:pPr>
    </w:p>
    <w:p>
      <w:pPr>
        <w:jc w:val="both"/>
        <w:ind w:firstLine="262"/>
        <w:spacing w:after="0" w:line="249" w:lineRule="auto"/>
        <w:rPr>
          <w:sz w:val="20"/>
          <w:szCs w:val="20"/>
          <w:color w:val="auto"/>
        </w:rPr>
      </w:pPr>
      <w:r>
        <w:rPr>
          <w:rFonts w:ascii="Arial" w:cs="Arial" w:eastAsia="Arial" w:hAnsi="Arial"/>
          <w:sz w:val="12"/>
          <w:szCs w:val="12"/>
          <w:color w:val="auto"/>
        </w:rPr>
        <w:t>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is a protein-based product designed to bind the interleukin-1 (called IL-1) cytokine and prevent its interaction with cell surface receptors.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is available for prescription in the U.S. for the treatment of CAPS, including FCAS and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Clinical Programs: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1. VEGF Trap-Eye – Ophthalmologic Diseases</w:t>
      </w:r>
    </w:p>
    <w:p>
      <w:pPr>
        <w:spacing w:after="0" w:line="200" w:lineRule="exact"/>
        <w:rPr>
          <w:sz w:val="20"/>
          <w:szCs w:val="20"/>
          <w:color w:val="auto"/>
        </w:rPr>
      </w:pPr>
    </w:p>
    <w:p>
      <w:pPr>
        <w:jc w:val="both"/>
        <w:ind w:firstLine="214"/>
        <w:spacing w:after="0" w:line="283" w:lineRule="auto"/>
        <w:rPr>
          <w:sz w:val="20"/>
          <w:szCs w:val="20"/>
          <w:color w:val="auto"/>
        </w:rPr>
      </w:pPr>
      <w:r>
        <w:rPr>
          <w:rFonts w:ascii="Arial" w:cs="Arial" w:eastAsia="Arial" w:hAnsi="Arial"/>
          <w:sz w:val="12"/>
          <w:szCs w:val="12"/>
          <w:color w:val="auto"/>
        </w:rPr>
        <w:t>VEGF Trap-Eye (aflibercept ophthalmic solution) is a specially purified and formulated form of VEGF Trap, which is being developed for use in intraocular applications. We, together with our ex-U.S. collaborator Bayer HealthCare, are evaluating VEGF Trap-Eye in Phase 3 programs in patients with the neovascular form of age-related macular degeneration (wet AMD), central retinal vein occlusion (CRVO), diabetic macular edema (DME), and choroidal neovascularisation (CNV) of the retina as a result of pathologic myopia. Wet AMD, diabetic retinopathy (which includes DME), and retinal vein occlusion are three of the leading causes of adult blindness in the developed world. In these conditions, severe visual loss is caused by a combination of retinal edema and neovascular proliferation.</w:t>
      </w:r>
    </w:p>
    <w:p>
      <w:pPr>
        <w:spacing w:after="0" w:line="163" w:lineRule="exact"/>
        <w:rPr>
          <w:sz w:val="20"/>
          <w:szCs w:val="20"/>
          <w:color w:val="auto"/>
        </w:rPr>
      </w:pPr>
    </w:p>
    <w:p>
      <w:pPr>
        <w:jc w:val="both"/>
        <w:ind w:firstLine="262"/>
        <w:spacing w:after="0" w:line="226" w:lineRule="auto"/>
        <w:rPr>
          <w:sz w:val="20"/>
          <w:szCs w:val="20"/>
          <w:color w:val="auto"/>
        </w:rPr>
      </w:pPr>
      <w:r>
        <w:rPr>
          <w:rFonts w:ascii="Arial" w:cs="Arial" w:eastAsia="Arial" w:hAnsi="Arial"/>
          <w:sz w:val="12"/>
          <w:szCs w:val="12"/>
          <w:color w:val="auto"/>
        </w:rPr>
        <w:t>The Phase 3 trials in wet AMD, known as VIEW 1 and VIEW 2 (</w:t>
      </w:r>
      <w:r>
        <w:rPr>
          <w:rFonts w:ascii="Arial" w:cs="Arial" w:eastAsia="Arial" w:hAnsi="Arial"/>
          <w:sz w:val="12"/>
          <w:szCs w:val="12"/>
          <w:u w:val="single" w:color="auto"/>
          <w:color w:val="auto"/>
        </w:rPr>
        <w:t>V</w:t>
      </w:r>
      <w:r>
        <w:rPr>
          <w:rFonts w:ascii="Arial" w:cs="Arial" w:eastAsia="Arial" w:hAnsi="Arial"/>
          <w:sz w:val="12"/>
          <w:szCs w:val="12"/>
          <w:color w:val="auto"/>
        </w:rPr>
        <w:t xml:space="preserve">EGF Trap: </w:t>
      </w:r>
      <w:r>
        <w:rPr>
          <w:rFonts w:ascii="Arial" w:cs="Arial" w:eastAsia="Arial" w:hAnsi="Arial"/>
          <w:sz w:val="12"/>
          <w:szCs w:val="12"/>
          <w:u w:val="single" w:color="auto"/>
          <w:color w:val="auto"/>
        </w:rPr>
        <w:t>I</w:t>
      </w:r>
      <w:r>
        <w:rPr>
          <w:rFonts w:ascii="Arial" w:cs="Arial" w:eastAsia="Arial" w:hAnsi="Arial"/>
          <w:sz w:val="12"/>
          <w:szCs w:val="12"/>
          <w:color w:val="auto"/>
        </w:rPr>
        <w:t xml:space="preserve">nvestigation of </w:t>
      </w:r>
      <w:r>
        <w:rPr>
          <w:rFonts w:ascii="Arial" w:cs="Arial" w:eastAsia="Arial" w:hAnsi="Arial"/>
          <w:sz w:val="12"/>
          <w:szCs w:val="12"/>
          <w:u w:val="single" w:color="auto"/>
          <w:color w:val="auto"/>
        </w:rPr>
        <w:t>E</w:t>
      </w:r>
      <w:r>
        <w:rPr>
          <w:rFonts w:ascii="Arial" w:cs="Arial" w:eastAsia="Arial" w:hAnsi="Arial"/>
          <w:sz w:val="12"/>
          <w:szCs w:val="12"/>
          <w:color w:val="auto"/>
        </w:rPr>
        <w:t xml:space="preserve">fficacy and Safety in </w:t>
      </w:r>
      <w:r>
        <w:rPr>
          <w:rFonts w:ascii="Arial" w:cs="Arial" w:eastAsia="Arial" w:hAnsi="Arial"/>
          <w:sz w:val="12"/>
          <w:szCs w:val="12"/>
          <w:u w:val="single" w:color="auto"/>
          <w:color w:val="auto"/>
        </w:rPr>
        <w:t>W</w:t>
      </w:r>
      <w:r>
        <w:rPr>
          <w:rFonts w:ascii="Arial" w:cs="Arial" w:eastAsia="Arial" w:hAnsi="Arial"/>
          <w:sz w:val="12"/>
          <w:szCs w:val="12"/>
          <w:color w:val="auto"/>
        </w:rPr>
        <w:t>et age-related macular degeneration), compared VEGF Trap-Eye and Lucentis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(ranibizumab injection), a registered trademark of Genentech, Inc. Lucentis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is an anti-angiogenic agent approved for use and the current standard of care in wet AMD. VIEW 1 was conducted in North America and VIEW 2 was conducted in Europe, Asia Pacific, Japan, and Latin America. The VIEW 1 and VIEW 2 trials both evaluated VEGF Trap-Eye doses of 0.5 milligrams (mg) and 2.0 mg at dosing intervals of four weeks and 2.0 mg at a dosing interval of eight weeks (following three initial monthly doses), compared with Lucentis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dosed according to its U.S. label, which specifies doses of 0.5 mg administered every four weeks over the first year. As-needed dosing (PRN) with both agents is being evaluated in the second year of the studies, although patients will be dosed no less frequently than every 12 weeks.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502" w:right="219" w:bottom="1440" w:gutter="0" w:footer="0" w:header="0"/>
        </w:sectPr>
      </w:pPr>
    </w:p>
    <w:bookmarkStart w:id="17" w:name="page18"/>
    <w:bookmarkEnd w:id="17"/>
    <w:p>
      <w:pPr>
        <w:jc w:val="both"/>
        <w:ind w:right="20" w:firstLine="194"/>
        <w:spacing w:after="0" w:line="233" w:lineRule="auto"/>
        <w:rPr>
          <w:sz w:val="20"/>
          <w:szCs w:val="20"/>
          <w:color w:val="auto"/>
        </w:rPr>
      </w:pPr>
      <w:r>
        <w:rPr>
          <w:rFonts w:ascii="Arial" w:cs="Arial" w:eastAsia="Arial" w:hAnsi="Arial"/>
          <w:sz w:val="13"/>
          <w:szCs w:val="13"/>
          <w:color w:val="auto"/>
        </w:rPr>
        <w:t>The primary endpoint of these non-inferiority studies was the proportion of patients treated with VEGF Trap-Eye who maintain visual acuity at the end of one year compared to patients dosed monthly with Lucentis</w:t>
      </w:r>
      <w:r>
        <w:rPr>
          <w:rFonts w:ascii="Arial" w:cs="Arial" w:eastAsia="Arial" w:hAnsi="Arial"/>
          <w:sz w:val="17"/>
          <w:szCs w:val="17"/>
          <w:color w:val="auto"/>
          <w:vertAlign w:val="superscript"/>
        </w:rPr>
        <w:t>®</w:t>
      </w:r>
      <w:r>
        <w:rPr>
          <w:rFonts w:ascii="Arial" w:cs="Arial" w:eastAsia="Arial" w:hAnsi="Arial"/>
          <w:sz w:val="13"/>
          <w:szCs w:val="13"/>
          <w:color w:val="auto"/>
        </w:rPr>
        <w:t>. Visual acuity is defined as the total number of letters read correctly on the Early Treatment Diabetic Retinopathy Study (ETDRS) chart, a standard research tool for measuring visual acuity. Maintenance of vision is defined as losing fewer than three lines (equivalent to 15 letters) on the ETDRS chart. Secondary endpoints included the mean change from baseline in visual acuity as measured by ETDRS, the proportion of patients who gained at least 15 letters of vision at week 52, and the amount of fluid under the retina.</w:t>
      </w:r>
    </w:p>
    <w:p>
      <w:pPr>
        <w:spacing w:after="0" w:line="191"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3"/>
          <w:szCs w:val="13"/>
          <w:color w:val="auto"/>
        </w:rPr>
        <w:t>We and Bayer HealthCare announced week 52 results from the VIEW 1 and VIEW 2 studies in November 2010. In these studies, all regimens of VEGF Trap-Eye, including VEGF Trap-Eye dosed every two months, successfully met the primary endpoint of statistical non-inferiority compared to Lucentis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dosed every month.</w:t>
      </w:r>
    </w:p>
    <w:p>
      <w:pPr>
        <w:spacing w:after="0" w:line="93" w:lineRule="exact"/>
        <w:rPr>
          <w:sz w:val="20"/>
          <w:szCs w:val="20"/>
          <w:color w:val="auto"/>
        </w:rPr>
      </w:pPr>
    </w:p>
    <w:p>
      <w:pPr>
        <w:jc w:val="both"/>
        <w:ind w:right="20" w:firstLine="204"/>
        <w:spacing w:after="0" w:line="255" w:lineRule="auto"/>
        <w:rPr>
          <w:sz w:val="20"/>
          <w:szCs w:val="20"/>
          <w:color w:val="auto"/>
        </w:rPr>
      </w:pPr>
      <w:r>
        <w:rPr>
          <w:rFonts w:ascii="Arial" w:cs="Arial" w:eastAsia="Arial" w:hAnsi="Arial"/>
          <w:sz w:val="12"/>
          <w:szCs w:val="12"/>
          <w:color w:val="auto"/>
        </w:rPr>
        <w:t>A generally favorable safety profile was observed for both VEGF Trap-Eye and Lucentis</w:t>
      </w:r>
      <w:r>
        <w:rPr>
          <w:rFonts w:ascii="Arial" w:cs="Arial" w:eastAsia="Arial" w:hAnsi="Arial"/>
          <w:sz w:val="16"/>
          <w:szCs w:val="16"/>
          <w:color w:val="auto"/>
          <w:vertAlign w:val="superscript"/>
        </w:rPr>
        <w:t>®</w:t>
      </w:r>
      <w:r>
        <w:rPr>
          <w:rFonts w:ascii="Arial" w:cs="Arial" w:eastAsia="Arial" w:hAnsi="Arial"/>
          <w:sz w:val="12"/>
          <w:szCs w:val="12"/>
          <w:color w:val="auto"/>
        </w:rPr>
        <w:t>. The incidence of ocular treatment emergent adverse events was balanced across all four treatment groups in both studies, with the most frequent events associated with the injection procedure, the underlying disease, and/or the aging process. The most frequent ocular adverse events were conjunctival hemorrhage, macular degeneration, eye pain, retinal hemorrhage, and vitreous floaters. The most frequent serious non-ocular adverse events were typical of those reported in this elderly population who receive intravitreal treatment for wet AMD; the most frequently reported events were falls, pneumonia, myocardial infarction, atrial fibrillation, breast cancer, and acute coronary syndrome. There were no notable differences among the study arms.</w:t>
      </w:r>
    </w:p>
    <w:p>
      <w:pPr>
        <w:spacing w:after="0" w:line="181" w:lineRule="exact"/>
        <w:rPr>
          <w:sz w:val="20"/>
          <w:szCs w:val="20"/>
          <w:color w:val="auto"/>
        </w:rPr>
      </w:pPr>
    </w:p>
    <w:p>
      <w:pPr>
        <w:jc w:val="both"/>
        <w:ind w:right="20" w:firstLine="204"/>
        <w:spacing w:after="0" w:line="258" w:lineRule="auto"/>
        <w:rPr>
          <w:sz w:val="20"/>
          <w:szCs w:val="20"/>
          <w:color w:val="auto"/>
        </w:rPr>
      </w:pPr>
      <w:r>
        <w:rPr>
          <w:rFonts w:ascii="Arial" w:cs="Arial" w:eastAsia="Arial" w:hAnsi="Arial"/>
          <w:sz w:val="13"/>
          <w:szCs w:val="13"/>
          <w:color w:val="auto"/>
        </w:rPr>
        <w:t>Based on these positive results, we submitted a Biologics License Application (BLA) to the U.S. Food and Drug Administration (FDA) in February 2011 for marketing approval of VEGF Trap-Eye in wet AMD in the U.S. In April 2011, the FDA accepted the BLA for filing and granted our request for Priority Review. Under Priority Review, the target date for an FDA decision on the VEGF Trap-Eye BLA is August 20, 2011. Bayer HealthCare intends to submit regulatory applications in the first half of 2011 for marketing approval of VEGF Trap-Eye in wet AMD in Europe and other countries.</w:t>
      </w:r>
    </w:p>
    <w:p>
      <w:pPr>
        <w:spacing w:after="0" w:line="178" w:lineRule="exact"/>
        <w:rPr>
          <w:sz w:val="20"/>
          <w:szCs w:val="20"/>
          <w:color w:val="auto"/>
        </w:rPr>
      </w:pPr>
    </w:p>
    <w:p>
      <w:pPr>
        <w:jc w:val="both"/>
        <w:ind w:right="20" w:firstLine="194"/>
        <w:spacing w:after="0" w:line="253" w:lineRule="auto"/>
        <w:rPr>
          <w:sz w:val="20"/>
          <w:szCs w:val="20"/>
          <w:color w:val="auto"/>
        </w:rPr>
      </w:pPr>
      <w:r>
        <w:rPr>
          <w:rFonts w:ascii="Arial" w:cs="Arial" w:eastAsia="Arial" w:hAnsi="Arial"/>
          <w:sz w:val="13"/>
          <w:szCs w:val="13"/>
          <w:color w:val="auto"/>
        </w:rPr>
        <w:t>VEGF Trap-Eye is also in Phase 3 development for the treatment of CRVO, another cause of visual impairment. We are leading the COPERNICUS (</w:t>
      </w:r>
      <w:r>
        <w:rPr>
          <w:rFonts w:ascii="Arial" w:cs="Arial" w:eastAsia="Arial" w:hAnsi="Arial"/>
          <w:sz w:val="13"/>
          <w:szCs w:val="13"/>
          <w:u w:val="single" w:color="auto"/>
          <w:color w:val="auto"/>
        </w:rPr>
        <w:t>CO</w:t>
      </w:r>
      <w:r>
        <w:rPr>
          <w:rFonts w:ascii="Arial" w:cs="Arial" w:eastAsia="Arial" w:hAnsi="Arial"/>
          <w:sz w:val="13"/>
          <w:szCs w:val="13"/>
          <w:color w:val="auto"/>
        </w:rPr>
        <w:t xml:space="preserve">ntrolled </w:t>
      </w:r>
      <w:r>
        <w:rPr>
          <w:rFonts w:ascii="Arial" w:cs="Arial" w:eastAsia="Arial" w:hAnsi="Arial"/>
          <w:sz w:val="13"/>
          <w:szCs w:val="13"/>
          <w:u w:val="single" w:color="auto"/>
          <w:color w:val="auto"/>
        </w:rPr>
        <w:t>P</w:t>
      </w:r>
      <w:r>
        <w:rPr>
          <w:rFonts w:ascii="Arial" w:cs="Arial" w:eastAsia="Arial" w:hAnsi="Arial"/>
          <w:sz w:val="13"/>
          <w:szCs w:val="13"/>
          <w:color w:val="auto"/>
        </w:rPr>
        <w:t xml:space="preserve">hase 3 </w:t>
      </w:r>
      <w:r>
        <w:rPr>
          <w:rFonts w:ascii="Arial" w:cs="Arial" w:eastAsia="Arial" w:hAnsi="Arial"/>
          <w:sz w:val="13"/>
          <w:szCs w:val="13"/>
          <w:u w:val="single" w:color="auto"/>
          <w:color w:val="auto"/>
        </w:rPr>
        <w:t>E</w:t>
      </w:r>
      <w:r>
        <w:rPr>
          <w:rFonts w:ascii="Arial" w:cs="Arial" w:eastAsia="Arial" w:hAnsi="Arial"/>
          <w:sz w:val="13"/>
          <w:szCs w:val="13"/>
          <w:color w:val="auto"/>
        </w:rPr>
        <w:t xml:space="preserve">valuation of </w:t>
      </w:r>
      <w:r>
        <w:rPr>
          <w:rFonts w:ascii="Arial" w:cs="Arial" w:eastAsia="Arial" w:hAnsi="Arial"/>
          <w:sz w:val="13"/>
          <w:szCs w:val="13"/>
          <w:u w:val="single" w:color="auto"/>
          <w:color w:val="auto"/>
        </w:rPr>
        <w:t>R</w:t>
      </w:r>
      <w:r>
        <w:rPr>
          <w:rFonts w:ascii="Arial" w:cs="Arial" w:eastAsia="Arial" w:hAnsi="Arial"/>
          <w:sz w:val="13"/>
          <w:szCs w:val="13"/>
          <w:color w:val="auto"/>
        </w:rPr>
        <w:t>epeated i</w:t>
      </w:r>
      <w:r>
        <w:rPr>
          <w:rFonts w:ascii="Arial" w:cs="Arial" w:eastAsia="Arial" w:hAnsi="Arial"/>
          <w:sz w:val="13"/>
          <w:szCs w:val="13"/>
          <w:u w:val="single" w:color="auto"/>
          <w:color w:val="auto"/>
        </w:rPr>
        <w:t>N</w:t>
      </w:r>
      <w:r>
        <w:rPr>
          <w:rFonts w:ascii="Arial" w:cs="Arial" w:eastAsia="Arial" w:hAnsi="Arial"/>
          <w:sz w:val="13"/>
          <w:szCs w:val="13"/>
          <w:color w:val="auto"/>
        </w:rPr>
        <w:t xml:space="preserve">travitreal administration of VEGF Trap-Eye </w:t>
      </w:r>
      <w:r>
        <w:rPr>
          <w:rFonts w:ascii="Arial" w:cs="Arial" w:eastAsia="Arial" w:hAnsi="Arial"/>
          <w:sz w:val="13"/>
          <w:szCs w:val="13"/>
          <w:u w:val="single" w:color="auto"/>
          <w:color w:val="auto"/>
        </w:rPr>
        <w:t>I</w:t>
      </w:r>
      <w:r>
        <w:rPr>
          <w:rFonts w:ascii="Arial" w:cs="Arial" w:eastAsia="Arial" w:hAnsi="Arial"/>
          <w:sz w:val="13"/>
          <w:szCs w:val="13"/>
          <w:color w:val="auto"/>
        </w:rPr>
        <w:t xml:space="preserve">n </w:t>
      </w:r>
      <w:r>
        <w:rPr>
          <w:rFonts w:ascii="Arial" w:cs="Arial" w:eastAsia="Arial" w:hAnsi="Arial"/>
          <w:sz w:val="13"/>
          <w:szCs w:val="13"/>
          <w:u w:val="single" w:color="auto"/>
          <w:color w:val="auto"/>
        </w:rPr>
        <w:t>C</w:t>
      </w:r>
      <w:r>
        <w:rPr>
          <w:rFonts w:ascii="Arial" w:cs="Arial" w:eastAsia="Arial" w:hAnsi="Arial"/>
          <w:sz w:val="13"/>
          <w:szCs w:val="13"/>
          <w:color w:val="auto"/>
        </w:rPr>
        <w:t xml:space="preserve">entral retinal vein occlusion: </w:t>
      </w:r>
      <w:r>
        <w:rPr>
          <w:rFonts w:ascii="Arial" w:cs="Arial" w:eastAsia="Arial" w:hAnsi="Arial"/>
          <w:sz w:val="13"/>
          <w:szCs w:val="13"/>
          <w:u w:val="single" w:color="auto"/>
          <w:color w:val="auto"/>
        </w:rPr>
        <w:t>U</w:t>
      </w:r>
      <w:r>
        <w:rPr>
          <w:rFonts w:ascii="Arial" w:cs="Arial" w:eastAsia="Arial" w:hAnsi="Arial"/>
          <w:sz w:val="13"/>
          <w:szCs w:val="13"/>
          <w:color w:val="auto"/>
        </w:rPr>
        <w:t xml:space="preserve">tility and </w:t>
      </w:r>
      <w:r>
        <w:rPr>
          <w:rFonts w:ascii="Arial" w:cs="Arial" w:eastAsia="Arial" w:hAnsi="Arial"/>
          <w:sz w:val="13"/>
          <w:szCs w:val="13"/>
          <w:u w:val="single" w:color="auto"/>
          <w:color w:val="auto"/>
        </w:rPr>
        <w:t>S</w:t>
      </w:r>
      <w:r>
        <w:rPr>
          <w:rFonts w:ascii="Arial" w:cs="Arial" w:eastAsia="Arial" w:hAnsi="Arial"/>
          <w:sz w:val="13"/>
          <w:szCs w:val="13"/>
          <w:color w:val="auto"/>
        </w:rPr>
        <w:t>afety) study, and Bayer HealthCare is leading the GALILEO (</w:t>
      </w:r>
      <w:r>
        <w:rPr>
          <w:rFonts w:ascii="Arial" w:cs="Arial" w:eastAsia="Arial" w:hAnsi="Arial"/>
          <w:sz w:val="13"/>
          <w:szCs w:val="13"/>
          <w:u w:val="single" w:color="auto"/>
          <w:color w:val="auto"/>
        </w:rPr>
        <w:t>G</w:t>
      </w:r>
      <w:r>
        <w:rPr>
          <w:rFonts w:ascii="Arial" w:cs="Arial" w:eastAsia="Arial" w:hAnsi="Arial"/>
          <w:sz w:val="13"/>
          <w:szCs w:val="13"/>
          <w:color w:val="auto"/>
        </w:rPr>
        <w:t xml:space="preserve">eneral </w:t>
      </w:r>
      <w:r>
        <w:rPr>
          <w:rFonts w:ascii="Arial" w:cs="Arial" w:eastAsia="Arial" w:hAnsi="Arial"/>
          <w:sz w:val="13"/>
          <w:szCs w:val="13"/>
          <w:u w:val="single" w:color="auto"/>
          <w:color w:val="auto"/>
        </w:rPr>
        <w:t>A</w:t>
      </w:r>
      <w:r>
        <w:rPr>
          <w:rFonts w:ascii="Arial" w:cs="Arial" w:eastAsia="Arial" w:hAnsi="Arial"/>
          <w:sz w:val="13"/>
          <w:szCs w:val="13"/>
          <w:color w:val="auto"/>
        </w:rPr>
        <w:t xml:space="preserve">ssessment </w:t>
      </w:r>
      <w:r>
        <w:rPr>
          <w:rFonts w:ascii="Arial" w:cs="Arial" w:eastAsia="Arial" w:hAnsi="Arial"/>
          <w:sz w:val="13"/>
          <w:szCs w:val="13"/>
          <w:u w:val="single" w:color="auto"/>
          <w:color w:val="auto"/>
        </w:rPr>
        <w:t>L</w:t>
      </w:r>
      <w:r>
        <w:rPr>
          <w:rFonts w:ascii="Arial" w:cs="Arial" w:eastAsia="Arial" w:hAnsi="Arial"/>
          <w:sz w:val="13"/>
          <w:szCs w:val="13"/>
          <w:color w:val="auto"/>
        </w:rPr>
        <w:t xml:space="preserve">imiting </w:t>
      </w:r>
      <w:r>
        <w:rPr>
          <w:rFonts w:ascii="Arial" w:cs="Arial" w:eastAsia="Arial" w:hAnsi="Arial"/>
          <w:sz w:val="13"/>
          <w:szCs w:val="13"/>
          <w:u w:val="single" w:color="auto"/>
          <w:color w:val="auto"/>
        </w:rPr>
        <w:t>I</w:t>
      </w:r>
      <w:r>
        <w:rPr>
          <w:rFonts w:ascii="Arial" w:cs="Arial" w:eastAsia="Arial" w:hAnsi="Arial"/>
          <w:sz w:val="13"/>
          <w:szCs w:val="13"/>
          <w:color w:val="auto"/>
        </w:rPr>
        <w:t>nfi</w:t>
      </w:r>
      <w:r>
        <w:rPr>
          <w:rFonts w:ascii="Arial" w:cs="Arial" w:eastAsia="Arial" w:hAnsi="Arial"/>
          <w:sz w:val="13"/>
          <w:szCs w:val="13"/>
          <w:u w:val="single" w:color="auto"/>
          <w:color w:val="auto"/>
        </w:rPr>
        <w:t>L</w:t>
      </w:r>
      <w:r>
        <w:rPr>
          <w:rFonts w:ascii="Arial" w:cs="Arial" w:eastAsia="Arial" w:hAnsi="Arial"/>
          <w:sz w:val="13"/>
          <w:szCs w:val="13"/>
          <w:color w:val="auto"/>
        </w:rPr>
        <w:t xml:space="preserve">tration of </w:t>
      </w:r>
      <w:r>
        <w:rPr>
          <w:rFonts w:ascii="Arial" w:cs="Arial" w:eastAsia="Arial" w:hAnsi="Arial"/>
          <w:sz w:val="13"/>
          <w:szCs w:val="13"/>
          <w:u w:val="single" w:color="auto"/>
          <w:color w:val="auto"/>
        </w:rPr>
        <w:t>E</w:t>
      </w:r>
      <w:r>
        <w:rPr>
          <w:rFonts w:ascii="Arial" w:cs="Arial" w:eastAsia="Arial" w:hAnsi="Arial"/>
          <w:sz w:val="13"/>
          <w:szCs w:val="13"/>
          <w:color w:val="auto"/>
        </w:rPr>
        <w:t xml:space="preserve">xudates in central retinal vein </w:t>
      </w:r>
      <w:r>
        <w:rPr>
          <w:rFonts w:ascii="Arial" w:cs="Arial" w:eastAsia="Arial" w:hAnsi="Arial"/>
          <w:sz w:val="13"/>
          <w:szCs w:val="13"/>
          <w:u w:val="single" w:color="auto"/>
          <w:color w:val="auto"/>
        </w:rPr>
        <w:t>O</w:t>
      </w:r>
      <w:r>
        <w:rPr>
          <w:rFonts w:ascii="Arial" w:cs="Arial" w:eastAsia="Arial" w:hAnsi="Arial"/>
          <w:sz w:val="13"/>
          <w:szCs w:val="13"/>
          <w:color w:val="auto"/>
        </w:rPr>
        <w:t>cclusion with VEGF Trap-Eye) study. Patients in both studies receive six monthly intravitreal injections of either VEGF Trap-Eye at a dose of 2.0 mg or sham control injections. The primary endpoint of both studies is improvement in visual acuity versus baseline after six months of treatment as measured by the ETDRS eye chart. At the end of the initial six months, patients are dosed on a PRN basis for another six months. All patients are eligible for rescue laser treatment.</w:t>
      </w:r>
    </w:p>
    <w:p>
      <w:pPr>
        <w:spacing w:after="0" w:line="183" w:lineRule="exact"/>
        <w:rPr>
          <w:sz w:val="20"/>
          <w:szCs w:val="20"/>
          <w:color w:val="auto"/>
        </w:rPr>
      </w:pPr>
    </w:p>
    <w:p>
      <w:pPr>
        <w:jc w:val="both"/>
        <w:ind w:firstLine="194"/>
        <w:spacing w:after="0" w:line="253" w:lineRule="auto"/>
        <w:rPr>
          <w:sz w:val="20"/>
          <w:szCs w:val="20"/>
          <w:color w:val="auto"/>
        </w:rPr>
      </w:pPr>
      <w:r>
        <w:rPr>
          <w:rFonts w:ascii="Arial" w:cs="Arial" w:eastAsia="Arial" w:hAnsi="Arial"/>
          <w:sz w:val="13"/>
          <w:szCs w:val="13"/>
          <w:color w:val="auto"/>
        </w:rPr>
        <w:t>We and Bayer HealthCare announced in December 2010 that in the COPERNICUS study, VEGF Trap-Eye met the primary endpoint of a statistically significant improvement in visual acuity at six months compared to sham injections. In the study, VEGF Trap-Eye was generally well tolerated. The most common adverse events were those typically associated with intravitreal injections or the underlying disease. Serious ocular adverse events in the VEGF Trap-Eye group were uncommon (3.5%), consisting of individual reports of corneal abrasion, endophalmitis, retinal vein occlusion, and reduced visual acuity, and were more frequent in the control group (13.5%). The incidence of non-ocular serious adverse events was generally well-balanced between the treatment arms. There were no deaths among the 114 patients treated with VEGF Trap-Eye and two (2.7%) in the 73 patients treated with sham injections.</w:t>
      </w:r>
    </w:p>
    <w:p>
      <w:pPr>
        <w:spacing w:after="0" w:line="183" w:lineRule="exact"/>
        <w:rPr>
          <w:sz w:val="20"/>
          <w:szCs w:val="20"/>
          <w:color w:val="auto"/>
        </w:rPr>
      </w:pPr>
    </w:p>
    <w:p>
      <w:pPr>
        <w:jc w:val="both"/>
        <w:ind w:right="20" w:firstLine="223"/>
        <w:spacing w:after="0" w:line="289" w:lineRule="auto"/>
        <w:rPr>
          <w:sz w:val="20"/>
          <w:szCs w:val="20"/>
          <w:color w:val="auto"/>
        </w:rPr>
      </w:pPr>
      <w:r>
        <w:rPr>
          <w:rFonts w:ascii="Arial" w:cs="Arial" w:eastAsia="Arial" w:hAnsi="Arial"/>
          <w:sz w:val="12"/>
          <w:szCs w:val="12"/>
          <w:color w:val="auto"/>
        </w:rPr>
        <w:t>In April 2011, we and Bayer HealthCare announced that in the GALILEO study, VEGF Trap-Eye also met the primary endpoint of a statistically significant improvement in visual acuity at six months compared to sham injections. In this trial, 60.2% of patients receiving 2.0 mg of VEGF Trap-Eye monthly gained at least 15 letters of vision from baseline, compared to 22.1% of patients receiving sham injections (p&lt;0.0001). Patients receiving 2.0 mg of VEGF Trap-Eye monthly gained, on average, 18 letters of vision compared to a mean gain of 3.3 letters with sham injections (p&lt;0.0001), a secondary endpoint.</w:t>
      </w:r>
    </w:p>
    <w:p>
      <w:pPr>
        <w:spacing w:after="0" w:line="162" w:lineRule="exact"/>
        <w:rPr>
          <w:sz w:val="20"/>
          <w:szCs w:val="20"/>
          <w:color w:val="auto"/>
        </w:rPr>
      </w:pPr>
    </w:p>
    <w:p>
      <w:pPr>
        <w:jc w:val="both"/>
        <w:ind w:right="20" w:firstLine="194"/>
        <w:spacing w:after="0" w:line="316" w:lineRule="auto"/>
        <w:rPr>
          <w:sz w:val="20"/>
          <w:szCs w:val="20"/>
          <w:color w:val="auto"/>
        </w:rPr>
      </w:pPr>
      <w:r>
        <w:rPr>
          <w:rFonts w:ascii="Arial" w:cs="Arial" w:eastAsia="Arial" w:hAnsi="Arial"/>
          <w:sz w:val="11"/>
          <w:szCs w:val="11"/>
          <w:color w:val="auto"/>
        </w:rPr>
        <w:t>As in the COPERNICUS trial, VEGF Trap-Eye was generally well tolerated in the GALILEO study and the most common adverse events were those typically associated with intravitreal injections or the underlying disease. Serious ocular adverse events in the VEGF Trap-Eye group were 2.9% and were more frequent in the control group (8.8%). The most frequently reported adverse events overall in the VEGF Trap-Eye arm were eye pain, conjunctival hemorrhage, and elevated intraocular pressure. The most frequently reported adverse events in the control group were macular edema, eye irritation, and reduction of visual acuity. The incidence of non-ocular serious adverse events was generally well-balanced between the treatment arms. The most frequent non-ocular adverse events were headache and nasopharyngitis. There were no deaths in the study.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1" w:right="199" w:bottom="1440" w:gutter="0" w:footer="0" w:header="0"/>
        </w:sectPr>
      </w:pPr>
    </w:p>
    <w:bookmarkStart w:id="18" w:name="page19"/>
    <w:bookmarkEnd w:id="18"/>
    <w:p>
      <w:pPr>
        <w:jc w:val="both"/>
        <w:ind w:right="20" w:firstLine="252"/>
        <w:spacing w:after="0" w:line="266" w:lineRule="auto"/>
        <w:rPr>
          <w:sz w:val="20"/>
          <w:szCs w:val="20"/>
          <w:color w:val="auto"/>
        </w:rPr>
      </w:pPr>
      <w:r>
        <w:rPr>
          <w:rFonts w:ascii="Arial" w:cs="Arial" w:eastAsia="Arial" w:hAnsi="Arial"/>
          <w:sz w:val="13"/>
          <w:szCs w:val="13"/>
          <w:color w:val="auto"/>
        </w:rPr>
        <w:t>Based on these positive results, we intend to submit a regulatory application for marketing approval for VEGF Trap-Eye in CRVO in the U.S. in the second half of 2011, and Bayer HealthCare is planning to submit regulatory applications in this indication in Europe in 2012.</w:t>
      </w:r>
    </w:p>
    <w:p>
      <w:pPr>
        <w:spacing w:after="0" w:line="173" w:lineRule="exact"/>
        <w:rPr>
          <w:sz w:val="20"/>
          <w:szCs w:val="20"/>
          <w:color w:val="auto"/>
        </w:rPr>
      </w:pPr>
    </w:p>
    <w:p>
      <w:pPr>
        <w:jc w:val="both"/>
        <w:ind w:firstLine="214"/>
        <w:spacing w:after="0" w:line="279" w:lineRule="auto"/>
        <w:rPr>
          <w:sz w:val="20"/>
          <w:szCs w:val="20"/>
          <w:color w:val="auto"/>
        </w:rPr>
      </w:pPr>
      <w:r>
        <w:rPr>
          <w:rFonts w:ascii="Arial" w:cs="Arial" w:eastAsia="Arial" w:hAnsi="Arial"/>
          <w:sz w:val="12"/>
          <w:szCs w:val="12"/>
          <w:color w:val="auto"/>
        </w:rPr>
        <w:t>In April 2011, we and Bayer Healthcare announced that Bayer Healthcare initiated a Phase 3 study outside the U.S. to evaluate the safety and efficacy of VEGF Trap-Eye in DME. The study, named VIVID-DME (</w:t>
      </w:r>
      <w:r>
        <w:rPr>
          <w:rFonts w:ascii="Arial" w:cs="Arial" w:eastAsia="Arial" w:hAnsi="Arial"/>
          <w:sz w:val="12"/>
          <w:szCs w:val="12"/>
          <w:u w:val="single" w:color="auto"/>
          <w:color w:val="auto"/>
        </w:rPr>
        <w:t>V</w:t>
      </w:r>
      <w:r>
        <w:rPr>
          <w:rFonts w:ascii="Arial" w:cs="Arial" w:eastAsia="Arial" w:hAnsi="Arial"/>
          <w:sz w:val="12"/>
          <w:szCs w:val="12"/>
          <w:color w:val="auto"/>
        </w:rPr>
        <w:t xml:space="preserve">EGF Trap-Eye </w:t>
      </w:r>
      <w:r>
        <w:rPr>
          <w:rFonts w:ascii="Arial" w:cs="Arial" w:eastAsia="Arial" w:hAnsi="Arial"/>
          <w:sz w:val="12"/>
          <w:szCs w:val="12"/>
          <w:u w:val="single" w:color="auto"/>
          <w:color w:val="auto"/>
        </w:rPr>
        <w:t>I</w:t>
      </w:r>
      <w:r>
        <w:rPr>
          <w:rFonts w:ascii="Arial" w:cs="Arial" w:eastAsia="Arial" w:hAnsi="Arial"/>
          <w:sz w:val="12"/>
          <w:szCs w:val="12"/>
          <w:color w:val="auto"/>
        </w:rPr>
        <w:t xml:space="preserve">n </w:t>
      </w:r>
      <w:r>
        <w:rPr>
          <w:rFonts w:ascii="Arial" w:cs="Arial" w:eastAsia="Arial" w:hAnsi="Arial"/>
          <w:sz w:val="12"/>
          <w:szCs w:val="12"/>
          <w:u w:val="single" w:color="auto"/>
          <w:color w:val="auto"/>
        </w:rPr>
        <w:t>V</w:t>
      </w:r>
      <w:r>
        <w:rPr>
          <w:rFonts w:ascii="Arial" w:cs="Arial" w:eastAsia="Arial" w:hAnsi="Arial"/>
          <w:sz w:val="12"/>
          <w:szCs w:val="12"/>
          <w:color w:val="auto"/>
        </w:rPr>
        <w:t xml:space="preserve">ision </w:t>
      </w:r>
      <w:r>
        <w:rPr>
          <w:rFonts w:ascii="Arial" w:cs="Arial" w:eastAsia="Arial" w:hAnsi="Arial"/>
          <w:sz w:val="12"/>
          <w:szCs w:val="12"/>
          <w:u w:val="single" w:color="auto"/>
          <w:color w:val="auto"/>
        </w:rPr>
        <w:t>I</w:t>
      </w:r>
      <w:r>
        <w:rPr>
          <w:rFonts w:ascii="Arial" w:cs="Arial" w:eastAsia="Arial" w:hAnsi="Arial"/>
          <w:sz w:val="12"/>
          <w:szCs w:val="12"/>
          <w:color w:val="auto"/>
        </w:rPr>
        <w:t xml:space="preserve">mpairment </w:t>
      </w:r>
      <w:r>
        <w:rPr>
          <w:rFonts w:ascii="Arial" w:cs="Arial" w:eastAsia="Arial" w:hAnsi="Arial"/>
          <w:sz w:val="12"/>
          <w:szCs w:val="12"/>
          <w:u w:val="single" w:color="auto"/>
          <w:color w:val="auto"/>
        </w:rPr>
        <w:t>D</w:t>
      </w:r>
      <w:r>
        <w:rPr>
          <w:rFonts w:ascii="Arial" w:cs="Arial" w:eastAsia="Arial" w:hAnsi="Arial"/>
          <w:sz w:val="12"/>
          <w:szCs w:val="12"/>
          <w:color w:val="auto"/>
        </w:rPr>
        <w:t xml:space="preserve">ue to </w:t>
      </w:r>
      <w:r>
        <w:rPr>
          <w:rFonts w:ascii="Arial" w:cs="Arial" w:eastAsia="Arial" w:hAnsi="Arial"/>
          <w:sz w:val="12"/>
          <w:szCs w:val="12"/>
          <w:u w:val="single" w:color="auto"/>
          <w:color w:val="auto"/>
        </w:rPr>
        <w:t>DME</w:t>
      </w:r>
      <w:r>
        <w:rPr>
          <w:rFonts w:ascii="Arial" w:cs="Arial" w:eastAsia="Arial" w:hAnsi="Arial"/>
          <w:sz w:val="12"/>
          <w:szCs w:val="12"/>
          <w:color w:val="auto"/>
        </w:rPr>
        <w:t>), has three study arms. In the first arm, patients will be treated every month with 2.0 mg of VEGF Trap-Eye. In the second arm, patients will be treated with 2.0 mg of VEGF Trap-Eye every two months after an initial phase of monthly injections. In the third arm, the comparator arm, patients will be treated with macular laser photocoagulation. The primary endpoint of the study is mean change in visual acuity from baseline as measured by the ETDRS eye chart. All patients will be followed for three years. We intend to commence a second Phase 3 study in DME, the VISTA-DME study (</w:t>
      </w:r>
      <w:r>
        <w:rPr>
          <w:rFonts w:ascii="Arial" w:cs="Arial" w:eastAsia="Arial" w:hAnsi="Arial"/>
          <w:sz w:val="12"/>
          <w:szCs w:val="12"/>
          <w:u w:val="single" w:color="auto"/>
          <w:color w:val="auto"/>
        </w:rPr>
        <w:t>V</w:t>
      </w:r>
      <w:r>
        <w:rPr>
          <w:rFonts w:ascii="Arial" w:cs="Arial" w:eastAsia="Arial" w:hAnsi="Arial"/>
          <w:sz w:val="12"/>
          <w:szCs w:val="12"/>
          <w:color w:val="auto"/>
        </w:rPr>
        <w:t xml:space="preserve">EGF Trap-Eye: </w:t>
      </w:r>
      <w:r>
        <w:rPr>
          <w:rFonts w:ascii="Arial" w:cs="Arial" w:eastAsia="Arial" w:hAnsi="Arial"/>
          <w:sz w:val="12"/>
          <w:szCs w:val="12"/>
          <w:u w:val="single" w:color="auto"/>
          <w:color w:val="auto"/>
        </w:rPr>
        <w:t>I</w:t>
      </w:r>
      <w:r>
        <w:rPr>
          <w:rFonts w:ascii="Arial" w:cs="Arial" w:eastAsia="Arial" w:hAnsi="Arial"/>
          <w:sz w:val="12"/>
          <w:szCs w:val="12"/>
          <w:color w:val="auto"/>
        </w:rPr>
        <w:t xml:space="preserve">nvestigation of </w:t>
      </w:r>
      <w:r>
        <w:rPr>
          <w:rFonts w:ascii="Arial" w:cs="Arial" w:eastAsia="Arial" w:hAnsi="Arial"/>
          <w:sz w:val="12"/>
          <w:szCs w:val="12"/>
          <w:u w:val="single" w:color="auto"/>
          <w:color w:val="auto"/>
        </w:rPr>
        <w:t>S</w:t>
      </w:r>
      <w:r>
        <w:rPr>
          <w:rFonts w:ascii="Arial" w:cs="Arial" w:eastAsia="Arial" w:hAnsi="Arial"/>
          <w:sz w:val="12"/>
          <w:szCs w:val="12"/>
          <w:color w:val="auto"/>
        </w:rPr>
        <w:t xml:space="preserve">afety, </w:t>
      </w:r>
      <w:r>
        <w:rPr>
          <w:rFonts w:ascii="Arial" w:cs="Arial" w:eastAsia="Arial" w:hAnsi="Arial"/>
          <w:sz w:val="12"/>
          <w:szCs w:val="12"/>
          <w:u w:val="single" w:color="auto"/>
          <w:color w:val="auto"/>
        </w:rPr>
        <w:t>T</w:t>
      </w:r>
      <w:r>
        <w:rPr>
          <w:rFonts w:ascii="Arial" w:cs="Arial" w:eastAsia="Arial" w:hAnsi="Arial"/>
          <w:sz w:val="12"/>
          <w:szCs w:val="12"/>
          <w:color w:val="auto"/>
        </w:rPr>
        <w:t xml:space="preserve">reatment effect, and </w:t>
      </w:r>
      <w:r>
        <w:rPr>
          <w:rFonts w:ascii="Arial" w:cs="Arial" w:eastAsia="Arial" w:hAnsi="Arial"/>
          <w:sz w:val="12"/>
          <w:szCs w:val="12"/>
          <w:u w:val="single" w:color="auto"/>
          <w:color w:val="auto"/>
        </w:rPr>
        <w:t>A</w:t>
      </w:r>
      <w:r>
        <w:rPr>
          <w:rFonts w:ascii="Arial" w:cs="Arial" w:eastAsia="Arial" w:hAnsi="Arial"/>
          <w:sz w:val="12"/>
          <w:szCs w:val="12"/>
          <w:color w:val="auto"/>
        </w:rPr>
        <w:t xml:space="preserve">natomic outcomes in </w:t>
      </w:r>
      <w:r>
        <w:rPr>
          <w:rFonts w:ascii="Arial" w:cs="Arial" w:eastAsia="Arial" w:hAnsi="Arial"/>
          <w:sz w:val="12"/>
          <w:szCs w:val="12"/>
          <w:u w:val="single" w:color="auto"/>
          <w:color w:val="auto"/>
        </w:rPr>
        <w:t>DME</w:t>
      </w:r>
      <w:r>
        <w:rPr>
          <w:rFonts w:ascii="Arial" w:cs="Arial" w:eastAsia="Arial" w:hAnsi="Arial"/>
          <w:sz w:val="12"/>
          <w:szCs w:val="12"/>
          <w:color w:val="auto"/>
        </w:rPr>
        <w:t>), in the U.S., Canada, and other countries, later in 2011.</w:t>
      </w:r>
    </w:p>
    <w:p>
      <w:pPr>
        <w:spacing w:after="0" w:line="169" w:lineRule="exact"/>
        <w:rPr>
          <w:sz w:val="20"/>
          <w:szCs w:val="20"/>
          <w:color w:val="auto"/>
        </w:rPr>
      </w:pPr>
    </w:p>
    <w:p>
      <w:pPr>
        <w:jc w:val="both"/>
        <w:ind w:right="20" w:firstLine="204"/>
        <w:spacing w:after="0" w:line="266" w:lineRule="auto"/>
        <w:rPr>
          <w:sz w:val="20"/>
          <w:szCs w:val="20"/>
          <w:color w:val="auto"/>
        </w:rPr>
      </w:pPr>
      <w:r>
        <w:rPr>
          <w:rFonts w:ascii="Arial" w:cs="Arial" w:eastAsia="Arial" w:hAnsi="Arial"/>
          <w:sz w:val="13"/>
          <w:szCs w:val="13"/>
          <w:color w:val="auto"/>
        </w:rPr>
        <w:t>In January 2011, Regeneron and Bayer HealthCare initiated a Phase 3 trial in Asia in collaboration with the Singapore Eye Research Institute (SERI) investigating the efficacy and safety of VEGF Trap-Eye in patients with CNV of the retina as a result of pathologic myopia. The study, which will enroll approximately 250 patients, has started in Japan and is scheduled to run until June 2013.</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Collaboration with Bayer HealthCare</w:t>
      </w:r>
    </w:p>
    <w:p>
      <w:pPr>
        <w:spacing w:after="0" w:line="204" w:lineRule="exact"/>
        <w:rPr>
          <w:sz w:val="20"/>
          <w:szCs w:val="20"/>
          <w:color w:val="auto"/>
        </w:rPr>
      </w:pPr>
    </w:p>
    <w:p>
      <w:pPr>
        <w:jc w:val="both"/>
        <w:ind w:firstLine="214"/>
        <w:spacing w:after="0" w:line="305" w:lineRule="auto"/>
        <w:rPr>
          <w:sz w:val="20"/>
          <w:szCs w:val="20"/>
          <w:color w:val="auto"/>
        </w:rPr>
      </w:pPr>
      <w:r>
        <w:rPr>
          <w:rFonts w:ascii="Arial" w:cs="Arial" w:eastAsia="Arial" w:hAnsi="Arial"/>
          <w:sz w:val="11"/>
          <w:szCs w:val="11"/>
          <w:color w:val="auto"/>
        </w:rPr>
        <w:t>In October 2006, we entered into a license and collaboration agreement with Bayer HealthCare for the global development and commercialization outside the U.S. of VEGF Trap-Eye. Under the agreement, we and Bayer HealthCare collaborate on, and share the costs of, the development of VEGF Trap-Eye through an integrated global plan. Bayer HealthCare will market VEGF Trap-Eye outside the U.S., where the companies will share equally in profits from any future sales of VEGF Trap-Eye. Commencing on the first commercial sale of VEGF Trap-Eye in a major market country outside the U.S., we will be obligated to reimburse Bayer HealthCare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HealthCare at a faster rate. Within the U.S., we retain exclusive commercialization rights to VEGF Trap-Eye and are entitled to all profits from any such sales. We have received $60 million in development milestone payments and can earn up to $50 million in future milestone payments related to marketing approvals of VEGF Trap-Eye in major market countries outside the U.S. We can also earn up to $135 million in sales milestone payments if total annual sales of VEGF Trap-Eye outside the U.S. achieve certain specified levels starting at $200 million.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 ZALTRAP</w:t>
      </w:r>
      <w:r>
        <w:rPr>
          <w:rFonts w:ascii="Arial" w:cs="Arial" w:eastAsia="Arial" w:hAnsi="Arial"/>
          <w:sz w:val="17"/>
          <w:szCs w:val="17"/>
          <w:b w:val="1"/>
          <w:bCs w:val="1"/>
          <w:i w:val="1"/>
          <w:iCs w:val="1"/>
          <w:color w:val="auto"/>
          <w:vertAlign w:val="superscript"/>
        </w:rPr>
        <w:t>TM</w:t>
      </w:r>
      <w:r>
        <w:rPr>
          <w:rFonts w:ascii="Arial" w:cs="Arial" w:eastAsia="Arial" w:hAnsi="Arial"/>
          <w:sz w:val="13"/>
          <w:szCs w:val="13"/>
          <w:b w:val="1"/>
          <w:bCs w:val="1"/>
          <w:i w:val="1"/>
          <w:iCs w:val="1"/>
          <w:color w:val="auto"/>
        </w:rPr>
        <w:t xml:space="preserve"> (also known as aflibercept or VEGF Trap) – Oncology</w:t>
      </w:r>
    </w:p>
    <w:p>
      <w:pPr>
        <w:spacing w:after="0" w:line="135" w:lineRule="exact"/>
        <w:rPr>
          <w:sz w:val="20"/>
          <w:szCs w:val="20"/>
          <w:color w:val="auto"/>
        </w:rPr>
      </w:pPr>
    </w:p>
    <w:p>
      <w:pPr>
        <w:jc w:val="both"/>
        <w:ind w:right="20" w:firstLine="214"/>
        <w:spacing w:after="0" w:line="273" w:lineRule="auto"/>
        <w:rPr>
          <w:sz w:val="20"/>
          <w:szCs w:val="20"/>
          <w:color w:val="auto"/>
        </w:rPr>
      </w:pPr>
      <w:r>
        <w:rPr>
          <w:rFonts w:ascii="Arial" w:cs="Arial" w:eastAsia="Arial" w:hAnsi="Arial"/>
          <w:sz w:val="11"/>
          <w:szCs w:val="11"/>
          <w:color w:val="auto"/>
        </w:rPr>
        <w:t>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(aflibercept) is a protein-based product candidate designed to bind all forms of Vascular Endothelial Growth Factor-A (called VEGF-A), VEGF-B, and the related Placental Growth Factor (called PlGF), and prevent their interaction with cell surface receptors. VEGF-A (and to a lesser degree, PlGF) is required for the growth of new blood vessels (a process known as angiogenesis) that are needed for tumors to grow.</w:t>
      </w:r>
    </w:p>
    <w:p>
      <w:pPr>
        <w:spacing w:after="0" w:line="145" w:lineRule="exact"/>
        <w:rPr>
          <w:sz w:val="20"/>
          <w:szCs w:val="20"/>
          <w:color w:val="auto"/>
        </w:rPr>
      </w:pPr>
    </w:p>
    <w:p>
      <w:pPr>
        <w:jc w:val="both"/>
        <w:ind w:right="20" w:firstLine="204"/>
        <w:spacing w:after="0" w:line="282" w:lineRule="auto"/>
        <w:rPr>
          <w:sz w:val="20"/>
          <w:szCs w:val="20"/>
          <w:color w:val="auto"/>
        </w:rPr>
      </w:pPr>
      <w:r>
        <w:rPr>
          <w:rFonts w:ascii="Arial" w:cs="Arial" w:eastAsia="Arial" w:hAnsi="Arial"/>
          <w:sz w:val="11"/>
          <w:szCs w:val="11"/>
          <w:color w:val="auto"/>
        </w:rPr>
        <w:t>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is being developed globally in cancer indications in collaboration with sanofi-aventis. In April 2011, we and sanofi-aventis announced that the Phase 3 VELOUR trial evaluating ZALTRAP™ in combination with the FOLFIRI chemotherapy regimen [folinic acid (leucovorin), 5-fluorouracil, and irinotecan] versus a regimen of FOLFIRI plus placebo met its primary endpoint of improving overall survival (OS) in the second-line treatment of metastatic colorectal cancer (mCRC). Full results will be presented at an upcoming medical meeting. The most frequent adverse events reported with ZALTRAP™ in combination with FOLFIRI were diarrhea, asthenia/fatigue, stomatitis and ulceration, nausea, infection, hypertension, gastrointestinal and abdominal pains, vomiting, decreased appetite, decreased weight, epistaxis, alopecia, and dysphonia.</w:t>
      </w:r>
    </w:p>
    <w:p>
      <w:pPr>
        <w:spacing w:after="0" w:line="148" w:lineRule="exact"/>
        <w:rPr>
          <w:sz w:val="20"/>
          <w:szCs w:val="20"/>
          <w:color w:val="auto"/>
        </w:rPr>
      </w:pPr>
    </w:p>
    <w:p>
      <w:pPr>
        <w:jc w:val="both"/>
        <w:ind w:right="20" w:firstLine="233"/>
        <w:spacing w:after="0" w:line="266" w:lineRule="auto"/>
        <w:rPr>
          <w:sz w:val="20"/>
          <w:szCs w:val="20"/>
          <w:color w:val="auto"/>
        </w:rPr>
      </w:pPr>
      <w:r>
        <w:rPr>
          <w:rFonts w:ascii="Arial" w:cs="Arial" w:eastAsia="Arial" w:hAnsi="Arial"/>
          <w:sz w:val="13"/>
          <w:szCs w:val="13"/>
          <w:color w:val="auto"/>
        </w:rPr>
        <w:t>Based upon these positive findings, we and sanofi-aventis plan to submit regulatory applications for marketing approval of ZALTRAP™ for the second-line treatment of mCRC to the FDA and the European Medicines Agency (EMA) in the second half of 2011.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2" w:right="199" w:bottom="1440" w:gutter="0" w:footer="0" w:header="0"/>
        </w:sectPr>
      </w:pPr>
    </w:p>
    <w:bookmarkStart w:id="19" w:name="page20"/>
    <w:bookmarkEnd w:id="19"/>
    <w:p>
      <w:pPr>
        <w:jc w:val="both"/>
        <w:ind w:firstLine="282"/>
        <w:spacing w:after="0" w:line="221" w:lineRule="auto"/>
        <w:rPr>
          <w:sz w:val="20"/>
          <w:szCs w:val="20"/>
          <w:color w:val="auto"/>
        </w:rPr>
      </w:pPr>
      <w:r>
        <w:rPr>
          <w:rFonts w:ascii="Arial" w:cs="Arial" w:eastAsia="Arial" w:hAnsi="Arial"/>
          <w:sz w:val="12"/>
          <w:szCs w:val="12"/>
          <w:color w:val="auto"/>
        </w:rPr>
        <w:t>In March 2011, we and sanofi-aventis announced results from the Phase 3 VITAL trial evaluating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for the second-line treatment of non-small cell lung cancer (NSCLC). The data showed that adding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to the chemotherapy drug docetaxel did not meet the pre-specified criteria for the primary endpoint of improvement in overall survival compared with a regimen of docetaxel plus placebo (HR=1.01, CI: 0.868 to 1.174). The addition of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to docetaxel demonstrated activity as measured by key secondary endpoints of the study: progression free survival (PFS) (HR=0.82, CI: 0.716 to 0.937) and an overall objective response rate (ORR) of 23.3% in the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arm compared to 8.9% in the placebo arm. Consistent with published literature reporting on combined cytotoxic and anti-VEGF therapy, the incidence of adverse events was higher in the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arm compared to placebo. The most frequent Grade 3/4 adverse events included fatigue, stomatitis, disease progression, and hypertension.</w:t>
      </w:r>
    </w:p>
    <w:p>
      <w:pPr>
        <w:spacing w:after="0" w:line="104" w:lineRule="exact"/>
        <w:rPr>
          <w:sz w:val="20"/>
          <w:szCs w:val="20"/>
          <w:color w:val="auto"/>
        </w:rPr>
      </w:pPr>
    </w:p>
    <w:p>
      <w:pPr>
        <w:jc w:val="both"/>
        <w:ind w:right="20" w:firstLine="340"/>
        <w:spacing w:after="0" w:line="233" w:lineRule="auto"/>
        <w:rPr>
          <w:sz w:val="20"/>
          <w:szCs w:val="20"/>
          <w:color w:val="auto"/>
        </w:rPr>
      </w:pPr>
      <w:r>
        <w:rPr>
          <w:rFonts w:ascii="Arial" w:cs="Arial" w:eastAsia="Arial" w:hAnsi="Arial"/>
          <w:sz w:val="13"/>
          <w:szCs w:val="13"/>
          <w:color w:val="auto"/>
        </w:rPr>
        <w:t>Another randomized, double-blind Phase 3 trial (VENICE), which is fully enrolled, is evaluating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as a first-line treatment for hormone-refractory metastatic prostate cancer in combination with docetaxel/prednisone. The VENICE trial is being monitored by an Independent Data Monitoring Committee (IDMC), a body of independent clinical and statistical experts. The IDMCs meet periodically to evaluate data from the trial and may recommend changes in study design or study discontinuation. Both interim and final analyses will be conducted when a pre-specified number of events have occurred in this trial. Based on projected event rates, an interim analysis of the VENICE trial is expected to be conducted by an IDMC in mid-2011, with final results anticipated in 2012.</w:t>
      </w:r>
    </w:p>
    <w:p>
      <w:pPr>
        <w:spacing w:after="0" w:line="171" w:lineRule="exact"/>
        <w:rPr>
          <w:sz w:val="20"/>
          <w:szCs w:val="20"/>
          <w:color w:val="auto"/>
        </w:rPr>
      </w:pPr>
    </w:p>
    <w:p>
      <w:pPr>
        <w:jc w:val="both"/>
        <w:ind w:right="20" w:firstLine="204"/>
        <w:spacing w:after="0" w:line="220" w:lineRule="auto"/>
        <w:rPr>
          <w:sz w:val="20"/>
          <w:szCs w:val="20"/>
          <w:color w:val="auto"/>
        </w:rPr>
      </w:pPr>
      <w:r>
        <w:rPr>
          <w:rFonts w:ascii="Arial" w:cs="Arial" w:eastAsia="Arial" w:hAnsi="Arial"/>
          <w:sz w:val="13"/>
          <w:szCs w:val="13"/>
          <w:color w:val="auto"/>
        </w:rPr>
        <w:t>In addition, a randomized Phase 2 study (AFFIRM) of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first-line mCRC in combination with FOLFOX [folinic acid (leucovorin), 5-fluorouracil, and oxaliplatin] is fully enrolled. Initial data from this study are anticipated in the second half of 2011.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ZALTRAP</w:t>
      </w:r>
      <w:r>
        <w:rPr>
          <w:rFonts w:ascii="Arial" w:cs="Arial" w:eastAsia="Arial" w:hAnsi="Arial"/>
          <w:sz w:val="17"/>
          <w:szCs w:val="17"/>
          <w:b w:val="1"/>
          <w:bCs w:val="1"/>
          <w:color w:val="auto"/>
          <w:vertAlign w:val="superscript"/>
        </w:rPr>
        <w:t>TM</w:t>
      </w:r>
      <w:r>
        <w:rPr>
          <w:rFonts w:ascii="Arial" w:cs="Arial" w:eastAsia="Arial" w:hAnsi="Arial"/>
          <w:sz w:val="13"/>
          <w:szCs w:val="13"/>
          <w:b w:val="1"/>
          <w:bCs w:val="1"/>
          <w:color w:val="auto"/>
        </w:rPr>
        <w:t xml:space="preserve"> Collaboration with sanofi-aventis</w:t>
      </w:r>
    </w:p>
    <w:p>
      <w:pPr>
        <w:spacing w:after="0" w:line="119" w:lineRule="exact"/>
        <w:rPr>
          <w:sz w:val="20"/>
          <w:szCs w:val="20"/>
          <w:color w:val="auto"/>
        </w:rPr>
      </w:pPr>
    </w:p>
    <w:p>
      <w:pPr>
        <w:jc w:val="both"/>
        <w:ind w:right="20" w:firstLine="187"/>
        <w:spacing w:after="0" w:line="265" w:lineRule="auto"/>
        <w:rPr>
          <w:sz w:val="20"/>
          <w:szCs w:val="20"/>
          <w:color w:val="auto"/>
        </w:rPr>
      </w:pPr>
      <w:r>
        <w:rPr>
          <w:rFonts w:ascii="Arial" w:cs="Arial" w:eastAsia="Arial" w:hAnsi="Arial"/>
          <w:sz w:val="11"/>
          <w:szCs w:val="11"/>
          <w:color w:val="auto"/>
        </w:rPr>
        <w:t>We and sanofi-aventis globally collaborate on the development and commercialization of ZALTRAP</w:t>
      </w:r>
      <w:r>
        <w:rPr>
          <w:rFonts w:ascii="Arial" w:cs="Arial" w:eastAsia="Arial" w:hAnsi="Arial"/>
          <w:sz w:val="15"/>
          <w:szCs w:val="15"/>
          <w:color w:val="auto"/>
          <w:vertAlign w:val="superscript"/>
        </w:rPr>
        <w:t>TM</w:t>
      </w:r>
      <w:r>
        <w:rPr>
          <w:rFonts w:ascii="Arial" w:cs="Arial" w:eastAsia="Arial" w:hAnsi="Arial"/>
          <w:sz w:val="11"/>
          <w:szCs w:val="11"/>
          <w:color w:val="auto"/>
        </w:rPr>
        <w:t>. Under the terms of our September 2003 collaboration agreement, as amended, we and sanofi-aventis will share co-promotion rights and profits on sales, if any, of 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outside of Japan for disease indications included in our collaboration. In Japan, we are entitled to a royalty of approximately 35% on annual sales of ZALTRAP</w:t>
      </w:r>
      <w:r>
        <w:rPr>
          <w:rFonts w:ascii="Arial" w:cs="Arial" w:eastAsia="Arial" w:hAnsi="Arial"/>
          <w:sz w:val="15"/>
          <w:szCs w:val="15"/>
          <w:color w:val="auto"/>
          <w:vertAlign w:val="superscript"/>
        </w:rPr>
        <w:t>TM</w:t>
      </w:r>
      <w:r>
        <w:rPr>
          <w:rFonts w:ascii="Arial" w:cs="Arial" w:eastAsia="Arial" w:hAnsi="Arial"/>
          <w:sz w:val="11"/>
          <w:szCs w:val="11"/>
          <w:color w:val="auto"/>
        </w:rPr>
        <w:t>, subject to certain potential adjustments. We may also receive up to $400 million in milestone payments upon receipt of specified marketing approvals, including up to $360 million related to the receipt of marketing approvals for up to eight 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oncology and other indications in the U.S. or the European Union and up to $40 million related to the receipt of marketing approvals for up to five oncology indications in Japan.</w:t>
      </w:r>
    </w:p>
    <w:p>
      <w:pPr>
        <w:spacing w:after="0" w:line="85" w:lineRule="exact"/>
        <w:rPr>
          <w:sz w:val="20"/>
          <w:szCs w:val="20"/>
          <w:color w:val="auto"/>
        </w:rPr>
      </w:pPr>
    </w:p>
    <w:p>
      <w:pPr>
        <w:jc w:val="both"/>
        <w:ind w:right="20" w:firstLine="282"/>
        <w:spacing w:after="0" w:line="234" w:lineRule="auto"/>
        <w:rPr>
          <w:sz w:val="20"/>
          <w:szCs w:val="20"/>
          <w:color w:val="auto"/>
        </w:rPr>
      </w:pPr>
      <w:r>
        <w:rPr>
          <w:rFonts w:ascii="Arial" w:cs="Arial" w:eastAsia="Arial" w:hAnsi="Arial"/>
          <w:sz w:val="12"/>
          <w:szCs w:val="12"/>
          <w:color w:val="auto"/>
        </w:rPr>
        <w:t>Under the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collaboration agreement, as amended, agreed upon worldwide development expenses incurred by both companies during the term of the agreement will be funded by sanofi-aventis. If the collaboration becomes profitable, we will be obligated to reimburse sanofi-aventis out of our share of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profits for 50% of the development expenses that they funded. The reimbursement payment in any quarter will equal 5% of the then outstanding repayment obligation, but never more than our share of the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profits in the quarter unless we elect to reimburse sanofi-aventis at a faster rate.</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3. ARCALYST</w:t>
      </w:r>
      <w:r>
        <w:rPr>
          <w:rFonts w:ascii="Arial" w:cs="Arial" w:eastAsia="Arial" w:hAnsi="Arial"/>
          <w:sz w:val="17"/>
          <w:szCs w:val="17"/>
          <w:b w:val="1"/>
          <w:bCs w:val="1"/>
          <w:color w:val="auto"/>
          <w:vertAlign w:val="superscript"/>
        </w:rPr>
        <w:t>®</w:t>
      </w:r>
      <w:r>
        <w:rPr>
          <w:rFonts w:ascii="Arial" w:cs="Arial" w:eastAsia="Arial" w:hAnsi="Arial"/>
          <w:sz w:val="13"/>
          <w:szCs w:val="13"/>
          <w:b w:val="1"/>
          <w:bCs w:val="1"/>
          <w:i w:val="1"/>
          <w:iCs w:val="1"/>
          <w:color w:val="auto"/>
        </w:rPr>
        <w:t>– Inflammatory Diseases</w:t>
      </w:r>
    </w:p>
    <w:p>
      <w:pPr>
        <w:spacing w:after="0" w:line="158" w:lineRule="exact"/>
        <w:rPr>
          <w:sz w:val="20"/>
          <w:szCs w:val="20"/>
          <w:color w:val="auto"/>
        </w:rPr>
      </w:pPr>
    </w:p>
    <w:p>
      <w:pPr>
        <w:jc w:val="both"/>
        <w:ind w:firstLine="214"/>
        <w:spacing w:after="0" w:line="258" w:lineRule="auto"/>
        <w:rPr>
          <w:sz w:val="20"/>
          <w:szCs w:val="20"/>
          <w:color w:val="auto"/>
        </w:rPr>
      </w:pPr>
      <w:r>
        <w:rPr>
          <w:rFonts w:ascii="Arial" w:cs="Arial" w:eastAsia="Arial" w:hAnsi="Arial"/>
          <w:sz w:val="12"/>
          <w:szCs w:val="12"/>
          <w:color w:val="auto"/>
        </w:rPr>
        <w:t>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(rilonacept) is being developed for the prevention of gout flares in patients initiating uric acid-lowering therapy. Gout, a disease in which IL-1 may play an important role in pain and inflammation, is a very painful and common form of arthritis that results from high levels of uric acid, a bodily waste product normally excreted by the kidneys. The elevated uric acid can lead to formation of urate crystals in the joints of the toes, ankles, knees, wrists, fingers, and elbows. Uric acid-lowering therapy, most commonly allopurinol, is prescribed to eliminate the urate crystals and prevent them from reforming. Paradoxically, the initiation of uric acid-lowering therapy often triggers an increase in the frequency of gout attacks in the first several months of treatment, which may lead to discontinuation of therapy. The break up of the urate crystals can result in stimulation of inflammatory mediators, including IL-1, resulting in acute flares of joint pain and inflammation. These painful flares generally persist for at least five days.</w:t>
      </w:r>
    </w:p>
    <w:p>
      <w:pPr>
        <w:spacing w:after="0" w:line="179" w:lineRule="exact"/>
        <w:rPr>
          <w:sz w:val="20"/>
          <w:szCs w:val="20"/>
          <w:color w:val="auto"/>
        </w:rPr>
      </w:pPr>
    </w:p>
    <w:p>
      <w:pPr>
        <w:jc w:val="both"/>
        <w:ind w:right="20" w:firstLine="194"/>
        <w:spacing w:after="0" w:line="220" w:lineRule="auto"/>
        <w:rPr>
          <w:sz w:val="20"/>
          <w:szCs w:val="20"/>
          <w:color w:val="auto"/>
        </w:rPr>
      </w:pPr>
      <w:r>
        <w:rPr>
          <w:rFonts w:ascii="Arial" w:cs="Arial" w:eastAsia="Arial" w:hAnsi="Arial"/>
          <w:sz w:val="13"/>
          <w:szCs w:val="13"/>
          <w:color w:val="auto"/>
        </w:rPr>
        <w:t>We have been conducting a Phase 3 clinical development program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gout patients initiating uric acid-lowering therapy. The program consists of three studies: PRE-SURGE 1 (</w:t>
      </w:r>
      <w:r>
        <w:rPr>
          <w:rFonts w:ascii="Arial" w:cs="Arial" w:eastAsia="Arial" w:hAnsi="Arial"/>
          <w:sz w:val="13"/>
          <w:szCs w:val="13"/>
          <w:u w:val="single" w:color="auto"/>
          <w:color w:val="auto"/>
        </w:rPr>
        <w:t>PRE</w:t>
      </w:r>
      <w:r>
        <w:rPr>
          <w:rFonts w:ascii="Arial" w:cs="Arial" w:eastAsia="Arial" w:hAnsi="Arial"/>
          <w:sz w:val="13"/>
          <w:szCs w:val="13"/>
          <w:color w:val="auto"/>
        </w:rPr>
        <w:t xml:space="preserve">vention </w:t>
      </w:r>
      <w:r>
        <w:rPr>
          <w:rFonts w:ascii="Arial" w:cs="Arial" w:eastAsia="Arial" w:hAnsi="Arial"/>
          <w:sz w:val="13"/>
          <w:szCs w:val="13"/>
          <w:u w:val="single" w:color="auto"/>
          <w:color w:val="auto"/>
        </w:rPr>
        <w:t>S</w:t>
      </w:r>
      <w:r>
        <w:rPr>
          <w:rFonts w:ascii="Arial" w:cs="Arial" w:eastAsia="Arial" w:hAnsi="Arial"/>
          <w:sz w:val="13"/>
          <w:szCs w:val="13"/>
          <w:color w:val="auto"/>
        </w:rPr>
        <w:t xml:space="preserve">tudy against </w:t>
      </w:r>
      <w:r>
        <w:rPr>
          <w:rFonts w:ascii="Arial" w:cs="Arial" w:eastAsia="Arial" w:hAnsi="Arial"/>
          <w:sz w:val="13"/>
          <w:szCs w:val="13"/>
          <w:u w:val="single" w:color="auto"/>
          <w:color w:val="auto"/>
        </w:rPr>
        <w:t>UR</w:t>
      </w:r>
      <w:r>
        <w:rPr>
          <w:rFonts w:ascii="Arial" w:cs="Arial" w:eastAsia="Arial" w:hAnsi="Arial"/>
          <w:sz w:val="13"/>
          <w:szCs w:val="13"/>
          <w:color w:val="auto"/>
        </w:rPr>
        <w:t xml:space="preserve">ate-lowering drug-induced </w:t>
      </w:r>
      <w:r>
        <w:rPr>
          <w:rFonts w:ascii="Arial" w:cs="Arial" w:eastAsia="Arial" w:hAnsi="Arial"/>
          <w:sz w:val="13"/>
          <w:szCs w:val="13"/>
          <w:u w:val="single" w:color="auto"/>
          <w:color w:val="auto"/>
        </w:rPr>
        <w:t>G</w:t>
      </w:r>
      <w:r>
        <w:rPr>
          <w:rFonts w:ascii="Arial" w:cs="Arial" w:eastAsia="Arial" w:hAnsi="Arial"/>
          <w:sz w:val="13"/>
          <w:szCs w:val="13"/>
          <w:color w:val="auto"/>
        </w:rPr>
        <w:t xml:space="preserve">out </w:t>
      </w:r>
      <w:r>
        <w:rPr>
          <w:rFonts w:ascii="Arial" w:cs="Arial" w:eastAsia="Arial" w:hAnsi="Arial"/>
          <w:sz w:val="13"/>
          <w:szCs w:val="13"/>
          <w:u w:val="single" w:color="auto"/>
          <w:color w:val="auto"/>
        </w:rPr>
        <w:t>E</w:t>
      </w:r>
      <w:r>
        <w:rPr>
          <w:rFonts w:ascii="Arial" w:cs="Arial" w:eastAsia="Arial" w:hAnsi="Arial"/>
          <w:sz w:val="13"/>
          <w:szCs w:val="13"/>
          <w:color w:val="auto"/>
        </w:rPr>
        <w:t>xacerbations), PRE-SURGE 2, and RE-SURGE (</w:t>
      </w:r>
      <w:r>
        <w:rPr>
          <w:rFonts w:ascii="Arial" w:cs="Arial" w:eastAsia="Arial" w:hAnsi="Arial"/>
          <w:sz w:val="13"/>
          <w:szCs w:val="13"/>
          <w:u w:val="single" w:color="auto"/>
          <w:color w:val="auto"/>
        </w:rPr>
        <w:t>RE</w:t>
      </w:r>
      <w:r>
        <w:rPr>
          <w:rFonts w:ascii="Arial" w:cs="Arial" w:eastAsia="Arial" w:hAnsi="Arial"/>
          <w:sz w:val="13"/>
          <w:szCs w:val="13"/>
          <w:color w:val="auto"/>
        </w:rPr>
        <w:t xml:space="preserve">view of </w:t>
      </w:r>
      <w:r>
        <w:rPr>
          <w:rFonts w:ascii="Arial" w:cs="Arial" w:eastAsia="Arial" w:hAnsi="Arial"/>
          <w:sz w:val="13"/>
          <w:szCs w:val="13"/>
          <w:u w:val="single" w:color="auto"/>
          <w:color w:val="auto"/>
        </w:rPr>
        <w:t>S</w:t>
      </w:r>
      <w:r>
        <w:rPr>
          <w:rFonts w:ascii="Arial" w:cs="Arial" w:eastAsia="Arial" w:hAnsi="Arial"/>
          <w:sz w:val="13"/>
          <w:szCs w:val="13"/>
          <w:color w:val="auto"/>
        </w:rPr>
        <w:t xml:space="preserve">afety </w:t>
      </w:r>
      <w:r>
        <w:rPr>
          <w:rFonts w:ascii="Arial" w:cs="Arial" w:eastAsia="Arial" w:hAnsi="Arial"/>
          <w:sz w:val="13"/>
          <w:szCs w:val="13"/>
          <w:u w:val="single" w:color="auto"/>
          <w:color w:val="auto"/>
        </w:rPr>
        <w:t>U</w:t>
      </w:r>
      <w:r>
        <w:rPr>
          <w:rFonts w:ascii="Arial" w:cs="Arial" w:eastAsia="Arial" w:hAnsi="Arial"/>
          <w:sz w:val="13"/>
          <w:szCs w:val="13"/>
          <w:color w:val="auto"/>
        </w:rPr>
        <w:t xml:space="preserve">tilizing </w:t>
      </w:r>
      <w:r>
        <w:rPr>
          <w:rFonts w:ascii="Arial" w:cs="Arial" w:eastAsia="Arial" w:hAnsi="Arial"/>
          <w:sz w:val="13"/>
          <w:szCs w:val="13"/>
          <w:u w:val="single" w:color="auto"/>
          <w:color w:val="auto"/>
        </w:rPr>
        <w:t>R</w:t>
      </w:r>
      <w:r>
        <w:rPr>
          <w:rFonts w:ascii="Arial" w:cs="Arial" w:eastAsia="Arial" w:hAnsi="Arial"/>
          <w:sz w:val="13"/>
          <w:szCs w:val="13"/>
          <w:color w:val="auto"/>
        </w:rPr>
        <w:t xml:space="preserve">ilonacept in </w:t>
      </w:r>
      <w:r>
        <w:rPr>
          <w:rFonts w:ascii="Arial" w:cs="Arial" w:eastAsia="Arial" w:hAnsi="Arial"/>
          <w:sz w:val="13"/>
          <w:szCs w:val="13"/>
          <w:u w:val="single" w:color="auto"/>
          <w:color w:val="auto"/>
        </w:rPr>
        <w:t>G</w:t>
      </w:r>
      <w:r>
        <w:rPr>
          <w:rFonts w:ascii="Arial" w:cs="Arial" w:eastAsia="Arial" w:hAnsi="Arial"/>
          <w:sz w:val="13"/>
          <w:szCs w:val="13"/>
          <w:color w:val="auto"/>
        </w:rPr>
        <w:t xml:space="preserve">out </w:t>
      </w:r>
      <w:r>
        <w:rPr>
          <w:rFonts w:ascii="Arial" w:cs="Arial" w:eastAsia="Arial" w:hAnsi="Arial"/>
          <w:sz w:val="13"/>
          <w:szCs w:val="13"/>
          <w:u w:val="single" w:color="auto"/>
          <w:color w:val="auto"/>
        </w:rPr>
        <w:t>E</w:t>
      </w:r>
      <w:r>
        <w:rPr>
          <w:rFonts w:ascii="Arial" w:cs="Arial" w:eastAsia="Arial" w:hAnsi="Arial"/>
          <w:sz w:val="13"/>
          <w:szCs w:val="13"/>
          <w:color w:val="auto"/>
        </w:rPr>
        <w:t>xacerbations).</w:t>
      </w:r>
    </w:p>
    <w:p>
      <w:pPr>
        <w:spacing w:after="0" w:line="188" w:lineRule="exact"/>
        <w:rPr>
          <w:sz w:val="20"/>
          <w:szCs w:val="20"/>
          <w:color w:val="auto"/>
        </w:rPr>
      </w:pPr>
    </w:p>
    <w:p>
      <w:pPr>
        <w:jc w:val="both"/>
        <w:ind w:right="20" w:firstLine="204"/>
        <w:spacing w:after="0" w:line="204" w:lineRule="auto"/>
        <w:rPr>
          <w:sz w:val="20"/>
          <w:szCs w:val="20"/>
          <w:color w:val="auto"/>
        </w:rPr>
      </w:pPr>
      <w:r>
        <w:rPr>
          <w:rFonts w:ascii="Arial" w:cs="Arial" w:eastAsia="Arial" w:hAnsi="Arial"/>
          <w:sz w:val="13"/>
          <w:szCs w:val="13"/>
          <w:color w:val="auto"/>
        </w:rPr>
        <w:t>In June 2010, we announced that results from PRE-SURGE 1, a North America-based double-blind, placebo-controlled study, showed that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prevented gout attacks, as measured by the primary study endpoint of the number of gout flares per patient over the 16 week treatment period. Patients initiating uric acid-lowering therapy who received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at a weekly, self-administered, subcutaneous dose of 160 mg had an 80% decrease in mean number of gout flares compared to the placebo group over the 16 week treatment period (0.21 flares vs. 1.06 flares, p&lt;0.0001). Patients who received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at a weekly dose of 80 mg had a 73% decrease compared to the placebo group (0.29 flares vs. 1.06 flares, p&lt;0.0001).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1" w:right="199" w:bottom="1440" w:gutter="0" w:footer="0" w:header="0"/>
        </w:sectPr>
      </w:pPr>
    </w:p>
    <w:bookmarkStart w:id="20" w:name="page21"/>
    <w:bookmarkEnd w:id="20"/>
    <w:p>
      <w:pPr>
        <w:jc w:val="both"/>
        <w:ind w:right="20" w:firstLine="233"/>
        <w:spacing w:after="0" w:line="234" w:lineRule="auto"/>
        <w:rPr>
          <w:sz w:val="20"/>
          <w:szCs w:val="20"/>
          <w:color w:val="auto"/>
        </w:rPr>
      </w:pPr>
      <w:r>
        <w:rPr>
          <w:rFonts w:ascii="Arial" w:cs="Arial" w:eastAsia="Arial" w:hAnsi="Arial"/>
          <w:sz w:val="12"/>
          <w:szCs w:val="12"/>
          <w:color w:val="auto"/>
        </w:rPr>
        <w:t>All secondary endpoints of the study were highly positive (p&lt;0.001 vs. placebo). Among these endpoints, treatment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reduced the proportion of patients who experienced two or more flares during the study period by up to 88% (3.8%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160 mg, 5.0%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80 mg, and 31.6% with placebo, p&lt;0.001). In addition, treatment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reduced the proportion of patients who experienced at least one gout flare during the study period by up to 65% (16.3%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160 mg, 18.8%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80 mg, and 46.8% with placebo, p&lt;0.001).</w:t>
      </w:r>
    </w:p>
    <w:p>
      <w:pPr>
        <w:spacing w:after="0" w:line="102" w:lineRule="exact"/>
        <w:rPr>
          <w:sz w:val="20"/>
          <w:szCs w:val="20"/>
          <w:color w:val="auto"/>
        </w:rPr>
      </w:pPr>
    </w:p>
    <w:p>
      <w:pPr>
        <w:jc w:val="both"/>
        <w:ind w:firstLine="194"/>
        <w:spacing w:after="0" w:line="226" w:lineRule="auto"/>
        <w:rPr>
          <w:sz w:val="20"/>
          <w:szCs w:val="20"/>
          <w:color w:val="auto"/>
        </w:rPr>
      </w:pPr>
      <w:r>
        <w:rPr>
          <w:rFonts w:ascii="Arial" w:cs="Arial" w:eastAsia="Arial" w:hAnsi="Arial"/>
          <w:sz w:val="12"/>
          <w:szCs w:val="12"/>
          <w:color w:val="auto"/>
        </w:rPr>
        <w:t>A total of 241 patients were randomized in PRE-SURGE 1.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was generally well tolerated with no reported drug-related serious adverse events. Adverse events that occurred at a frequency of at least 5% in any study group were injection site reaction (19.8%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160 mg, 8.8%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80 mg, and 1.3% with placebo), upper respiratory tract infection (9.9%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160 mg, 8.8%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80 mg, and 7.6% with placebo), lower respiratory tract infection (0%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160 mg, 5.0%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80 mg, and 2.5% with placebo), musculoskeletal pain/discomfort (6.2%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160 mg, 7.5%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80 mg, and 8.9% with placebo), and headache, (3.7%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160 mg, 6.3%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80 mg, and 1.3% with placebo).</w:t>
      </w:r>
    </w:p>
    <w:p>
      <w:pPr>
        <w:spacing w:after="0" w:line="104" w:lineRule="exact"/>
        <w:rPr>
          <w:sz w:val="20"/>
          <w:szCs w:val="20"/>
          <w:color w:val="auto"/>
        </w:rPr>
      </w:pPr>
    </w:p>
    <w:p>
      <w:pPr>
        <w:jc w:val="both"/>
        <w:ind w:right="20" w:firstLine="194"/>
        <w:spacing w:after="0" w:line="213" w:lineRule="auto"/>
        <w:rPr>
          <w:sz w:val="20"/>
          <w:szCs w:val="20"/>
          <w:color w:val="auto"/>
        </w:rPr>
      </w:pPr>
      <w:r>
        <w:rPr>
          <w:rFonts w:ascii="Arial" w:cs="Arial" w:eastAsia="Arial" w:hAnsi="Arial"/>
          <w:sz w:val="13"/>
          <w:szCs w:val="13"/>
          <w:color w:val="auto"/>
        </w:rPr>
        <w:t>In February 2011, we reported the results of PRE-SURGE 2 and RE-SURGE. In the PRE-SURGE 2 efficacy study in gout patients initiating allopurinol therapy, which was identical to PRE-SURGE 1 in design and analysis, 248 patients were randomized.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met the primary and all secondary study endpoints. The primary endpoint was the number of gout flares per patient over the 16-week treatment period. Patients who received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at a weekly, self-administered, subcutaneous dose of either 160 mg or 80 mg had a 72% decrease in mean number of gout flares compared to the placebo group (p&lt;0.0001). Among secondary endpoints, treatment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reduced the proportion of patients who experienced two or more flares during the study period by up to 82% (6.0%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160 mg, 8.5%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80 mg, and 32.9% with placebo, p≤0.001). In addition, treatment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reduced the proportion of patients who experienced at least one gout flare during the study period by up to 63% (20.5%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160 mg, 25.6%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80 mg, and 56.1% with placebo, p≤0.001).</w:t>
      </w:r>
    </w:p>
    <w:p>
      <w:pPr>
        <w:spacing w:after="0" w:line="125" w:lineRule="exact"/>
        <w:rPr>
          <w:sz w:val="20"/>
          <w:szCs w:val="20"/>
          <w:color w:val="auto"/>
        </w:rPr>
      </w:pPr>
    </w:p>
    <w:p>
      <w:pPr>
        <w:jc w:val="both"/>
        <w:ind w:right="20" w:firstLine="204"/>
        <w:spacing w:after="0" w:line="192" w:lineRule="auto"/>
        <w:rPr>
          <w:sz w:val="20"/>
          <w:szCs w:val="20"/>
          <w:color w:val="auto"/>
        </w:rPr>
      </w:pPr>
      <w:r>
        <w:rPr>
          <w:rFonts w:ascii="Arial" w:cs="Arial" w:eastAsia="Arial" w:hAnsi="Arial"/>
          <w:sz w:val="13"/>
          <w:szCs w:val="13"/>
          <w:color w:val="auto"/>
        </w:rPr>
        <w:t>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generally well tolerated with no reported drug-related serious adverse events. The most frequently reported adverse event was upper respiratory tract infection (15.5%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160 mg, 12.2%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80 mg, and 12.2% with placebo). Overall, the cumulative rate of infections was 27.4% in patients treated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160 mg, 28.0% in patients treated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80 mg, and 25.6% in patients treated with placebo. Injection site reactions were more commonly reported in patients treated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(17.9%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160 mg, 12.2%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80 mg, and 1.2% with placebo). These results were consistent with those in PRE-SURGE 1.</w:t>
      </w:r>
    </w:p>
    <w:p>
      <w:pPr>
        <w:spacing w:after="0" w:line="190" w:lineRule="exact"/>
        <w:rPr>
          <w:sz w:val="20"/>
          <w:szCs w:val="20"/>
          <w:color w:val="auto"/>
        </w:rPr>
      </w:pPr>
    </w:p>
    <w:p>
      <w:pPr>
        <w:jc w:val="both"/>
        <w:ind w:right="20" w:firstLine="243"/>
        <w:spacing w:after="0" w:line="214" w:lineRule="auto"/>
        <w:rPr>
          <w:sz w:val="20"/>
          <w:szCs w:val="20"/>
          <w:color w:val="auto"/>
        </w:rPr>
      </w:pPr>
      <w:r>
        <w:rPr>
          <w:rFonts w:ascii="Arial" w:cs="Arial" w:eastAsia="Arial" w:hAnsi="Arial"/>
          <w:sz w:val="13"/>
          <w:szCs w:val="13"/>
          <w:color w:val="auto"/>
        </w:rPr>
        <w:t>We also announced that in the RE-SURGE study, which evaluated the safety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versus placebo over 16 weeks,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generally well tolerated, and the safety profile was consistent with that reported in the PRE-SURGE 1 and PRE-SURGE 2 studies. RE-SURGE evaluated 1,315 patients who were at risk for gout flares while initiating or continuing uric acid-lowering drug treatment. Other than injection site reactions, the incidence of treatment-emergent adverse events was generally well-balanced among the 985 patients who received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at a weekly, self-administered, subcutaneous dose of 160 mg and the 330 patients who received placebo. Injection site reactions, usually considered mild, were reported more commonly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(15.2%) than with placebo (3.3%). Overall, the cumulative rate of infections was 20.1% in patients treated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19.1% in placebo patients. Serious infections were reported in 0.5% of patients treated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0.9% of placebo patients. Deaths were reported for 0.3% of patients treated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0.9% of placebo patients.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1" w:right="199" w:bottom="1440" w:gutter="0" w:footer="0" w:header="0"/>
        </w:sectPr>
      </w:pPr>
    </w:p>
    <w:bookmarkStart w:id="21" w:name="page22"/>
    <w:bookmarkEnd w:id="21"/>
    <w:p>
      <w:pPr>
        <w:jc w:val="both"/>
        <w:ind w:firstLine="194"/>
        <w:spacing w:after="0" w:line="220" w:lineRule="auto"/>
        <w:rPr>
          <w:sz w:val="20"/>
          <w:szCs w:val="20"/>
          <w:color w:val="auto"/>
        </w:rPr>
      </w:pPr>
      <w:r>
        <w:rPr>
          <w:rFonts w:ascii="Arial" w:cs="Arial" w:eastAsia="Arial" w:hAnsi="Arial"/>
          <w:sz w:val="13"/>
          <w:szCs w:val="13"/>
          <w:color w:val="auto"/>
        </w:rPr>
        <w:t>In the RE-SURGE study,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met all secondary endpoints, which evaluated efficacy, over the 16 week treatment period (p&lt;0.0001). These included the number of gout flares per patient, the proportion of patients who experienced two or more flares, and the proportion of patients who experienced at least one gout flare during the study period.</w:t>
      </w:r>
    </w:p>
    <w:p>
      <w:pPr>
        <w:spacing w:after="0" w:line="189" w:lineRule="exact"/>
        <w:rPr>
          <w:sz w:val="20"/>
          <w:szCs w:val="20"/>
          <w:color w:val="auto"/>
        </w:rPr>
      </w:pPr>
    </w:p>
    <w:p>
      <w:pPr>
        <w:jc w:val="both"/>
        <w:ind w:firstLine="214"/>
        <w:spacing w:after="0" w:line="235" w:lineRule="auto"/>
        <w:rPr>
          <w:sz w:val="20"/>
          <w:szCs w:val="20"/>
          <w:color w:val="auto"/>
        </w:rPr>
      </w:pPr>
      <w:r>
        <w:rPr>
          <w:rFonts w:ascii="Arial" w:cs="Arial" w:eastAsia="Arial" w:hAnsi="Arial"/>
          <w:sz w:val="13"/>
          <w:szCs w:val="13"/>
          <w:color w:val="auto"/>
        </w:rPr>
        <w:t>Based on the results of the three Phase 3 studies, we plan to submit in mid-2011 a supplemental BLA for U.S. regulatory approval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therapy. We own worldwide rights to ARCALYST</w:t>
      </w:r>
      <w:r>
        <w:rPr>
          <w:rFonts w:ascii="Arial" w:cs="Arial" w:eastAsia="Arial" w:hAnsi="Arial"/>
          <w:sz w:val="17"/>
          <w:szCs w:val="17"/>
          <w:color w:val="auto"/>
          <w:vertAlign w:val="superscript"/>
        </w:rPr>
        <w:t>®</w:t>
      </w:r>
      <w:r>
        <w:rPr>
          <w:rFonts w:ascii="Arial" w:cs="Arial" w:eastAsia="Arial" w:hAnsi="Arial"/>
          <w:sz w:val="13"/>
          <w:szCs w:val="13"/>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4. REGN727 (PCSK9 Antibody) for LDL cholesterol reduction</w:t>
      </w:r>
    </w:p>
    <w:p>
      <w:pPr>
        <w:spacing w:after="0" w:line="200" w:lineRule="exact"/>
        <w:rPr>
          <w:sz w:val="20"/>
          <w:szCs w:val="20"/>
          <w:color w:val="auto"/>
        </w:rPr>
      </w:pPr>
    </w:p>
    <w:p>
      <w:pPr>
        <w:jc w:val="both"/>
        <w:ind w:firstLine="233"/>
        <w:spacing w:after="0" w:line="319" w:lineRule="auto"/>
        <w:rPr>
          <w:sz w:val="20"/>
          <w:szCs w:val="20"/>
          <w:color w:val="auto"/>
        </w:rPr>
      </w:pPr>
      <w:r>
        <w:rPr>
          <w:rFonts w:ascii="Arial" w:cs="Arial" w:eastAsia="Arial" w:hAnsi="Arial"/>
          <w:sz w:val="11"/>
          <w:szCs w:val="11"/>
          <w:color w:val="auto"/>
        </w:rPr>
        <w:t xml:space="preserve">Elevated LDL cholesterol (“bad cholesterol”) level is a validated risk factor leading to cardiovascular disease. Statins are a class of drugs that lower LDL cholesterol by upregulating the expression of the LDL receptor (LDLR), which removes LDL from circulation. PCSK9 is a naturally occurring secreted protein that also modulates LDL cholesterol levels through its interaction with the LDL receptor. In a landmark study published in the </w:t>
      </w:r>
      <w:r>
        <w:rPr>
          <w:rFonts w:ascii="Arial" w:cs="Arial" w:eastAsia="Arial" w:hAnsi="Arial"/>
          <w:sz w:val="11"/>
          <w:szCs w:val="11"/>
          <w:i w:val="1"/>
          <w:iCs w:val="1"/>
          <w:color w:val="auto"/>
        </w:rPr>
        <w:t xml:space="preserve">New England Journal of Medicine </w:t>
      </w:r>
      <w:r>
        <w:rPr>
          <w:rFonts w:ascii="Arial" w:cs="Arial" w:eastAsia="Arial" w:hAnsi="Arial"/>
          <w:sz w:val="11"/>
          <w:szCs w:val="11"/>
          <w:color w:val="auto"/>
        </w:rPr>
        <w:t>in March 2006, patients with lower than normal PCSK9 levels due to a genetic abnormality not only had significantly lower levels of LDL cholesterol, but also a significant reduction in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risk of coronary heart disease. We used our </w:t>
      </w:r>
      <w:r>
        <w:rPr>
          <w:rFonts w:ascii="Arial" w:cs="Arial" w:eastAsia="Arial" w:hAnsi="Arial"/>
          <w:sz w:val="11"/>
          <w:szCs w:val="11"/>
          <w:i w:val="1"/>
          <w:iCs w:val="1"/>
          <w:color w:val="auto"/>
        </w:rPr>
        <w:t>VelocImmune</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technology to generate a fully human monoclonal antibody inhibitor of PCSK9, called REGN727, that is intended to robustly lower LDL cholesterol.</w:t>
      </w:r>
    </w:p>
    <w:p>
      <w:pPr>
        <w:spacing w:after="0" w:line="82" w:lineRule="exact"/>
        <w:rPr>
          <w:sz w:val="20"/>
          <w:szCs w:val="20"/>
          <w:color w:val="auto"/>
        </w:rPr>
      </w:pPr>
    </w:p>
    <w:p>
      <w:pPr>
        <w:jc w:val="both"/>
        <w:ind w:firstLine="252"/>
        <w:spacing w:after="0" w:line="316" w:lineRule="auto"/>
        <w:rPr>
          <w:sz w:val="20"/>
          <w:szCs w:val="20"/>
          <w:color w:val="auto"/>
        </w:rPr>
      </w:pPr>
      <w:r>
        <w:rPr>
          <w:rFonts w:ascii="Arial" w:cs="Arial" w:eastAsia="Arial" w:hAnsi="Arial"/>
          <w:sz w:val="11"/>
          <w:szCs w:val="11"/>
          <w:color w:val="auto"/>
        </w:rPr>
        <w:t>In May 2010, we announced that in an interim efficacy analysis of a dose-escalating, randomized, double-blind, placebo-controlled, Phase 1 trial in healthy volunteers, REGN727 achieved substantial, dose dependent decreases of LDL cholesterol. Each dosing cohort consisted of six treated and two placebo patients. In July 2010, we presented additional data from this Phase 1 program. At the highest intravenous dose tested, a single dose of REGN727 achieved a greater than 60% maximum mean reduction of LDL cholesterol from baseline that lasted for more than one month. At the highest subcutaneous dose tested, a single dose of REGN727 achieved a greater than 60% maximum mean reduction of LDL cholesterol from baseline that lasted for more than two weeks. No serious adverse events and no dose limiting toxicities have been reported.</w:t>
      </w:r>
    </w:p>
    <w:p>
      <w:pPr>
        <w:spacing w:after="0" w:line="149" w:lineRule="exact"/>
        <w:rPr>
          <w:sz w:val="20"/>
          <w:szCs w:val="20"/>
          <w:color w:val="auto"/>
        </w:rPr>
      </w:pPr>
    </w:p>
    <w:p>
      <w:pPr>
        <w:jc w:val="both"/>
        <w:ind w:firstLine="214"/>
        <w:spacing w:after="0" w:line="326" w:lineRule="auto"/>
        <w:rPr>
          <w:sz w:val="20"/>
          <w:szCs w:val="20"/>
          <w:color w:val="auto"/>
        </w:rPr>
      </w:pPr>
      <w:r>
        <w:rPr>
          <w:rFonts w:ascii="Arial" w:cs="Arial" w:eastAsia="Arial" w:hAnsi="Arial"/>
          <w:sz w:val="11"/>
          <w:szCs w:val="11"/>
          <w:color w:val="auto"/>
        </w:rPr>
        <w:t>In July 2010, we also presented the results of an interim efficacy analysis of a dose escalating, randomized, double-blind, placebo-controlled Phase 1 trial of subcutaneously delivered REGN727 in hyperlipidemic patients (familial hypercholesterolemia and non-familial hypercholesterolemia) on stable doses of statins whose LDL levels were greater than 100 milligrams per deciliter (mg/dL). At the highest dose tested at that time, in eleven patients, a single dose of REGN727 achieved an approximately 40% maximum mean additional reduction of LDL cholesterol from baseline. No serious adverse events and no dose limiting toxicities were reported.</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 early 2011, we initiated Phase 2 studies of REGN727 in patients with hypercholesterolemia in combination with statin therapy. REGN727 is being developed in collaboration with sanofi-aventis.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5. REGN88 (IL-6R Antibody) for inflammatory diseases</w:t>
      </w:r>
    </w:p>
    <w:p>
      <w:pPr>
        <w:spacing w:after="0" w:line="199" w:lineRule="exact"/>
        <w:rPr>
          <w:sz w:val="20"/>
          <w:szCs w:val="20"/>
          <w:color w:val="auto"/>
        </w:rPr>
      </w:pPr>
    </w:p>
    <w:p>
      <w:pPr>
        <w:jc w:val="both"/>
        <w:ind w:firstLine="223"/>
        <w:spacing w:after="0" w:line="220" w:lineRule="auto"/>
        <w:rPr>
          <w:sz w:val="20"/>
          <w:szCs w:val="20"/>
          <w:color w:val="auto"/>
        </w:rPr>
      </w:pPr>
      <w:r>
        <w:rPr>
          <w:rFonts w:ascii="Arial" w:cs="Arial" w:eastAsia="Arial" w:hAnsi="Arial"/>
          <w:sz w:val="13"/>
          <w:szCs w:val="13"/>
          <w:color w:val="auto"/>
        </w:rPr>
        <w:t>IL-6 is a key cytokine involved in the pathogenesis of rheumatoid arthritis, causing inflammation and joint destruction. A therapeutic antibody to IL-6R, Actemra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(tocilizumab), a registered trademark of Genentech, has been approved for the treatment of rheumatoid arthritis.</w:t>
      </w:r>
    </w:p>
    <w:p>
      <w:pPr>
        <w:spacing w:after="0" w:line="189"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3"/>
          <w:szCs w:val="13"/>
          <w:color w:val="auto"/>
        </w:rPr>
        <w:t xml:space="preserve">REGN88 is a fully human monoclonal antibody to IL-6R generated using our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that has completed Phase 1 studies, the results of which were presented at the annual meetings of the European League Against Rheumatism (EULAR) in June 2010 and the American College of Rheumatology in October 2010. REGN88 was well tolerated by patients with rheumatoid arthritis, and no dose-limiting toxicities were reported. Treatment with REGN88 resulted in dose-related reductions in biomarkers of inflammation. REGN88 is currently in a Phase 2/3 double-blind, placebo-controlled, dose-ranging study in patients with active rheumatoid arthritis and a Phase 2 double-blind, placebo-controlled, dose-ranging study in ankylosing spondylitis, a form of arthritis that primarily affects the spine. Both studies are enrolling patients, and initial Phase 2 results are expected in mid-2011. REGN88 is being developed in collaboration with sanofi-aventis.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i w:val="1"/>
          <w:iCs w:val="1"/>
          <w:color w:val="auto"/>
        </w:rPr>
        <w:t>6. REGN668 (IL-4R Antibody) for allergic and immune conditions</w:t>
      </w:r>
    </w:p>
    <w:p>
      <w:pPr>
        <w:spacing w:after="0" w:line="200" w:lineRule="exact"/>
        <w:rPr>
          <w:sz w:val="20"/>
          <w:szCs w:val="20"/>
          <w:color w:val="auto"/>
        </w:rPr>
      </w:pPr>
    </w:p>
    <w:p>
      <w:pPr>
        <w:jc w:val="both"/>
        <w:ind w:right="20" w:firstLine="252"/>
        <w:spacing w:after="0" w:line="266" w:lineRule="auto"/>
        <w:rPr>
          <w:sz w:val="20"/>
          <w:szCs w:val="20"/>
          <w:color w:val="auto"/>
        </w:rPr>
      </w:pPr>
      <w:r>
        <w:rPr>
          <w:rFonts w:ascii="Arial" w:cs="Arial" w:eastAsia="Arial" w:hAnsi="Arial"/>
          <w:sz w:val="13"/>
          <w:szCs w:val="13"/>
          <w:color w:val="auto"/>
        </w:rPr>
        <w:t>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asthma and atopic dermatitis.</w:t>
      </w:r>
    </w:p>
    <w:p>
      <w:pPr>
        <w:spacing w:after="0" w:line="172" w:lineRule="exact"/>
        <w:rPr>
          <w:sz w:val="20"/>
          <w:szCs w:val="20"/>
          <w:color w:val="auto"/>
        </w:rPr>
      </w:pPr>
    </w:p>
    <w:p>
      <w:pPr>
        <w:jc w:val="both"/>
        <w:ind w:firstLine="194"/>
        <w:spacing w:after="0" w:line="220" w:lineRule="auto"/>
        <w:rPr>
          <w:sz w:val="20"/>
          <w:szCs w:val="20"/>
          <w:color w:val="auto"/>
        </w:rPr>
      </w:pPr>
      <w:r>
        <w:rPr>
          <w:rFonts w:ascii="Arial" w:cs="Arial" w:eastAsia="Arial" w:hAnsi="Arial"/>
          <w:sz w:val="13"/>
          <w:szCs w:val="13"/>
          <w:color w:val="auto"/>
        </w:rPr>
        <w:t xml:space="preserve">REGN668 is a fully human monoclonal antibody generated using our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that is designed to bind to IL-4R. A Phase 1 trial of REGN668 in healthy volunteers has been completed. A Phase 1b study in patients with atopic dermatitis and a Phase 2 study in eosinophilic asthma are underway. REGN668 is being developed in collaboration with sanofi-aventis.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7. REGN421 (Dll4 Antibody) for advanced malignancies</w:t>
      </w:r>
    </w:p>
    <w:p>
      <w:pPr>
        <w:spacing w:after="0" w:line="200" w:lineRule="exact"/>
        <w:rPr>
          <w:sz w:val="20"/>
          <w:szCs w:val="20"/>
          <w:color w:val="auto"/>
        </w:rPr>
      </w:pPr>
    </w:p>
    <w:p>
      <w:pPr>
        <w:jc w:val="both"/>
        <w:ind w:firstLine="214"/>
        <w:spacing w:after="0" w:line="253" w:lineRule="auto"/>
        <w:rPr>
          <w:sz w:val="20"/>
          <w:szCs w:val="20"/>
          <w:color w:val="auto"/>
        </w:rPr>
      </w:pPr>
      <w:r>
        <w:rPr>
          <w:rFonts w:ascii="Arial" w:cs="Arial" w:eastAsia="Arial" w:hAnsi="Arial"/>
          <w:sz w:val="13"/>
          <w:szCs w:val="13"/>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3"/>
          <w:szCs w:val="13"/>
          <w:i w:val="1"/>
          <w:iCs w:val="1"/>
          <w:color w:val="auto"/>
        </w:rPr>
        <w:t>Nature</w:t>
      </w:r>
      <w:r>
        <w:rPr>
          <w:rFonts w:ascii="Arial" w:cs="Arial" w:eastAsia="Arial" w:hAnsi="Arial"/>
          <w:sz w:val="13"/>
          <w:szCs w:val="13"/>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REGN421 is a fully human monoclonal antibody to Dll4 generated using our </w:t>
      </w:r>
      <w:r>
        <w:rPr>
          <w:rFonts w:ascii="Arial" w:cs="Arial" w:eastAsia="Arial" w:hAnsi="Arial"/>
          <w:sz w:val="12"/>
          <w:szCs w:val="12"/>
          <w:i w:val="1"/>
          <w:iCs w:val="1"/>
          <w:color w:val="auto"/>
        </w:rPr>
        <w:t>VelocImmune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technology. REGN421, which is being developed in collaboration with sanofi-aventis, is in Phase 1 clinical development.</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8. REGN910 (ANG2 Antibody) for oncology</w:t>
      </w:r>
    </w:p>
    <w:p>
      <w:pPr>
        <w:spacing w:after="0" w:line="200" w:lineRule="exact"/>
        <w:rPr>
          <w:sz w:val="20"/>
          <w:szCs w:val="20"/>
          <w:color w:val="auto"/>
        </w:rPr>
      </w:pPr>
    </w:p>
    <w:p>
      <w:pPr>
        <w:jc w:val="both"/>
        <w:ind w:right="20" w:firstLine="243"/>
        <w:spacing w:after="0" w:line="298" w:lineRule="auto"/>
        <w:rPr>
          <w:sz w:val="20"/>
          <w:szCs w:val="20"/>
          <w:color w:val="auto"/>
        </w:rPr>
      </w:pPr>
      <w:r>
        <w:rPr>
          <w:rFonts w:ascii="Arial" w:cs="Arial" w:eastAsia="Arial" w:hAnsi="Arial"/>
          <w:sz w:val="12"/>
          <w:szCs w:val="12"/>
          <w:color w:val="auto"/>
        </w:rPr>
        <w:t xml:space="preserve">In the fourth quarter of 2010, we initiated a Phase 1 study in an oncology setting of REGN910, an antibody that specifically blocks ANG2. The angiopoietins, which were discovered at Regeneron, are ligands for the endothelial cell receptor Tie2 and are essential for vascular development and angiogenesis. Unlike other family members, ANG2 is strongly upregulated by endothelial cells at sites of angiogenesis and vascular remodeling, including tumors. REGN910 is a fully human monoclonal antibody generated using our </w:t>
      </w:r>
      <w:r>
        <w:rPr>
          <w:rFonts w:ascii="Arial" w:cs="Arial" w:eastAsia="Arial" w:hAnsi="Arial"/>
          <w:sz w:val="12"/>
          <w:szCs w:val="12"/>
          <w:i w:val="1"/>
          <w:iCs w:val="1"/>
          <w:color w:val="auto"/>
        </w:rPr>
        <w:t>VelocImmune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technology, which is being developed for cancer indications in collaboration with sanofi-aventis.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9. REGN475 (NGF Antibody) for pain</w:t>
      </w:r>
    </w:p>
    <w:p>
      <w:pPr>
        <w:spacing w:after="0" w:line="199" w:lineRule="exact"/>
        <w:rPr>
          <w:sz w:val="20"/>
          <w:szCs w:val="20"/>
          <w:color w:val="auto"/>
        </w:rPr>
      </w:pPr>
    </w:p>
    <w:p>
      <w:pPr>
        <w:jc w:val="both"/>
        <w:ind w:right="20" w:firstLine="194"/>
        <w:spacing w:after="0" w:line="220" w:lineRule="auto"/>
        <w:rPr>
          <w:sz w:val="20"/>
          <w:szCs w:val="20"/>
          <w:color w:val="auto"/>
        </w:rPr>
      </w:pPr>
      <w:r>
        <w:rPr>
          <w:rFonts w:ascii="Arial" w:cs="Arial" w:eastAsia="Arial" w:hAnsi="Arial"/>
          <w:sz w:val="13"/>
          <w:szCs w:val="13"/>
          <w:color w:val="auto"/>
        </w:rPr>
        <w:t xml:space="preserve">REGN475 is a fully human monoclonal antibody to NGF, generated using our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which is designed to block pain sensitization in neurons. Preclinical experiments indicate that REGN475 specifically binds to and blocks NGF activity and does not bind to or block cell signaling for closely related neurotrophins such as NT-3, NT-4, or BDNF.</w:t>
      </w:r>
    </w:p>
    <w:p>
      <w:pPr>
        <w:spacing w:after="0" w:line="190" w:lineRule="exact"/>
        <w:rPr>
          <w:sz w:val="20"/>
          <w:szCs w:val="20"/>
          <w:color w:val="auto"/>
        </w:rPr>
      </w:pPr>
    </w:p>
    <w:p>
      <w:pPr>
        <w:jc w:val="both"/>
        <w:ind w:firstLine="233"/>
        <w:spacing w:after="0" w:line="266" w:lineRule="auto"/>
        <w:rPr>
          <w:sz w:val="20"/>
          <w:szCs w:val="20"/>
          <w:color w:val="auto"/>
        </w:rPr>
      </w:pPr>
      <w:r>
        <w:rPr>
          <w:rFonts w:ascii="Arial" w:cs="Arial" w:eastAsia="Arial" w:hAnsi="Arial"/>
          <w:sz w:val="13"/>
          <w:szCs w:val="13"/>
          <w:color w:val="auto"/>
        </w:rPr>
        <w:t>In May 2010, we announced positive results from an interim analysis of a randomized, double-blind, four-arm, placebo-controlled Phase 2 trial in 217 patients with osteoarthritis of the knee. In July 2010, we presented additional results from this trial through 16 weeks.</w:t>
      </w:r>
    </w:p>
    <w:p>
      <w:pPr>
        <w:spacing w:after="0" w:line="173" w:lineRule="exact"/>
        <w:rPr>
          <w:sz w:val="20"/>
          <w:szCs w:val="20"/>
          <w:color w:val="auto"/>
        </w:rPr>
      </w:pPr>
    </w:p>
    <w:p>
      <w:pPr>
        <w:jc w:val="both"/>
        <w:ind w:right="20" w:firstLine="214"/>
        <w:spacing w:after="0" w:line="289" w:lineRule="auto"/>
        <w:rPr>
          <w:sz w:val="20"/>
          <w:szCs w:val="20"/>
          <w:color w:val="auto"/>
        </w:rPr>
      </w:pPr>
      <w:r>
        <w:rPr>
          <w:rFonts w:ascii="Arial" w:cs="Arial" w:eastAsia="Arial" w:hAnsi="Arial"/>
          <w:sz w:val="12"/>
          <w:szCs w:val="12"/>
          <w:color w:val="auto"/>
        </w:rPr>
        <w:t>In December 2010, the Company was informed 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has placed REGN475 on clinical hold. There are currently no ongoing trials with REGN475 that are either enrolling or treating patients. REGN475 is being developed in collaboration with sanofi-aventis.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83" w:right="19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i w:val="1"/>
          <w:iCs w:val="1"/>
          <w:color w:val="auto"/>
        </w:rPr>
        <w:t>10. REGN728 and REGN846</w:t>
      </w:r>
    </w:p>
    <w:p>
      <w:pPr>
        <w:spacing w:after="0" w:line="199" w:lineRule="exact"/>
        <w:rPr>
          <w:sz w:val="20"/>
          <w:szCs w:val="20"/>
          <w:color w:val="auto"/>
        </w:rPr>
      </w:pPr>
    </w:p>
    <w:p>
      <w:pPr>
        <w:jc w:val="both"/>
        <w:ind w:right="20" w:firstLine="243"/>
        <w:spacing w:after="0" w:line="220" w:lineRule="auto"/>
        <w:rPr>
          <w:sz w:val="20"/>
          <w:szCs w:val="20"/>
          <w:color w:val="auto"/>
        </w:rPr>
      </w:pPr>
      <w:r>
        <w:rPr>
          <w:rFonts w:ascii="Arial" w:cs="Arial" w:eastAsia="Arial" w:hAnsi="Arial"/>
          <w:sz w:val="13"/>
          <w:szCs w:val="13"/>
          <w:color w:val="auto"/>
        </w:rPr>
        <w:t xml:space="preserve">In the fourth quarter of 2010, clinical trials began with two additional fully human monoclonal antibodies generated using our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that are part of the sanofi-aventis collaboration, REGN728 and REGN846. The targets of these antibodies have not been disclosed.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Research and Development Technologies:</w:t>
      </w:r>
    </w:p>
    <w:p>
      <w:pPr>
        <w:spacing w:after="0" w:line="204" w:lineRule="exact"/>
        <w:rPr>
          <w:sz w:val="20"/>
          <w:szCs w:val="20"/>
          <w:color w:val="auto"/>
        </w:rPr>
      </w:pPr>
    </w:p>
    <w:p>
      <w:pPr>
        <w:jc w:val="both"/>
        <w:ind w:right="20" w:firstLine="204"/>
        <w:spacing w:after="0" w:line="310" w:lineRule="auto"/>
        <w:rPr>
          <w:sz w:val="20"/>
          <w:szCs w:val="20"/>
          <w:color w:val="auto"/>
        </w:rPr>
      </w:pPr>
      <w:r>
        <w:rPr>
          <w:rFonts w:ascii="Arial" w:cs="Arial" w:eastAsia="Arial" w:hAnsi="Arial"/>
          <w:sz w:val="11"/>
          <w:szCs w:val="11"/>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154" w:lineRule="exact"/>
        <w:rPr>
          <w:sz w:val="20"/>
          <w:szCs w:val="20"/>
          <w:color w:val="auto"/>
        </w:rPr>
      </w:pPr>
    </w:p>
    <w:p>
      <w:pPr>
        <w:jc w:val="both"/>
        <w:ind w:firstLine="252"/>
        <w:spacing w:after="0" w:line="217" w:lineRule="auto"/>
        <w:rPr>
          <w:sz w:val="20"/>
          <w:szCs w:val="20"/>
          <w:color w:val="auto"/>
        </w:rPr>
      </w:pPr>
      <w:r>
        <w:rPr>
          <w:rFonts w:ascii="Arial" w:cs="Arial" w:eastAsia="Arial" w:hAnsi="Arial"/>
          <w:sz w:val="13"/>
          <w:szCs w:val="13"/>
          <w:color w:val="auto"/>
        </w:rPr>
        <w:t>Our scientists have developed two different technologies to design protein therapeutics to block the action of specific cell surface or secreted proteins. The first technology, termed the “Trap” technology, was used to generate our first approved product, ARCALYST</w:t>
      </w:r>
      <w:r>
        <w:rPr>
          <w:rFonts w:ascii="Arial" w:cs="Arial" w:eastAsia="Arial" w:hAnsi="Arial"/>
          <w:sz w:val="17"/>
          <w:szCs w:val="17"/>
          <w:color w:val="auto"/>
          <w:vertAlign w:val="superscript"/>
        </w:rPr>
        <w:t>®</w:t>
      </w:r>
      <w:r>
        <w:rPr>
          <w:rFonts w:ascii="Arial" w:cs="Arial" w:eastAsia="Arial" w:hAnsi="Arial"/>
          <w:sz w:val="13"/>
          <w:szCs w:val="13"/>
          <w:color w:val="auto"/>
        </w:rPr>
        <w:t>, as well as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and VEGF Trap-Eye,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3"/>
          <w:szCs w:val="13"/>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3"/>
          <w:szCs w:val="13"/>
          <w:color w:val="auto"/>
        </w:rPr>
        <w:t xml:space="preserve"> is our second technology platform; it is used for discovering, developing, and producing fully human monoclonal antibodies that can address both secreted and cell-surface targets.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VelociSuite</w:t>
      </w:r>
      <w:r>
        <w:rPr>
          <w:rFonts w:ascii="Arial" w:cs="Arial" w:eastAsia="Arial" w:hAnsi="Arial"/>
          <w:sz w:val="17"/>
          <w:szCs w:val="17"/>
          <w:b w:val="1"/>
          <w:bCs w:val="1"/>
          <w:i w:val="1"/>
          <w:iCs w:val="1"/>
          <w:color w:val="auto"/>
          <w:vertAlign w:val="superscript"/>
        </w:rPr>
        <w:t>TM</w:t>
      </w:r>
    </w:p>
    <w:p>
      <w:pPr>
        <w:spacing w:after="0" w:line="154" w:lineRule="exact"/>
        <w:rPr>
          <w:sz w:val="20"/>
          <w:szCs w:val="20"/>
          <w:color w:val="auto"/>
        </w:rPr>
      </w:pPr>
    </w:p>
    <w:p>
      <w:pPr>
        <w:jc w:val="both"/>
        <w:ind w:firstLine="262"/>
        <w:spacing w:after="0" w:line="192" w:lineRule="auto"/>
        <w:rPr>
          <w:sz w:val="20"/>
          <w:szCs w:val="20"/>
          <w:color w:val="auto"/>
        </w:rPr>
      </w:pPr>
      <w:r>
        <w:rPr>
          <w:rFonts w:ascii="Arial" w:cs="Arial" w:eastAsia="Arial" w:hAnsi="Arial"/>
          <w:sz w:val="13"/>
          <w:szCs w:val="13"/>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3"/>
          <w:szCs w:val="13"/>
          <w:i w:val="1"/>
          <w:iCs w:val="1"/>
          <w:color w:val="auto"/>
        </w:rPr>
        <w:t xml:space="preserve"> </w:t>
      </w:r>
      <w:r>
        <w:rPr>
          <w:rFonts w:ascii="Arial" w:cs="Arial" w:eastAsia="Arial" w:hAnsi="Arial"/>
          <w:sz w:val="13"/>
          <w:szCs w:val="13"/>
          <w:color w:val="auto"/>
        </w:rPr>
        <w:t>consists of</w:t>
      </w:r>
      <w:r>
        <w:rPr>
          <w:rFonts w:ascii="Arial" w:cs="Arial" w:eastAsia="Arial" w:hAnsi="Arial"/>
          <w:sz w:val="13"/>
          <w:szCs w:val="13"/>
          <w:i w:val="1"/>
          <w:iCs w:val="1"/>
          <w:color w:val="auto"/>
        </w:rPr>
        <w:t xml:space="preserve"> VelocImmune</w:t>
      </w:r>
      <w:r>
        <w:rPr>
          <w:rFonts w:ascii="Arial" w:cs="Arial" w:eastAsia="Arial" w:hAnsi="Arial"/>
          <w:sz w:val="17"/>
          <w:szCs w:val="17"/>
          <w:color w:val="auto"/>
          <w:vertAlign w:val="superscript"/>
        </w:rPr>
        <w:t>®</w:t>
      </w:r>
      <w:r>
        <w:rPr>
          <w:rFonts w:ascii="Arial" w:cs="Arial" w:eastAsia="Arial" w:hAnsi="Arial"/>
          <w:sz w:val="13"/>
          <w:szCs w:val="13"/>
          <w:i w:val="1"/>
          <w:iCs w:val="1"/>
          <w:color w:val="auto"/>
        </w:rPr>
        <w:t>, VelociGene</w:t>
      </w:r>
      <w:r>
        <w:rPr>
          <w:rFonts w:ascii="Arial" w:cs="Arial" w:eastAsia="Arial" w:hAnsi="Arial"/>
          <w:sz w:val="17"/>
          <w:szCs w:val="17"/>
          <w:color w:val="auto"/>
          <w:vertAlign w:val="superscript"/>
        </w:rPr>
        <w:t>®</w:t>
      </w:r>
      <w:r>
        <w:rPr>
          <w:rFonts w:ascii="Arial" w:cs="Arial" w:eastAsia="Arial" w:hAnsi="Arial"/>
          <w:sz w:val="13"/>
          <w:szCs w:val="13"/>
          <w:i w:val="1"/>
          <w:iCs w:val="1"/>
          <w:color w:val="auto"/>
        </w:rPr>
        <w:t>, VelociMouse</w:t>
      </w:r>
      <w:r>
        <w:rPr>
          <w:rFonts w:ascii="Arial" w:cs="Arial" w:eastAsia="Arial" w:hAnsi="Arial"/>
          <w:sz w:val="17"/>
          <w:szCs w:val="17"/>
          <w:color w:val="auto"/>
          <w:vertAlign w:val="superscript"/>
        </w:rPr>
        <w:t>®</w:t>
      </w:r>
      <w:r>
        <w:rPr>
          <w:rFonts w:ascii="Arial" w:cs="Arial" w:eastAsia="Arial" w:hAnsi="Arial"/>
          <w:sz w:val="13"/>
          <w:szCs w:val="13"/>
          <w:i w:val="1"/>
          <w:iCs w:val="1"/>
          <w:color w:val="auto"/>
        </w:rPr>
        <w:t>, and VelociMab</w:t>
      </w:r>
      <w:r>
        <w:rPr>
          <w:rFonts w:ascii="Arial" w:cs="Arial" w:eastAsia="Arial" w:hAnsi="Arial"/>
          <w:sz w:val="17"/>
          <w:szCs w:val="17"/>
          <w:color w:val="auto"/>
          <w:vertAlign w:val="superscript"/>
        </w:rPr>
        <w:t>®</w:t>
      </w:r>
      <w:r>
        <w:rPr>
          <w:rFonts w:ascii="Arial" w:cs="Arial" w:eastAsia="Arial" w:hAnsi="Arial"/>
          <w:sz w:val="13"/>
          <w:szCs w:val="13"/>
          <w:color w:val="auto"/>
        </w:rPr>
        <w:t>. The</w:t>
      </w:r>
      <w:r>
        <w:rPr>
          <w:rFonts w:ascii="Arial" w:cs="Arial" w:eastAsia="Arial" w:hAnsi="Arial"/>
          <w:sz w:val="13"/>
          <w:szCs w:val="13"/>
          <w:i w:val="1"/>
          <w:iCs w:val="1"/>
          <w:color w:val="auto"/>
        </w:rPr>
        <w:t xml:space="preserve"> VelocImmune</w:t>
      </w:r>
      <w:r>
        <w:rPr>
          <w:rFonts w:ascii="Arial" w:cs="Arial" w:eastAsia="Arial" w:hAnsi="Arial"/>
          <w:sz w:val="17"/>
          <w:szCs w:val="17"/>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mouse platform is utilized to produce fully human monoclonal antibodies.</w:t>
      </w:r>
      <w:r>
        <w:rPr>
          <w:rFonts w:ascii="Arial" w:cs="Arial" w:eastAsia="Arial" w:hAnsi="Arial"/>
          <w:sz w:val="13"/>
          <w:szCs w:val="13"/>
          <w:i w:val="1"/>
          <w:iCs w:val="1"/>
          <w:color w:val="auto"/>
        </w:rPr>
        <w:t xml:space="preserve"> VelocImmune</w:t>
      </w:r>
      <w:r>
        <w:rPr>
          <w:rFonts w:ascii="Arial" w:cs="Arial" w:eastAsia="Arial" w:hAnsi="Arial"/>
          <w:sz w:val="17"/>
          <w:szCs w:val="17"/>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was generated by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exploiting our </w:t>
      </w:r>
      <w:r>
        <w:rPr>
          <w:rFonts w:ascii="Arial" w:cs="Arial" w:eastAsia="Arial" w:hAnsi="Arial"/>
          <w:sz w:val="13"/>
          <w:szCs w:val="13"/>
          <w:i w:val="1"/>
          <w:iCs w:val="1"/>
          <w:color w:val="auto"/>
        </w:rPr>
        <w:t>VelociGene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(see below), in a process in which six megabases of mouse immune gene loci were replaced, or “humanized,” with corresponding human immune gene loci.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mice can be used to generate efficiently fully human monoclonal antibodies to targets of therapeutic interest.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our entire </w:t>
      </w:r>
      <w:r>
        <w:rPr>
          <w:rFonts w:ascii="Arial" w:cs="Arial" w:eastAsia="Arial" w:hAnsi="Arial"/>
          <w:sz w:val="13"/>
          <w:szCs w:val="13"/>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3"/>
          <w:szCs w:val="13"/>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to produce our next generation of drug candidates for preclinical and clinical development.</w:t>
      </w:r>
    </w:p>
    <w:p>
      <w:pPr>
        <w:spacing w:after="0" w:line="189" w:lineRule="exact"/>
        <w:rPr>
          <w:sz w:val="20"/>
          <w:szCs w:val="20"/>
          <w:color w:val="auto"/>
        </w:rPr>
      </w:pPr>
    </w:p>
    <w:p>
      <w:pPr>
        <w:jc w:val="both"/>
        <w:ind w:firstLine="204"/>
        <w:spacing w:after="0"/>
        <w:rPr>
          <w:sz w:val="20"/>
          <w:szCs w:val="20"/>
          <w:color w:val="auto"/>
        </w:rPr>
      </w:pPr>
      <w:r>
        <w:rPr>
          <w:rFonts w:ascii="Arial" w:cs="Arial" w:eastAsia="Arial" w:hAnsi="Arial"/>
          <w:sz w:val="12"/>
          <w:szCs w:val="12"/>
          <w:color w:val="auto"/>
        </w:rPr>
        <w:t xml:space="preserve">Our </w:t>
      </w:r>
      <w:r>
        <w:rPr>
          <w:rFonts w:ascii="Arial" w:cs="Arial" w:eastAsia="Arial" w:hAnsi="Arial"/>
          <w:sz w:val="12"/>
          <w:szCs w:val="12"/>
          <w:i w:val="1"/>
          <w:iCs w:val="1"/>
          <w:color w:val="auto"/>
        </w:rPr>
        <w:t>VelociGene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2"/>
          <w:szCs w:val="12"/>
          <w:i w:val="1"/>
          <w:iCs w:val="1"/>
          <w:color w:val="auto"/>
        </w:rPr>
        <w:t>VelociGene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offers the opportunity to humanize targets by replacing the mouse gene with the human homolog. Thus, </w:t>
      </w:r>
      <w:r>
        <w:rPr>
          <w:rFonts w:ascii="Arial" w:cs="Arial" w:eastAsia="Arial" w:hAnsi="Arial"/>
          <w:sz w:val="12"/>
          <w:szCs w:val="12"/>
          <w:i w:val="1"/>
          <w:iCs w:val="1"/>
          <w:color w:val="auto"/>
        </w:rPr>
        <w:t>VelociGene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allows scientists to rapidly identify the physical and biological effects of deleting or over-expressing the target gene, as well as to characterize and test potential therapeutic molecules.</w:t>
      </w:r>
    </w:p>
    <w:p>
      <w:pPr>
        <w:spacing w:after="0" w:line="189" w:lineRule="exact"/>
        <w:rPr>
          <w:sz w:val="20"/>
          <w:szCs w:val="20"/>
          <w:color w:val="auto"/>
        </w:rPr>
      </w:pPr>
    </w:p>
    <w:p>
      <w:pPr>
        <w:jc w:val="both"/>
        <w:ind w:right="20" w:firstLine="233"/>
        <w:spacing w:after="0" w:line="204"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i w:val="1"/>
          <w:iCs w:val="1"/>
          <w:color w:val="auto"/>
        </w:rPr>
        <w:t>VelociMouse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3"/>
          <w:szCs w:val="13"/>
          <w:i w:val="1"/>
          <w:iCs w:val="1"/>
          <w:color w:val="auto"/>
        </w:rPr>
        <w:t>VelociMouse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are suitable for direct phenotyping or other studies. We have also developed our </w:t>
      </w:r>
      <w:r>
        <w:rPr>
          <w:rFonts w:ascii="Arial" w:cs="Arial" w:eastAsia="Arial" w:hAnsi="Arial"/>
          <w:sz w:val="13"/>
          <w:szCs w:val="13"/>
          <w:i w:val="1"/>
          <w:iCs w:val="1"/>
          <w:color w:val="auto"/>
        </w:rPr>
        <w:t>VelociMab</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platform for the rapid screening of antibodies and rapid generation of expression cell lines for our Traps and our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human monoclonal antibodies.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83" w:right="19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color w:val="auto"/>
        </w:rPr>
        <w:t>Antibody Collaboration and License Agreements</w:t>
      </w:r>
    </w:p>
    <w:p>
      <w:pPr>
        <w:spacing w:after="0" w:line="200" w:lineRule="exact"/>
        <w:rPr>
          <w:sz w:val="20"/>
          <w:szCs w:val="20"/>
          <w:color w:val="auto"/>
        </w:rPr>
      </w:pPr>
    </w:p>
    <w:p>
      <w:pPr>
        <w:jc w:val="both"/>
        <w:ind w:firstLine="252"/>
        <w:spacing w:after="0" w:line="281" w:lineRule="auto"/>
        <w:rPr>
          <w:sz w:val="20"/>
          <w:szCs w:val="20"/>
          <w:color w:val="auto"/>
        </w:rPr>
      </w:pPr>
      <w:r>
        <w:rPr>
          <w:rFonts w:ascii="Arial" w:cs="Arial" w:eastAsia="Arial" w:hAnsi="Arial"/>
          <w:sz w:val="12"/>
          <w:szCs w:val="12"/>
          <w:b w:val="1"/>
          <w:bCs w:val="1"/>
          <w:color w:val="auto"/>
        </w:rPr>
        <w:t xml:space="preserve">sanofi-aventis. </w:t>
      </w:r>
      <w:r>
        <w:rPr>
          <w:rFonts w:ascii="Arial" w:cs="Arial" w:eastAsia="Arial" w:hAnsi="Arial"/>
          <w:sz w:val="12"/>
          <w:szCs w:val="12"/>
          <w:color w:val="auto"/>
        </w:rPr>
        <w:t>In November 2007, we and sanofi-aventis entered into a global, strategic collaboration to discover, develop, and commercialize fully human monoclonal antibodies. The collaboration is governed by a</w:t>
      </w:r>
      <w:r>
        <w:rPr>
          <w:rFonts w:ascii="Arial" w:cs="Arial" w:eastAsia="Arial" w:hAnsi="Arial"/>
          <w:sz w:val="12"/>
          <w:szCs w:val="12"/>
          <w:b w:val="1"/>
          <w:bCs w:val="1"/>
          <w:color w:val="auto"/>
        </w:rPr>
        <w:t xml:space="preserve"> </w:t>
      </w:r>
      <w:r>
        <w:rPr>
          <w:rFonts w:ascii="Arial" w:cs="Arial" w:eastAsia="Arial" w:hAnsi="Arial"/>
          <w:sz w:val="12"/>
          <w:szCs w:val="12"/>
          <w:color w:val="auto"/>
        </w:rPr>
        <w:t>Discovery and Preclinical Development Agreement and a License and Collaboration Agreement. In connection with the execution of the discovery agreement in 2007, we received a non-refundable, up-front payment of $85.0 million from sanofi-aventis. Pursuant to the collaboration, sanofi-aventis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w:t>
      </w:r>
    </w:p>
    <w:p>
      <w:pPr>
        <w:spacing w:after="0" w:line="167" w:lineRule="exact"/>
        <w:rPr>
          <w:sz w:val="20"/>
          <w:szCs w:val="20"/>
          <w:color w:val="auto"/>
        </w:rPr>
      </w:pPr>
    </w:p>
    <w:p>
      <w:pPr>
        <w:jc w:val="both"/>
        <w:ind w:firstLine="214"/>
        <w:spacing w:after="0" w:line="310" w:lineRule="auto"/>
        <w:rPr>
          <w:sz w:val="20"/>
          <w:szCs w:val="20"/>
          <w:color w:val="auto"/>
        </w:rPr>
      </w:pPr>
      <w:r>
        <w:rPr>
          <w:rFonts w:ascii="Arial" w:cs="Arial" w:eastAsia="Arial" w:hAnsi="Arial"/>
          <w:sz w:val="11"/>
          <w:szCs w:val="11"/>
          <w:color w:val="auto"/>
        </w:rPr>
        <w:t>For each drug candidate identified through discovery research under the discovery agreement, sanofi-aventis has the option to license rights to the candidate under the license agreement. If it elects to do so, sanofi-aventis will co-develop the drug candidate with us through product approval. Development costs for the drug candidate are shared between the companies, with sanofi-aventis generally funding these costs up front, except that following receipt of the first positive Phase 3 trial results for a co-developed drug candidate, subsequent Phase 3 trial-related costs for that drug candidate are shared 80% by sanofi-aventis and 20% by us. We are generally responsible for reimbursing sanofi-aventis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sanofi-aventis for these development costs.</w:t>
      </w:r>
    </w:p>
    <w:p>
      <w:pPr>
        <w:spacing w:after="0" w:line="154" w:lineRule="exact"/>
        <w:rPr>
          <w:sz w:val="20"/>
          <w:szCs w:val="20"/>
          <w:color w:val="auto"/>
        </w:rPr>
      </w:pPr>
    </w:p>
    <w:p>
      <w:pPr>
        <w:jc w:val="both"/>
        <w:ind w:firstLine="204"/>
        <w:spacing w:after="0" w:line="255" w:lineRule="auto"/>
        <w:rPr>
          <w:sz w:val="20"/>
          <w:szCs w:val="20"/>
          <w:color w:val="auto"/>
        </w:rPr>
      </w:pPr>
      <w:r>
        <w:rPr>
          <w:rFonts w:ascii="Arial" w:cs="Arial" w:eastAsia="Arial" w:hAnsi="Arial"/>
          <w:sz w:val="13"/>
          <w:szCs w:val="13"/>
          <w:color w:val="auto"/>
        </w:rPr>
        <w:t>Sanofi-aventis will lead commercialization activities for products developed under the license agreement, subject to our right to co-promote such products. The parties will equally share profits and losses from sales within the U.S. The parties will share profits outside the U.S. on a sliding scale based on sales starting at 65% (sanofi-aventis)/35% (us) and ending at 55% (sanofi-aventis)/45% (us), and will share losses outside the U.S. at 55% (sanofi-aventis)/45% (us). In addition to profit sharing, we are entitled to receive up to $250 million in sales milestone payments, with milestone payments commencing after aggregate annual sales outside the U.S. exceed $1.0 billion on a rolling 12-month basis.</w:t>
      </w:r>
    </w:p>
    <w:p>
      <w:pPr>
        <w:spacing w:after="0" w:line="180" w:lineRule="exact"/>
        <w:rPr>
          <w:sz w:val="20"/>
          <w:szCs w:val="20"/>
          <w:color w:val="auto"/>
        </w:rPr>
      </w:pPr>
    </w:p>
    <w:p>
      <w:pPr>
        <w:jc w:val="both"/>
        <w:ind w:firstLine="204"/>
        <w:spacing w:after="0" w:line="266" w:lineRule="auto"/>
        <w:rPr>
          <w:sz w:val="20"/>
          <w:szCs w:val="20"/>
          <w:color w:val="auto"/>
        </w:rPr>
      </w:pPr>
      <w:r>
        <w:rPr>
          <w:rFonts w:ascii="Arial" w:cs="Arial" w:eastAsia="Arial" w:hAnsi="Arial"/>
          <w:sz w:val="13"/>
          <w:szCs w:val="13"/>
          <w:color w:val="auto"/>
        </w:rPr>
        <w:t>In November 2009, we and sanofi-aventis amended these agreements to expand and extend our antibody collaboration. The goal of the expanded collaboration is to advance an average of four to five new antibody product candidates into clinical development each year, for an anticipated total of 30-40 candidates from 2010 through 2017.</w:t>
      </w:r>
    </w:p>
    <w:p>
      <w:pPr>
        <w:spacing w:after="0" w:line="173" w:lineRule="exact"/>
        <w:rPr>
          <w:sz w:val="20"/>
          <w:szCs w:val="20"/>
          <w:color w:val="auto"/>
        </w:rPr>
      </w:pPr>
    </w:p>
    <w:p>
      <w:pPr>
        <w:jc w:val="both"/>
        <w:ind w:firstLine="223"/>
        <w:spacing w:after="0" w:line="255" w:lineRule="auto"/>
        <w:rPr>
          <w:sz w:val="20"/>
          <w:szCs w:val="20"/>
          <w:color w:val="auto"/>
        </w:rPr>
      </w:pPr>
      <w:r>
        <w:rPr>
          <w:rFonts w:ascii="Arial" w:cs="Arial" w:eastAsia="Arial" w:hAnsi="Arial"/>
          <w:sz w:val="13"/>
          <w:szCs w:val="13"/>
          <w:color w:val="auto"/>
        </w:rPr>
        <w:t>Under the amended discovery agreement, sanofi-aventis agreed to fund up to $160 million per year of our antibody discovery activities over the period from 2010-2017, subject to a one-time option for sanofi-aventis to adjust the maximum reimbursement amount down to $120 million per year commencing in 2014 if over the prior two years certain specified criteria were not satisfied. Sanofi-aventis has an option to extend the discovery program for up to an additional three years after 2017 for further antibody development and preclinical activities. Pursuant to the collaboration, sanofi-aventis is also obligated to fund up to $30 million of agreed-upon costs we incur to expand our manufacturing capacity at our Rensselaer, New York facilities.</w:t>
      </w:r>
    </w:p>
    <w:p>
      <w:pPr>
        <w:spacing w:after="0" w:line="180" w:lineRule="exact"/>
        <w:rPr>
          <w:sz w:val="20"/>
          <w:szCs w:val="20"/>
          <w:color w:val="auto"/>
        </w:rPr>
      </w:pPr>
    </w:p>
    <w:p>
      <w:pPr>
        <w:jc w:val="both"/>
        <w:ind w:firstLine="204"/>
        <w:spacing w:after="0" w:line="266" w:lineRule="auto"/>
        <w:rPr>
          <w:sz w:val="20"/>
          <w:szCs w:val="20"/>
          <w:color w:val="auto"/>
        </w:rPr>
      </w:pPr>
      <w:r>
        <w:rPr>
          <w:rFonts w:ascii="Arial" w:cs="Arial" w:eastAsia="Arial" w:hAnsi="Arial"/>
          <w:sz w:val="13"/>
          <w:szCs w:val="13"/>
          <w:color w:val="auto"/>
        </w:rPr>
        <w:t>In 2010, as we scaled up our capacity to conduct antibody discovery activities, sanofi-aventis funded $137.7 million of our preclinical research under the expanded collaboration. The balance between that amount and $160 million, or $22.3 million, has been added to the funding otherwise available to us in 2011-2012 under the amended discovery agreement.</w:t>
      </w:r>
    </w:p>
    <w:p>
      <w:pPr>
        <w:spacing w:after="0" w:line="173" w:lineRule="exact"/>
        <w:rPr>
          <w:sz w:val="20"/>
          <w:szCs w:val="20"/>
          <w:color w:val="auto"/>
        </w:rPr>
      </w:pPr>
    </w:p>
    <w:p>
      <w:pPr>
        <w:jc w:val="both"/>
        <w:ind w:firstLine="194"/>
        <w:spacing w:after="0" w:line="266" w:lineRule="auto"/>
        <w:rPr>
          <w:sz w:val="20"/>
          <w:szCs w:val="20"/>
          <w:color w:val="auto"/>
        </w:rPr>
      </w:pPr>
      <w:r>
        <w:rPr>
          <w:rFonts w:ascii="Arial" w:cs="Arial" w:eastAsia="Arial" w:hAnsi="Arial"/>
          <w:sz w:val="13"/>
          <w:szCs w:val="13"/>
          <w:color w:val="auto"/>
        </w:rPr>
        <w:t>From the collaboration's inception in November 2007 through March 31, 2011, sanofi-aventis has funded a total of $354.8 million of our costs under the discovery agreement and a total of $294.1 million of our development costs under the license agreement, or a total of $648.9 million in funding for our antibody research and development activities during this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479" w:right="219" w:bottom="1440" w:gutter="0" w:footer="0" w:header="0"/>
        </w:sectPr>
      </w:pPr>
    </w:p>
    <w:bookmarkStart w:id="25" w:name="page26"/>
    <w:bookmarkEnd w:id="25"/>
    <w:p>
      <w:pPr>
        <w:jc w:val="both"/>
        <w:ind w:right="20" w:firstLine="194"/>
        <w:spacing w:after="0" w:line="229" w:lineRule="auto"/>
        <w:rPr>
          <w:sz w:val="20"/>
          <w:szCs w:val="20"/>
          <w:color w:val="auto"/>
        </w:rPr>
      </w:pPr>
      <w:r>
        <w:rPr>
          <w:rFonts w:ascii="Arial" w:cs="Arial" w:eastAsia="Arial" w:hAnsi="Arial"/>
          <w:sz w:val="13"/>
          <w:szCs w:val="13"/>
          <w:color w:val="auto"/>
        </w:rPr>
        <w:t xml:space="preserve">In August 2008, we entered into an agreement with sanofi-aventis to use our </w:t>
      </w:r>
      <w:r>
        <w:rPr>
          <w:rFonts w:ascii="Arial" w:cs="Arial" w:eastAsia="Arial" w:hAnsi="Arial"/>
          <w:sz w:val="13"/>
          <w:szCs w:val="13"/>
          <w:i w:val="1"/>
          <w:iCs w:val="1"/>
          <w:color w:val="auto"/>
        </w:rPr>
        <w:t>VelociGene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platform to supply sanofi-aventis with genetically modified mammalian models of gene function and disease. Under this agreement, sanofi-aventis is required to pay us a minimum of $21.5 million for the term of the agreement, which extends through December 2012, for knock-out and transgenic models of gene function for target genes identified by sanofi-aventis. Sanofi-aventis will use these models for its internal research programs that are outside of the scope of our antibody collaboration.</w:t>
      </w:r>
    </w:p>
    <w:p>
      <w:pPr>
        <w:spacing w:after="0" w:line="185" w:lineRule="exact"/>
        <w:rPr>
          <w:sz w:val="20"/>
          <w:szCs w:val="20"/>
          <w:color w:val="auto"/>
        </w:rPr>
      </w:pPr>
    </w:p>
    <w:p>
      <w:pPr>
        <w:jc w:val="both"/>
        <w:ind w:right="20" w:firstLine="223"/>
        <w:spacing w:after="0" w:line="246" w:lineRule="auto"/>
        <w:rPr>
          <w:sz w:val="20"/>
          <w:szCs w:val="20"/>
          <w:color w:val="auto"/>
        </w:rPr>
      </w:pPr>
      <w:r>
        <w:rPr>
          <w:rFonts w:ascii="Arial" w:cs="Arial" w:eastAsia="Arial" w:hAnsi="Arial"/>
          <w:sz w:val="13"/>
          <w:szCs w:val="13"/>
          <w:b w:val="1"/>
          <w:bCs w:val="1"/>
          <w:color w:val="auto"/>
        </w:rPr>
        <w:t xml:space="preserve">Astellas Pharma Inc. </w:t>
      </w:r>
      <w:r>
        <w:rPr>
          <w:rFonts w:ascii="Arial" w:cs="Arial" w:eastAsia="Arial" w:hAnsi="Arial"/>
          <w:sz w:val="13"/>
          <w:szCs w:val="13"/>
          <w:color w:val="auto"/>
        </w:rPr>
        <w:t>In March 2007, we entered into a six-year, non-exclusive license agreement with Astellas Pharma Inc. to allow Astellas to utilize our</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technology in its internal research programs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discover human monoclonal antibodies. Under the terms of the agreement, Astellas made a $20.0 million annual, non-refundable payment to us in each of the second quarters of 2007, 2008, 2009, and 2010.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mid-single-digit royalty on any future sales of antibody products discovered by Astellas using our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w:t>
      </w:r>
    </w:p>
    <w:p>
      <w:pPr>
        <w:spacing w:after="0" w:line="114" w:lineRule="exact"/>
        <w:rPr>
          <w:sz w:val="20"/>
          <w:szCs w:val="20"/>
          <w:color w:val="auto"/>
        </w:rPr>
      </w:pPr>
    </w:p>
    <w:p>
      <w:pPr>
        <w:jc w:val="both"/>
        <w:ind w:firstLine="194"/>
        <w:spacing w:after="0" w:line="290" w:lineRule="auto"/>
        <w:rPr>
          <w:sz w:val="20"/>
          <w:szCs w:val="20"/>
          <w:color w:val="auto"/>
        </w:rPr>
      </w:pPr>
      <w:r>
        <w:rPr>
          <w:rFonts w:ascii="Arial" w:cs="Arial" w:eastAsia="Arial" w:hAnsi="Arial"/>
          <w:sz w:val="11"/>
          <w:szCs w:val="11"/>
          <w:b w:val="1"/>
          <w:bCs w:val="1"/>
          <w:color w:val="auto"/>
        </w:rPr>
        <w:t xml:space="preserve">AstraZeneca UK Limited. </w:t>
      </w:r>
      <w:r>
        <w:rPr>
          <w:rFonts w:ascii="Arial" w:cs="Arial" w:eastAsia="Arial" w:hAnsi="Arial"/>
          <w:sz w:val="11"/>
          <w:szCs w:val="11"/>
          <w:color w:val="auto"/>
        </w:rPr>
        <w:t>In February 2007, we entered into a six-year, non-exclusive license agreement with AstraZeneca UK Limited to allow AstraZeneca to utilize our</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VelocImmune</w:t>
      </w:r>
      <w:r>
        <w:rPr>
          <w:rFonts w:ascii="Arial" w:cs="Arial" w:eastAsia="Arial" w:hAnsi="Arial"/>
          <w:sz w:val="15"/>
          <w:szCs w:val="15"/>
          <w:color w:val="auto"/>
          <w:vertAlign w:val="superscript"/>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technology in its internal research</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programs to discover human monoclonal antibodies. Under the terms of the agreement, AstraZeneca made a $20.0 million annual, non-refundable payment to us in each of the first quarters of 2007, 2008, 2009, and 2010. In November 2010, as permitted by the agreement, MedImmune Limited (as successor by novation from AstraZeneca) gave written notice of voluntary termination of the agreement, effective in February 2011, thereby canceling its obligation to make either of the final two annual payments. We remain entitled to receive a mid-single-digit royalty on any future sales of antibody products discovered by MedImmune using our </w:t>
      </w:r>
      <w:r>
        <w:rPr>
          <w:rFonts w:ascii="Arial" w:cs="Arial" w:eastAsia="Arial" w:hAnsi="Arial"/>
          <w:sz w:val="11"/>
          <w:szCs w:val="11"/>
          <w:i w:val="1"/>
          <w:iCs w:val="1"/>
          <w:color w:val="auto"/>
        </w:rPr>
        <w:t>VelocImmune</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technology.</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Royalty Agreement with Novartis Pharma AG</w:t>
      </w:r>
    </w:p>
    <w:p>
      <w:pPr>
        <w:spacing w:after="0" w:line="204" w:lineRule="exact"/>
        <w:rPr>
          <w:sz w:val="20"/>
          <w:szCs w:val="20"/>
          <w:color w:val="auto"/>
        </w:rPr>
      </w:pPr>
    </w:p>
    <w:p>
      <w:pPr>
        <w:jc w:val="both"/>
        <w:ind w:right="20" w:firstLine="204"/>
        <w:spacing w:after="0" w:line="283" w:lineRule="auto"/>
        <w:rPr>
          <w:sz w:val="20"/>
          <w:szCs w:val="20"/>
          <w:color w:val="auto"/>
        </w:rPr>
      </w:pPr>
      <w:r>
        <w:rPr>
          <w:rFonts w:ascii="Arial" w:cs="Arial" w:eastAsia="Arial" w:hAnsi="Arial"/>
          <w:sz w:val="12"/>
          <w:szCs w:val="12"/>
          <w:color w:val="auto"/>
        </w:rPr>
        <w:t>Under a June 2009 agreement with Novartis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has completed Phase 3 development for gout, and is in earlier stage development for atherosclerosis and other inflammatory diseases. While our royalties under this agreement could be significant if canakinumab is approved and successfully commercialized for additional disease indications, to date these royalties have been minimal. Accordingly, we are unable to predict whether these royalties will ever contribute materially to our results of operations or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National Institutes of Health Grant</w:t>
      </w:r>
    </w:p>
    <w:p>
      <w:pPr>
        <w:spacing w:after="0" w:line="204" w:lineRule="exact"/>
        <w:rPr>
          <w:sz w:val="20"/>
          <w:szCs w:val="20"/>
          <w:color w:val="auto"/>
        </w:rPr>
      </w:pPr>
    </w:p>
    <w:p>
      <w:pPr>
        <w:jc w:val="both"/>
        <w:ind w:right="20" w:firstLine="214"/>
        <w:spacing w:after="0" w:line="258" w:lineRule="auto"/>
        <w:rPr>
          <w:sz w:val="20"/>
          <w:szCs w:val="20"/>
          <w:color w:val="auto"/>
        </w:rPr>
      </w:pPr>
      <w:r>
        <w:rPr>
          <w:rFonts w:ascii="Arial" w:cs="Arial" w:eastAsia="Arial" w:hAnsi="Arial"/>
          <w:sz w:val="13"/>
          <w:szCs w:val="13"/>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Under the NIH grant, as amended, we have received $22.6 million from the grant’s inception through March 31, 2011 and are entitled to receive an additional $2.7 million through the remaining term of the grant.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Programs</w:t>
      </w:r>
    </w:p>
    <w:p>
      <w:pPr>
        <w:spacing w:after="0" w:line="204" w:lineRule="exact"/>
        <w:rPr>
          <w:sz w:val="20"/>
          <w:szCs w:val="20"/>
          <w:color w:val="auto"/>
        </w:rPr>
      </w:pPr>
    </w:p>
    <w:p>
      <w:pPr>
        <w:jc w:val="both"/>
        <w:ind w:right="20" w:firstLine="204"/>
        <w:spacing w:after="0" w:line="266" w:lineRule="auto"/>
        <w:rPr>
          <w:sz w:val="20"/>
          <w:szCs w:val="20"/>
          <w:color w:val="auto"/>
        </w:rPr>
      </w:pPr>
      <w:r>
        <w:rPr>
          <w:rFonts w:ascii="Arial" w:cs="Arial" w:eastAsia="Arial" w:hAnsi="Arial"/>
          <w:sz w:val="13"/>
          <w:szCs w:val="13"/>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General:</w:t>
      </w:r>
    </w:p>
    <w:p>
      <w:pPr>
        <w:spacing w:after="0" w:line="203" w:lineRule="exact"/>
        <w:rPr>
          <w:sz w:val="20"/>
          <w:szCs w:val="20"/>
          <w:color w:val="auto"/>
        </w:rPr>
      </w:pPr>
    </w:p>
    <w:p>
      <w:pPr>
        <w:jc w:val="both"/>
        <w:ind w:firstLine="214"/>
        <w:spacing w:after="0" w:line="233" w:lineRule="auto"/>
        <w:rPr>
          <w:sz w:val="20"/>
          <w:szCs w:val="20"/>
          <w:color w:val="auto"/>
        </w:rPr>
      </w:pPr>
      <w:r>
        <w:rPr>
          <w:rFonts w:ascii="Arial" w:cs="Arial" w:eastAsia="Arial" w:hAnsi="Arial"/>
          <w:sz w:val="13"/>
          <w:szCs w:val="13"/>
          <w:color w:val="auto"/>
        </w:rPr>
        <w:t>Developing and commercializing new medicines entails significant risk and expense. Since inception we have not generated any significant sales or profits from the commercialization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or any of our other product candidates. Before significant revenues from the commercialization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1" w:right="199" w:bottom="1440" w:gutter="0" w:footer="0" w:header="0"/>
        </w:sectPr>
      </w:pPr>
    </w:p>
    <w:bookmarkStart w:id="26" w:name="page27"/>
    <w:bookmarkEnd w:id="26"/>
    <w:p>
      <w:pPr>
        <w:jc w:val="both"/>
        <w:ind w:firstLine="233"/>
        <w:spacing w:after="0" w:line="265" w:lineRule="auto"/>
        <w:rPr>
          <w:sz w:val="20"/>
          <w:szCs w:val="20"/>
          <w:color w:val="auto"/>
        </w:rPr>
      </w:pPr>
      <w:r>
        <w:rPr>
          <w:rFonts w:ascii="Arial" w:cs="Arial" w:eastAsia="Arial" w:hAnsi="Arial"/>
          <w:sz w:val="12"/>
          <w:szCs w:val="12"/>
          <w:color w:val="auto"/>
        </w:rPr>
        <w:t>From inception on January 8, 1988 through March 31, 2011, we had a cumulative loss of $1.1 billion, principally related to our research and development activities. We expect to continue to incur substantial expenses related to our research and development activities, a significant portion of which we expect to be reimbursed by our collaborators. We submitted a BLA to the FDA in February 2011 for marketing approval of VEGF Trap-Eye in wet AMD in the U.S. In April 2011, the FDA accepted the BLA for filing and granted our request for Priority Review. Under Priority Review, the target date for an FDA decision on the VEGF Trap-Eye BLA is August 20, 2011. Bayer HealthCare intends to submit regulatory applications in the first half of 2011 for marketing approval of VEGF Trap-Eye in wet AMD in Europe and other countries. We plan to submit a BLA to the FDA in the second half of 2011 for marketing approval of VEGF Trap-Eye in CRVO in the U.S., and Bayer HealthCare is planning to submit regulatory applications for marketing approval of VEGF Trap-Eye in CRVO in Europe in 2012. We also plan to submit a supplemental BLA to the FDA in mid-2011 for marketing approval in the U.S. of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prevention of gout flares in patients initiating uric acid-lowering therapy. We and sanofi-aventis plan to submit regulatory applications for marketing approval of ZALTRAP™ for the second-line treatment of mCRC to the FDA and the EMA in the second half of 2011. We expect to incur substantial costs to prepare for potential commercialization of these late-stage product candidates and, if one or more of these product candidates receive regulatory approval, to fund the launch of the product(s). Thus, we expect to continue to incur substantial operating losses over at least the next few years related primarily to our research and development and commercialization activities. Also, our research and development activities outside our collaborations, the costs of which are not reimbursed, may expand and require additional resources. Our losses may fluctuate from quarter to quarter and will depend on, among other factors, the scope and progress of our research and development efforts, the progress of our efforts to commercialize our late-stage product candidates, the timing of certain expenses, and the amount of reimbursement that we receive from collaborators. We cannot predict whether or when our late-stage product candidates, including VEGF Trap-Eye in wet AMD, will receive regulatory approval or, if such approval is received, whether we will be able to successfully commercialize such product(s), or if we do commercialize such product(s), whether or when they may become profitable.</w:t>
      </w:r>
    </w:p>
    <w:p>
      <w:pPr>
        <w:spacing w:after="0" w:line="181" w:lineRule="exact"/>
        <w:rPr>
          <w:sz w:val="20"/>
          <w:szCs w:val="20"/>
          <w:color w:val="auto"/>
        </w:rPr>
      </w:pPr>
    </w:p>
    <w:p>
      <w:pPr>
        <w:jc w:val="both"/>
        <w:ind w:firstLine="233"/>
        <w:spacing w:after="0" w:line="266" w:lineRule="auto"/>
        <w:rPr>
          <w:sz w:val="20"/>
          <w:szCs w:val="20"/>
          <w:color w:val="auto"/>
        </w:rPr>
      </w:pPr>
      <w:r>
        <w:rPr>
          <w:rFonts w:ascii="Arial" w:cs="Arial" w:eastAsia="Arial" w:hAnsi="Arial"/>
          <w:sz w:val="13"/>
          <w:szCs w:val="13"/>
          <w:color w:val="auto"/>
        </w:rPr>
        <w:t>The planning, execution, and results of our clinical programs are significant factors that can affect our operating and financial results. In our clinical programs, key events in 2011 to date were, and plans for the next 12 months are, as follows:</w:t>
      </w:r>
    </w:p>
    <w:p>
      <w:pPr>
        <w:sectPr>
          <w:pgSz w:w="11900" w:h="16838" w:orient="portrait"/>
          <w:cols w:equalWidth="0" w:num="1">
            <w:col w:w="11460"/>
          </w:cols>
          <w:pgMar w:left="220" w:top="502" w:right="219" w:bottom="1440" w:gutter="0" w:footer="0" w:header="0"/>
        </w:sectPr>
      </w:pPr>
    </w:p>
    <w:p>
      <w:pPr>
        <w:spacing w:after="0" w:line="33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720" w:type="dxa"/>
            <w:vAlign w:val="bottom"/>
            <w:gridSpan w:val="3"/>
          </w:tcPr>
          <w:p>
            <w:pPr>
              <w:spacing w:after="0"/>
              <w:rPr>
                <w:sz w:val="20"/>
                <w:szCs w:val="20"/>
                <w:color w:val="auto"/>
              </w:rPr>
            </w:pPr>
            <w:r>
              <w:rPr>
                <w:rFonts w:ascii="Arial" w:cs="Arial" w:eastAsia="Arial" w:hAnsi="Arial"/>
                <w:sz w:val="13"/>
                <w:szCs w:val="13"/>
                <w:b w:val="1"/>
                <w:bCs w:val="1"/>
                <w:color w:val="auto"/>
              </w:rPr>
              <w:t>Clinical Program</w:t>
            </w:r>
          </w:p>
        </w:tc>
        <w:tc>
          <w:tcPr>
            <w:tcW w:w="3460" w:type="dxa"/>
            <w:vAlign w:val="bottom"/>
          </w:tcPr>
          <w:p>
            <w:pPr>
              <w:ind w:left="1200"/>
              <w:spacing w:after="0"/>
              <w:rPr>
                <w:sz w:val="20"/>
                <w:szCs w:val="20"/>
                <w:color w:val="auto"/>
              </w:rPr>
            </w:pPr>
            <w:r>
              <w:rPr>
                <w:rFonts w:ascii="Arial" w:cs="Arial" w:eastAsia="Arial" w:hAnsi="Arial"/>
                <w:sz w:val="13"/>
                <w:szCs w:val="13"/>
                <w:b w:val="1"/>
                <w:bCs w:val="1"/>
                <w:color w:val="auto"/>
              </w:rPr>
              <w:t>2011 Events to Date</w:t>
            </w:r>
          </w:p>
        </w:tc>
      </w:tr>
      <w:tr>
        <w:trPr>
          <w:trHeight w:val="144"/>
        </w:trPr>
        <w:tc>
          <w:tcPr>
            <w:tcW w:w="20" w:type="dxa"/>
            <w:vAlign w:val="bottom"/>
          </w:tcPr>
          <w:p>
            <w:pPr>
              <w:spacing w:after="0"/>
              <w:rPr>
                <w:sz w:val="12"/>
                <w:szCs w:val="12"/>
                <w:color w:val="auto"/>
              </w:rPr>
            </w:pPr>
          </w:p>
        </w:tc>
        <w:tc>
          <w:tcPr>
            <w:tcW w:w="354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color w:val="auto"/>
              </w:rPr>
              <w:t>VEGF Trap–Eye</w:t>
            </w:r>
          </w:p>
        </w:tc>
        <w:tc>
          <w:tcPr>
            <w:tcW w:w="160" w:type="dxa"/>
            <w:vAlign w:val="bottom"/>
          </w:tcPr>
          <w:p>
            <w:pPr>
              <w:spacing w:after="0"/>
              <w:rPr>
                <w:sz w:val="12"/>
                <w:szCs w:val="12"/>
                <w:color w:val="auto"/>
              </w:rPr>
            </w:pPr>
          </w:p>
        </w:tc>
        <w:tc>
          <w:tcPr>
            <w:tcW w:w="3460" w:type="dxa"/>
            <w:vAlign w:val="bottom"/>
            <w:tcBorders>
              <w:top w:val="single" w:sz="8" w:color="auto"/>
            </w:tcBorders>
          </w:tcPr>
          <w:p>
            <w:pPr>
              <w:ind w:left="540"/>
              <w:spacing w:after="0" w:line="144" w:lineRule="exact"/>
              <w:rPr>
                <w:sz w:val="20"/>
                <w:szCs w:val="20"/>
                <w:color w:val="auto"/>
              </w:rPr>
            </w:pPr>
            <w:r>
              <w:rPr>
                <w:rFonts w:ascii="Arial" w:cs="Arial" w:eastAsia="Arial" w:hAnsi="Arial"/>
                <w:sz w:val="13"/>
                <w:szCs w:val="13"/>
                <w:color w:val="auto"/>
                <w:w w:val="94"/>
              </w:rPr>
              <w:t>Submitted a BLA to the U.S. FDA for the treatment of</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ind w:left="540"/>
              <w:spacing w:after="0"/>
              <w:rPr>
                <w:sz w:val="20"/>
                <w:szCs w:val="20"/>
                <w:color w:val="auto"/>
              </w:rPr>
            </w:pPr>
            <w:r>
              <w:rPr>
                <w:rFonts w:ascii="Arial" w:cs="Arial" w:eastAsia="Arial" w:hAnsi="Arial"/>
                <w:sz w:val="13"/>
                <w:szCs w:val="13"/>
                <w:color w:val="auto"/>
              </w:rPr>
              <w:t>wet AMD</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ind w:left="540"/>
              <w:spacing w:after="0"/>
              <w:rPr>
                <w:sz w:val="20"/>
                <w:szCs w:val="20"/>
                <w:color w:val="auto"/>
              </w:rPr>
            </w:pPr>
            <w:r>
              <w:rPr>
                <w:rFonts w:ascii="Arial" w:cs="Arial" w:eastAsia="Arial" w:hAnsi="Arial"/>
                <w:sz w:val="13"/>
                <w:szCs w:val="13"/>
                <w:color w:val="auto"/>
              </w:rPr>
              <w:t>FDA accepted BLA for wet AMD and granted our</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ind w:left="540"/>
              <w:spacing w:after="0"/>
              <w:rPr>
                <w:sz w:val="20"/>
                <w:szCs w:val="20"/>
                <w:color w:val="auto"/>
              </w:rPr>
            </w:pPr>
            <w:r>
              <w:rPr>
                <w:rFonts w:ascii="Arial" w:cs="Arial" w:eastAsia="Arial" w:hAnsi="Arial"/>
                <w:sz w:val="13"/>
                <w:szCs w:val="13"/>
                <w:color w:val="auto"/>
              </w:rPr>
              <w:t>request for Priority Review</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ind w:left="540"/>
              <w:spacing w:after="0"/>
              <w:rPr>
                <w:sz w:val="20"/>
                <w:szCs w:val="20"/>
                <w:color w:val="auto"/>
              </w:rPr>
            </w:pPr>
            <w:r>
              <w:rPr>
                <w:rFonts w:ascii="Arial" w:cs="Arial" w:eastAsia="Arial" w:hAnsi="Arial"/>
                <w:sz w:val="13"/>
                <w:szCs w:val="13"/>
                <w:color w:val="auto"/>
              </w:rPr>
              <w:t>Reported positive six-month results in the Phase 3</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ind w:left="540"/>
              <w:spacing w:after="0"/>
              <w:rPr>
                <w:sz w:val="20"/>
                <w:szCs w:val="20"/>
                <w:color w:val="auto"/>
              </w:rPr>
            </w:pPr>
            <w:r>
              <w:rPr>
                <w:rFonts w:ascii="Arial" w:cs="Arial" w:eastAsia="Arial" w:hAnsi="Arial"/>
                <w:sz w:val="13"/>
                <w:szCs w:val="13"/>
                <w:color w:val="auto"/>
              </w:rPr>
              <w:t>GALILEO trial in CRVO</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ind w:left="540"/>
              <w:spacing w:after="0"/>
              <w:rPr>
                <w:sz w:val="20"/>
                <w:szCs w:val="20"/>
                <w:color w:val="auto"/>
              </w:rPr>
            </w:pPr>
            <w:r>
              <w:rPr>
                <w:rFonts w:ascii="Arial" w:cs="Arial" w:eastAsia="Arial" w:hAnsi="Arial"/>
                <w:sz w:val="13"/>
                <w:szCs w:val="13"/>
                <w:color w:val="auto"/>
                <w:w w:val="88"/>
              </w:rPr>
              <w:t>Bayer Healthcare initiated a Phase 3 trial in DME outside</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ind w:left="540"/>
              <w:spacing w:after="0"/>
              <w:rPr>
                <w:sz w:val="20"/>
                <w:szCs w:val="20"/>
                <w:color w:val="auto"/>
              </w:rPr>
            </w:pPr>
            <w:r>
              <w:rPr>
                <w:rFonts w:ascii="Arial" w:cs="Arial" w:eastAsia="Arial" w:hAnsi="Arial"/>
                <w:sz w:val="13"/>
                <w:szCs w:val="13"/>
                <w:color w:val="auto"/>
              </w:rPr>
              <w:t>the U.S.</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ind w:left="540"/>
              <w:spacing w:after="0"/>
              <w:rPr>
                <w:sz w:val="20"/>
                <w:szCs w:val="20"/>
                <w:color w:val="auto"/>
              </w:rPr>
            </w:pPr>
            <w:r>
              <w:rPr>
                <w:rFonts w:ascii="Arial" w:cs="Arial" w:eastAsia="Arial" w:hAnsi="Arial"/>
                <w:sz w:val="13"/>
                <w:szCs w:val="13"/>
                <w:color w:val="auto"/>
                <w:w w:val="90"/>
              </w:rPr>
              <w:t>Initiated a Phase 3 trial in Asia in CNV of the retina as a</w:t>
            </w:r>
          </w:p>
        </w:tc>
      </w:tr>
      <w:tr>
        <w:trPr>
          <w:trHeight w:val="160"/>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ind w:left="540"/>
              <w:spacing w:after="0"/>
              <w:rPr>
                <w:sz w:val="20"/>
                <w:szCs w:val="20"/>
                <w:color w:val="auto"/>
              </w:rPr>
            </w:pPr>
            <w:r>
              <w:rPr>
                <w:rFonts w:ascii="Arial" w:cs="Arial" w:eastAsia="Arial" w:hAnsi="Arial"/>
                <w:sz w:val="13"/>
                <w:szCs w:val="13"/>
                <w:color w:val="auto"/>
              </w:rPr>
              <w:t>result of pathologic myopia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111760</wp:posOffset>
            </wp:positionV>
            <wp:extent cx="691515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15150" cy="635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-960755</wp:posOffset>
            </wp:positionV>
            <wp:extent cx="50165" cy="5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-763270</wp:posOffset>
            </wp:positionV>
            <wp:extent cx="50165" cy="50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-566420</wp:posOffset>
            </wp:positionV>
            <wp:extent cx="50165" cy="50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-368935</wp:posOffset>
            </wp:positionV>
            <wp:extent cx="50165" cy="5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-172085</wp:posOffset>
            </wp:positionV>
            <wp:extent cx="50165"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820"/>
        <w:spacing w:after="0"/>
        <w:rPr>
          <w:sz w:val="20"/>
          <w:szCs w:val="20"/>
          <w:color w:val="auto"/>
        </w:rPr>
      </w:pPr>
      <w:r>
        <w:rPr>
          <w:rFonts w:ascii="Arial" w:cs="Arial" w:eastAsia="Arial" w:hAnsi="Arial"/>
          <w:sz w:val="13"/>
          <w:szCs w:val="13"/>
          <w:b w:val="1"/>
          <w:bCs w:val="1"/>
          <w:color w:val="auto"/>
        </w:rPr>
        <w:t>2011-12 Plans</w:t>
      </w:r>
    </w:p>
    <w:p>
      <w:pPr>
        <w:spacing w:after="0" w:line="25" w:lineRule="exact"/>
        <w:rPr>
          <w:sz w:val="20"/>
          <w:szCs w:val="20"/>
          <w:color w:val="auto"/>
        </w:rPr>
      </w:pPr>
    </w:p>
    <w:p>
      <w:pPr>
        <w:jc w:val="center"/>
        <w:ind w:right="820"/>
        <w:spacing w:after="0"/>
        <w:rPr>
          <w:sz w:val="20"/>
          <w:szCs w:val="20"/>
          <w:color w:val="auto"/>
        </w:rPr>
      </w:pPr>
      <w:r>
        <w:rPr>
          <w:rFonts w:ascii="Arial" w:cs="Arial" w:eastAsia="Arial" w:hAnsi="Arial"/>
          <w:sz w:val="13"/>
          <w:szCs w:val="13"/>
          <w:b w:val="1"/>
          <w:bCs w:val="1"/>
          <w:color w:val="auto"/>
        </w:rPr>
        <w:t>(next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15875</wp:posOffset>
            </wp:positionV>
            <wp:extent cx="226822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68220" cy="6350"/>
                    </a:xfrm>
                    <a:prstGeom prst="rect">
                      <a:avLst/>
                    </a:prstGeom>
                    <a:noFill/>
                  </pic:spPr>
                </pic:pic>
              </a:graphicData>
            </a:graphic>
          </wp:anchor>
        </w:drawing>
      </w:r>
    </w:p>
    <w:p>
      <w:pPr>
        <w:spacing w:after="0" w:line="9" w:lineRule="exact"/>
        <w:rPr>
          <w:sz w:val="20"/>
          <w:szCs w:val="20"/>
          <w:color w:val="auto"/>
        </w:rPr>
      </w:pPr>
    </w:p>
    <w:p>
      <w:pPr>
        <w:ind w:right="420"/>
        <w:spacing w:after="0" w:line="253" w:lineRule="auto"/>
        <w:rPr>
          <w:sz w:val="20"/>
          <w:szCs w:val="20"/>
          <w:color w:val="auto"/>
        </w:rPr>
      </w:pPr>
      <w:r>
        <w:rPr>
          <w:rFonts w:ascii="Arial" w:cs="Arial" w:eastAsia="Arial" w:hAnsi="Arial"/>
          <w:sz w:val="13"/>
          <w:szCs w:val="13"/>
          <w:color w:val="auto"/>
        </w:rPr>
        <w:t>Target date for FDA decision on VEGF Trap-Eye BLA is August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-171450</wp:posOffset>
            </wp:positionV>
            <wp:extent cx="50165" cy="50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Report two-year data from VIEW 1 and VIEW 2 in wet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-62230</wp:posOffset>
            </wp:positionV>
            <wp:extent cx="50165" cy="50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AMD, and one-year data from COPERNICUS and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GALILEO in CRVO in the second half of 2011</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Submit a BLA to the FDA for the treatment of CRVO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-54610</wp:posOffset>
            </wp:positionV>
            <wp:extent cx="50165" cy="50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the second half of 2011</w:t>
      </w:r>
    </w:p>
    <w:p>
      <w:pPr>
        <w:spacing w:after="0" w:line="6" w:lineRule="exact"/>
        <w:rPr>
          <w:sz w:val="20"/>
          <w:szCs w:val="20"/>
          <w:color w:val="auto"/>
        </w:rPr>
      </w:pPr>
    </w:p>
    <w:p>
      <w:pPr>
        <w:ind w:right="620"/>
        <w:spacing w:after="0" w:line="258" w:lineRule="auto"/>
        <w:rPr>
          <w:sz w:val="20"/>
          <w:szCs w:val="20"/>
          <w:color w:val="auto"/>
        </w:rPr>
      </w:pPr>
      <w:r>
        <w:rPr>
          <w:rFonts w:ascii="Arial" w:cs="Arial" w:eastAsia="Arial" w:hAnsi="Arial"/>
          <w:sz w:val="13"/>
          <w:szCs w:val="13"/>
          <w:color w:val="auto"/>
        </w:rPr>
        <w:t>Initiate a second DME Phase 3 trial in the U.S. in the second half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-178435</wp:posOffset>
            </wp:positionV>
            <wp:extent cx="50165" cy="5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344" w:lineRule="exact"/>
        <w:rPr>
          <w:sz w:val="20"/>
          <w:szCs w:val="20"/>
          <w:color w:val="auto"/>
        </w:rPr>
      </w:pPr>
    </w:p>
    <w:p>
      <w:pPr>
        <w:sectPr>
          <w:pgSz w:w="11900" w:h="16838" w:orient="portrait"/>
          <w:cols w:equalWidth="0" w:num="2">
            <w:col w:w="7460" w:space="700"/>
            <w:col w:w="3300"/>
          </w:cols>
          <w:pgMar w:left="220" w:top="502" w:right="219" w:bottom="1440" w:gutter="0" w:footer="0" w:header="0"/>
          <w:type w:val="continuous"/>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30377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502" w:right="219" w:bottom="1440" w:gutter="0" w:footer="0" w:header="0"/>
          <w:type w:val="continuous"/>
        </w:sectPr>
      </w:pPr>
    </w:p>
    <w:bookmarkStart w:id="27" w:name="page28"/>
    <w:bookmarkEnd w:id="27"/>
    <w:tbl>
      <w:tblPr>
        <w:tblLayout w:type="fixed"/>
        <w:tblInd w:w="2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Pr>
          <w:p>
            <w:pPr>
              <w:ind w:left="1420"/>
              <w:spacing w:after="0"/>
              <w:rPr>
                <w:sz w:val="20"/>
                <w:szCs w:val="20"/>
                <w:color w:val="auto"/>
              </w:rPr>
            </w:pPr>
            <w:r>
              <w:rPr>
                <w:rFonts w:ascii="Arial" w:cs="Arial" w:eastAsia="Arial" w:hAnsi="Arial"/>
                <w:sz w:val="13"/>
                <w:szCs w:val="13"/>
                <w:b w:val="1"/>
                <w:bCs w:val="1"/>
                <w:color w:val="auto"/>
              </w:rPr>
              <w:t>2011-12 Plans</w:t>
            </w:r>
          </w:p>
        </w:tc>
      </w:tr>
      <w:tr>
        <w:trPr>
          <w:trHeight w:val="175"/>
        </w:trPr>
        <w:tc>
          <w:tcPr>
            <w:tcW w:w="3720" w:type="dxa"/>
            <w:vAlign w:val="bottom"/>
            <w:gridSpan w:val="3"/>
          </w:tcPr>
          <w:p>
            <w:pPr>
              <w:spacing w:after="0"/>
              <w:rPr>
                <w:sz w:val="20"/>
                <w:szCs w:val="20"/>
                <w:color w:val="auto"/>
              </w:rPr>
            </w:pPr>
            <w:r>
              <w:rPr>
                <w:rFonts w:ascii="Arial" w:cs="Arial" w:eastAsia="Arial" w:hAnsi="Arial"/>
                <w:sz w:val="13"/>
                <w:szCs w:val="13"/>
                <w:b w:val="1"/>
                <w:bCs w:val="1"/>
                <w:color w:val="auto"/>
              </w:rPr>
              <w:t>Clinical Program</w:t>
            </w:r>
          </w:p>
        </w:tc>
        <w:tc>
          <w:tcPr>
            <w:tcW w:w="3600" w:type="dxa"/>
            <w:vAlign w:val="bottom"/>
            <w:gridSpan w:val="2"/>
          </w:tcPr>
          <w:p>
            <w:pPr>
              <w:ind w:left="1200"/>
              <w:spacing w:after="0"/>
              <w:rPr>
                <w:sz w:val="20"/>
                <w:szCs w:val="20"/>
                <w:color w:val="auto"/>
              </w:rPr>
            </w:pPr>
            <w:r>
              <w:rPr>
                <w:rFonts w:ascii="Arial" w:cs="Arial" w:eastAsia="Arial" w:hAnsi="Arial"/>
                <w:sz w:val="13"/>
                <w:szCs w:val="13"/>
                <w:b w:val="1"/>
                <w:bCs w:val="1"/>
                <w:color w:val="auto"/>
              </w:rPr>
              <w:t>2011 Events to Date</w:t>
            </w:r>
          </w:p>
        </w:tc>
        <w:tc>
          <w:tcPr>
            <w:tcW w:w="3580" w:type="dxa"/>
            <w:vAlign w:val="bottom"/>
          </w:tcPr>
          <w:p>
            <w:pPr>
              <w:ind w:left="1340"/>
              <w:spacing w:after="0"/>
              <w:rPr>
                <w:sz w:val="20"/>
                <w:szCs w:val="20"/>
                <w:color w:val="auto"/>
              </w:rPr>
            </w:pPr>
            <w:r>
              <w:rPr>
                <w:rFonts w:ascii="Arial" w:cs="Arial" w:eastAsia="Arial" w:hAnsi="Arial"/>
                <w:sz w:val="13"/>
                <w:szCs w:val="13"/>
                <w:b w:val="1"/>
                <w:bCs w:val="1"/>
                <w:color w:val="auto"/>
              </w:rPr>
              <w:t>(next 12 months)</w:t>
            </w: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3540" w:type="dxa"/>
            <w:vAlign w:val="bottom"/>
          </w:tcPr>
          <w:p>
            <w:pPr>
              <w:spacing w:after="0" w:line="139" w:lineRule="exact"/>
              <w:rPr>
                <w:sz w:val="20"/>
                <w:szCs w:val="20"/>
                <w:color w:val="auto"/>
              </w:rPr>
            </w:pPr>
            <w:r>
              <w:rPr>
                <w:rFonts w:ascii="Arial" w:cs="Arial" w:eastAsia="Arial" w:hAnsi="Arial"/>
                <w:sz w:val="13"/>
                <w:szCs w:val="13"/>
                <w:color w:val="auto"/>
              </w:rPr>
              <w:t>ZALTRAP™</w:t>
            </w:r>
          </w:p>
        </w:tc>
        <w:tc>
          <w:tcPr>
            <w:tcW w:w="160" w:type="dxa"/>
            <w:vAlign w:val="bottom"/>
          </w:tcPr>
          <w:p>
            <w:pPr>
              <w:spacing w:after="0"/>
              <w:rPr>
                <w:sz w:val="12"/>
                <w:szCs w:val="12"/>
                <w:color w:val="auto"/>
              </w:rPr>
            </w:pPr>
          </w:p>
        </w:tc>
        <w:tc>
          <w:tcPr>
            <w:tcW w:w="3460" w:type="dxa"/>
            <w:vAlign w:val="bottom"/>
          </w:tcPr>
          <w:p>
            <w:pPr>
              <w:ind w:left="540"/>
              <w:spacing w:after="0" w:line="139" w:lineRule="exact"/>
              <w:rPr>
                <w:sz w:val="20"/>
                <w:szCs w:val="20"/>
                <w:color w:val="auto"/>
              </w:rPr>
            </w:pPr>
            <w:r>
              <w:rPr>
                <w:rFonts w:ascii="Arial" w:cs="Arial" w:eastAsia="Arial" w:hAnsi="Arial"/>
                <w:sz w:val="13"/>
                <w:szCs w:val="13"/>
                <w:color w:val="auto"/>
                <w:w w:val="89"/>
              </w:rPr>
              <w:t>Reported positive results in the Phase 3 VELOUR trial in</w:t>
            </w:r>
          </w:p>
        </w:tc>
        <w:tc>
          <w:tcPr>
            <w:tcW w:w="140" w:type="dxa"/>
            <w:vAlign w:val="bottom"/>
          </w:tcPr>
          <w:p>
            <w:pPr>
              <w:spacing w:after="0"/>
              <w:rPr>
                <w:sz w:val="12"/>
                <w:szCs w:val="12"/>
                <w:color w:val="auto"/>
              </w:rPr>
            </w:pPr>
          </w:p>
        </w:tc>
        <w:tc>
          <w:tcPr>
            <w:tcW w:w="3580" w:type="dxa"/>
            <w:vAlign w:val="bottom"/>
          </w:tcPr>
          <w:p>
            <w:pPr>
              <w:ind w:left="560"/>
              <w:spacing w:after="0" w:line="139" w:lineRule="exact"/>
              <w:rPr>
                <w:sz w:val="20"/>
                <w:szCs w:val="20"/>
                <w:color w:val="auto"/>
              </w:rPr>
            </w:pPr>
            <w:r>
              <w:rPr>
                <w:rFonts w:ascii="Arial" w:cs="Arial" w:eastAsia="Arial" w:hAnsi="Arial"/>
                <w:sz w:val="13"/>
                <w:szCs w:val="13"/>
                <w:color w:val="auto"/>
                <w:w w:val="95"/>
              </w:rPr>
              <w:t>Submit a BLA to the FDA for the treatment of mCRC in</w:t>
            </w:r>
          </w:p>
        </w:tc>
      </w:tr>
      <w:tr>
        <w:trPr>
          <w:trHeight w:val="152"/>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gridSpan w:val="2"/>
          </w:tcPr>
          <w:p>
            <w:pPr>
              <w:ind w:left="540"/>
              <w:spacing w:after="0"/>
              <w:rPr>
                <w:sz w:val="20"/>
                <w:szCs w:val="20"/>
                <w:color w:val="auto"/>
              </w:rPr>
            </w:pPr>
            <w:r>
              <w:rPr>
                <w:rFonts w:ascii="Arial" w:cs="Arial" w:eastAsia="Arial" w:hAnsi="Arial"/>
                <w:sz w:val="13"/>
                <w:szCs w:val="13"/>
                <w:color w:val="auto"/>
              </w:rPr>
              <w:t>mCRC</w:t>
            </w:r>
          </w:p>
        </w:tc>
        <w:tc>
          <w:tcPr>
            <w:tcW w:w="3580" w:type="dxa"/>
            <w:vAlign w:val="bottom"/>
          </w:tcPr>
          <w:p>
            <w:pPr>
              <w:ind w:left="560"/>
              <w:spacing w:after="0"/>
              <w:rPr>
                <w:sz w:val="20"/>
                <w:szCs w:val="20"/>
                <w:color w:val="auto"/>
              </w:rPr>
            </w:pPr>
            <w:r>
              <w:rPr>
                <w:rFonts w:ascii="Arial" w:cs="Arial" w:eastAsia="Arial" w:hAnsi="Arial"/>
                <w:sz w:val="13"/>
                <w:szCs w:val="13"/>
                <w:color w:val="auto"/>
              </w:rPr>
              <w:t>the second half of 2011</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gridSpan w:val="2"/>
          </w:tcPr>
          <w:p>
            <w:pPr>
              <w:ind w:left="540"/>
              <w:spacing w:after="0"/>
              <w:rPr>
                <w:sz w:val="20"/>
                <w:szCs w:val="20"/>
                <w:color w:val="auto"/>
              </w:rPr>
            </w:pPr>
            <w:r>
              <w:rPr>
                <w:rFonts w:ascii="Arial" w:cs="Arial" w:eastAsia="Arial" w:hAnsi="Arial"/>
                <w:sz w:val="13"/>
                <w:szCs w:val="13"/>
                <w:color w:val="auto"/>
              </w:rPr>
              <w:t>Reported results for the VITAL trial in NSCLC</w:t>
            </w:r>
          </w:p>
        </w:tc>
        <w:tc>
          <w:tcPr>
            <w:tcW w:w="3580" w:type="dxa"/>
            <w:vAlign w:val="bottom"/>
          </w:tcPr>
          <w:p>
            <w:pPr>
              <w:ind w:left="560"/>
              <w:spacing w:after="0"/>
              <w:rPr>
                <w:sz w:val="20"/>
                <w:szCs w:val="20"/>
                <w:color w:val="auto"/>
              </w:rPr>
            </w:pPr>
            <w:r>
              <w:rPr>
                <w:rFonts w:ascii="Arial" w:cs="Arial" w:eastAsia="Arial" w:hAnsi="Arial"/>
                <w:sz w:val="13"/>
                <w:szCs w:val="13"/>
                <w:color w:val="auto"/>
                <w:w w:val="94"/>
              </w:rPr>
              <w:t>IDMC review of interim results for the Phase 3 VENICE</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80" w:type="dxa"/>
            <w:vAlign w:val="bottom"/>
          </w:tcPr>
          <w:p>
            <w:pPr>
              <w:ind w:left="560"/>
              <w:spacing w:after="0"/>
              <w:rPr>
                <w:sz w:val="20"/>
                <w:szCs w:val="20"/>
                <w:color w:val="auto"/>
              </w:rPr>
            </w:pPr>
            <w:r>
              <w:rPr>
                <w:rFonts w:ascii="Arial" w:cs="Arial" w:eastAsia="Arial" w:hAnsi="Arial"/>
                <w:sz w:val="13"/>
                <w:szCs w:val="13"/>
                <w:color w:val="auto"/>
              </w:rPr>
              <w:t>trial in prostate cancer in mid-2011</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80" w:type="dxa"/>
            <w:vAlign w:val="bottom"/>
          </w:tcPr>
          <w:p>
            <w:pPr>
              <w:ind w:left="560"/>
              <w:spacing w:after="0"/>
              <w:rPr>
                <w:sz w:val="20"/>
                <w:szCs w:val="20"/>
                <w:color w:val="auto"/>
              </w:rPr>
            </w:pPr>
            <w:r>
              <w:rPr>
                <w:rFonts w:ascii="Arial" w:cs="Arial" w:eastAsia="Arial" w:hAnsi="Arial"/>
                <w:sz w:val="13"/>
                <w:szCs w:val="13"/>
                <w:color w:val="auto"/>
              </w:rPr>
              <w:t>Report initial results in the Phase 2 AFFIRM trial in</w:t>
            </w:r>
          </w:p>
        </w:tc>
      </w:tr>
      <w:tr>
        <w:trPr>
          <w:trHeight w:val="163"/>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Pr>
          <w:p>
            <w:pPr>
              <w:ind w:left="560"/>
              <w:spacing w:after="0"/>
              <w:rPr>
                <w:sz w:val="20"/>
                <w:szCs w:val="20"/>
                <w:color w:val="auto"/>
              </w:rPr>
            </w:pPr>
            <w:r>
              <w:rPr>
                <w:rFonts w:ascii="Arial" w:cs="Arial" w:eastAsia="Arial" w:hAnsi="Arial"/>
                <w:sz w:val="13"/>
                <w:szCs w:val="13"/>
                <w:color w:val="auto"/>
              </w:rPr>
              <w:t>colorectal cancer in the second half of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111760</wp:posOffset>
            </wp:positionV>
            <wp:extent cx="69151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15150" cy="635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-566420</wp:posOffset>
            </wp:positionV>
            <wp:extent cx="50165" cy="50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-368935</wp:posOffset>
            </wp:positionV>
            <wp:extent cx="50165" cy="50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-566420</wp:posOffset>
            </wp:positionV>
            <wp:extent cx="50165" cy="50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-368935</wp:posOffset>
            </wp:positionV>
            <wp:extent cx="50165" cy="50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-172085</wp:posOffset>
            </wp:positionV>
            <wp:extent cx="50165" cy="501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ARCALYST</w:t>
      </w:r>
      <w:r>
        <w:rPr>
          <w:rFonts w:ascii="Arial" w:cs="Arial" w:eastAsia="Arial" w:hAnsi="Arial"/>
          <w:sz w:val="17"/>
          <w:szCs w:val="17"/>
          <w:color w:val="auto"/>
          <w:vertAlign w:val="superscript"/>
        </w:rPr>
        <w:t xml:space="preserve">®                                                                            </w:t>
      </w:r>
      <w:r>
        <w:rPr>
          <w:sz w:val="1"/>
          <w:szCs w:val="1"/>
          <w:color w:val="auto"/>
        </w:rPr>
        <w:drawing>
          <wp:inline distT="0" distB="0" distL="0" distR="0">
            <wp:extent cx="50165" cy="5016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165" cy="50165"/>
                    </a:xfrm>
                    <a:prstGeom prst="rect">
                      <a:avLst/>
                    </a:prstGeom>
                    <a:noFill/>
                    <a:ln>
                      <a:noFill/>
                    </a:ln>
                  </pic:spPr>
                </pic:pic>
              </a:graphicData>
            </a:graphic>
          </wp:inline>
        </w:drawing>
      </w:r>
      <w:r>
        <w:rPr>
          <w:rFonts w:ascii="Arial" w:cs="Arial" w:eastAsia="Arial" w:hAnsi="Arial"/>
          <w:sz w:val="13"/>
          <w:szCs w:val="13"/>
          <w:color w:val="auto"/>
        </w:rPr>
        <w:t xml:space="preserve">  Reported positive results from two Phase 3 studies for</w:t>
      </w:r>
    </w:p>
    <w:p>
      <w:pPr>
        <w:ind w:left="4540"/>
        <w:spacing w:after="0"/>
        <w:rPr>
          <w:sz w:val="20"/>
          <w:szCs w:val="20"/>
          <w:color w:val="auto"/>
        </w:rPr>
      </w:pPr>
      <w:r>
        <w:rPr>
          <w:rFonts w:ascii="Arial" w:cs="Arial" w:eastAsia="Arial" w:hAnsi="Arial"/>
          <w:sz w:val="12"/>
          <w:szCs w:val="12"/>
          <w:color w:val="auto"/>
        </w:rPr>
        <w:t>the prevention of gout flares (PRE-SURGE 2 and</w:t>
      </w:r>
    </w:p>
    <w:p>
      <w:pPr>
        <w:spacing w:after="0" w:line="12"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RESURGE)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color w:val="auto"/>
        </w:rPr>
        <w:t>Submit a supplemental BLA to the FDA for the prevention of gout flares in mid-2011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-181610</wp:posOffset>
            </wp:positionV>
            <wp:extent cx="50165" cy="50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7440" w:space="720"/>
            <w:col w:w="3320"/>
          </w:cols>
          <w:pgMar w:left="220" w:top="479" w:right="199" w:bottom="1440" w:gutter="0" w:footer="0" w:header="0"/>
          <w:type w:val="continuous"/>
        </w:sectPr>
      </w:pPr>
    </w:p>
    <w:tbl>
      <w:tblPr>
        <w:tblLayout w:type="fixed"/>
        <w:tblInd w:w="280" w:type="dxa"/>
        <w:tblCellMar>
          <w:top w:w="0" w:type="dxa"/>
          <w:left w:w="0" w:type="dxa"/>
          <w:bottom w:w="0" w:type="dxa"/>
          <w:right w:w="0" w:type="dxa"/>
        </w:tblCellMar>
      </w:tblPr>
      <w:tr>
        <w:trPr>
          <w:trHeight w:val="159"/>
        </w:trPr>
        <w:tc>
          <w:tcPr>
            <w:tcW w:w="26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REGN727</w:t>
            </w:r>
          </w:p>
        </w:tc>
        <w:tc>
          <w:tcPr>
            <w:tcW w:w="4840" w:type="dxa"/>
            <w:vAlign w:val="bottom"/>
            <w:tcBorders>
              <w:top w:val="single" w:sz="8" w:color="auto"/>
            </w:tcBorders>
          </w:tcPr>
          <w:p>
            <w:pPr>
              <w:ind w:left="1640"/>
              <w:spacing w:after="0"/>
              <w:rPr>
                <w:sz w:val="20"/>
                <w:szCs w:val="20"/>
                <w:color w:val="auto"/>
              </w:rPr>
            </w:pPr>
            <w:r>
              <w:rPr>
                <w:rFonts w:ascii="Arial" w:cs="Arial" w:eastAsia="Arial" w:hAnsi="Arial"/>
                <w:sz w:val="13"/>
                <w:szCs w:val="13"/>
                <w:color w:val="auto"/>
              </w:rPr>
              <w:t>Initiated Phase 2 studies for LDL cholesterol reduction</w:t>
            </w:r>
          </w:p>
        </w:tc>
        <w:tc>
          <w:tcPr>
            <w:tcW w:w="344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w w:val="99"/>
              </w:rPr>
              <w:t>Report initial data from the Phase 2 program for LDL</w:t>
            </w:r>
          </w:p>
        </w:tc>
      </w:tr>
      <w:tr>
        <w:trPr>
          <w:trHeight w:val="160"/>
        </w:trPr>
        <w:tc>
          <w:tcPr>
            <w:tcW w:w="2620" w:type="dxa"/>
            <w:vAlign w:val="bottom"/>
          </w:tcPr>
          <w:p>
            <w:pPr>
              <w:spacing w:after="0"/>
              <w:rPr>
                <w:sz w:val="20"/>
                <w:szCs w:val="20"/>
                <w:color w:val="auto"/>
              </w:rPr>
            </w:pPr>
            <w:r>
              <w:rPr>
                <w:rFonts w:ascii="Arial" w:cs="Arial" w:eastAsia="Arial" w:hAnsi="Arial"/>
                <w:sz w:val="13"/>
                <w:szCs w:val="13"/>
                <w:color w:val="auto"/>
              </w:rPr>
              <w:t>(PCSK9 Antibody)</w:t>
            </w:r>
          </w:p>
        </w:tc>
        <w:tc>
          <w:tcPr>
            <w:tcW w:w="4840" w:type="dxa"/>
            <w:vAlign w:val="bottom"/>
          </w:tcPr>
          <w:p>
            <w:pPr>
              <w:spacing w:after="0"/>
              <w:rPr>
                <w:sz w:val="13"/>
                <w:szCs w:val="13"/>
                <w:color w:val="auto"/>
              </w:rPr>
            </w:pPr>
          </w:p>
        </w:tc>
        <w:tc>
          <w:tcPr>
            <w:tcW w:w="3440" w:type="dxa"/>
            <w:vAlign w:val="bottom"/>
          </w:tcPr>
          <w:p>
            <w:pPr>
              <w:ind w:left="420"/>
              <w:spacing w:after="0"/>
              <w:rPr>
                <w:sz w:val="20"/>
                <w:szCs w:val="20"/>
                <w:color w:val="auto"/>
              </w:rPr>
            </w:pPr>
            <w:r>
              <w:rPr>
                <w:rFonts w:ascii="Arial" w:cs="Arial" w:eastAsia="Arial" w:hAnsi="Arial"/>
                <w:sz w:val="13"/>
                <w:szCs w:val="13"/>
                <w:color w:val="auto"/>
              </w:rPr>
              <w:t>cholesterol reduction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111760</wp:posOffset>
            </wp:positionV>
            <wp:extent cx="69151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15150" cy="635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-172085</wp:posOffset>
            </wp:positionV>
            <wp:extent cx="50165" cy="5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-172085</wp:posOffset>
            </wp:positionV>
            <wp:extent cx="50165" cy="5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type w:val="continuous"/>
        </w:sectPr>
      </w:pPr>
    </w:p>
    <w:p>
      <w:pPr>
        <w:spacing w:after="0" w:line="179" w:lineRule="exact"/>
        <w:rPr>
          <w:sz w:val="20"/>
          <w:szCs w:val="20"/>
          <w:color w:val="auto"/>
        </w:rPr>
      </w:pPr>
    </w:p>
    <w:p>
      <w:pPr>
        <w:ind w:left="280"/>
        <w:spacing w:after="0"/>
        <w:tabs>
          <w:tab w:leader="none" w:pos="4354" w:val="left"/>
        </w:tabs>
        <w:rPr>
          <w:sz w:val="20"/>
          <w:szCs w:val="20"/>
          <w:color w:val="auto"/>
        </w:rPr>
      </w:pPr>
      <w:r>
        <w:rPr>
          <w:rFonts w:ascii="Arial" w:cs="Arial" w:eastAsia="Arial" w:hAnsi="Arial"/>
          <w:sz w:val="11"/>
          <w:szCs w:val="11"/>
          <w:color w:val="auto"/>
        </w:rPr>
        <w:t>REGN88</w:t>
      </w:r>
      <w:r>
        <w:rPr>
          <w:sz w:val="20"/>
          <w:szCs w:val="20"/>
          <w:color w:val="auto"/>
        </w:rPr>
        <w:tab/>
      </w:r>
      <w:r>
        <w:rPr>
          <w:sz w:val="1"/>
          <w:szCs w:val="1"/>
          <w:color w:val="auto"/>
        </w:rPr>
        <w:drawing>
          <wp:inline distT="0" distB="0" distL="0" distR="0">
            <wp:extent cx="50165" cy="5016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165" cy="50165"/>
                    </a:xfrm>
                    <a:prstGeom prst="rect">
                      <a:avLst/>
                    </a:prstGeom>
                    <a:noFill/>
                    <a:ln>
                      <a:noFill/>
                    </a:ln>
                  </pic:spPr>
                </pic:pic>
              </a:graphicData>
            </a:graphic>
          </wp:inline>
        </w:drawing>
      </w:r>
      <w:r>
        <w:rPr>
          <w:rFonts w:ascii="Arial" w:cs="Arial" w:eastAsia="Arial" w:hAnsi="Arial"/>
          <w:sz w:val="11"/>
          <w:szCs w:val="11"/>
          <w:color w:val="auto"/>
        </w:rPr>
        <w:t xml:space="preserve">  Continued patient enrollment in studies in rheumatoid</w:t>
      </w:r>
    </w:p>
    <w:p>
      <w:pPr>
        <w:spacing w:after="0" w:line="34" w:lineRule="exact"/>
        <w:rPr>
          <w:sz w:val="20"/>
          <w:szCs w:val="20"/>
          <w:color w:val="auto"/>
        </w:rPr>
      </w:pPr>
    </w:p>
    <w:p>
      <w:pPr>
        <w:ind w:left="280"/>
        <w:spacing w:after="0"/>
        <w:tabs>
          <w:tab w:leader="none" w:pos="4520" w:val="left"/>
        </w:tabs>
        <w:rPr>
          <w:sz w:val="20"/>
          <w:szCs w:val="20"/>
          <w:color w:val="auto"/>
        </w:rPr>
      </w:pPr>
      <w:r>
        <w:rPr>
          <w:rFonts w:ascii="Arial" w:cs="Arial" w:eastAsia="Arial" w:hAnsi="Arial"/>
          <w:sz w:val="13"/>
          <w:szCs w:val="13"/>
          <w:color w:val="auto"/>
        </w:rPr>
        <w:t>(IL-6R Antibody)</w:t>
      </w:r>
      <w:r>
        <w:rPr>
          <w:sz w:val="20"/>
          <w:szCs w:val="20"/>
          <w:color w:val="auto"/>
        </w:rPr>
        <w:tab/>
      </w:r>
      <w:r>
        <w:rPr>
          <w:rFonts w:ascii="Arial" w:cs="Arial" w:eastAsia="Arial" w:hAnsi="Arial"/>
          <w:sz w:val="11"/>
          <w:szCs w:val="11"/>
          <w:color w:val="auto"/>
        </w:rPr>
        <w:t>arthritis and ankylosing spondylitis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620"/>
        <w:spacing w:after="0" w:line="266" w:lineRule="auto"/>
        <w:rPr>
          <w:sz w:val="20"/>
          <w:szCs w:val="20"/>
          <w:color w:val="auto"/>
        </w:rPr>
      </w:pPr>
      <w:r>
        <w:rPr>
          <w:rFonts w:ascii="Arial" w:cs="Arial" w:eastAsia="Arial" w:hAnsi="Arial"/>
          <w:sz w:val="13"/>
          <w:szCs w:val="13"/>
          <w:color w:val="auto"/>
        </w:rPr>
        <w:t>Report initial Phase 2 data in rheumatoid arthritis and ankylosing spondylitis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-181610</wp:posOffset>
            </wp:positionV>
            <wp:extent cx="50165"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7440" w:space="720"/>
            <w:col w:w="3320"/>
          </w:cols>
          <w:pgMar w:left="220" w:top="479" w:right="19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280" w:type="dxa"/>
            <w:vAlign w:val="bottom"/>
          </w:tcPr>
          <w:p>
            <w:pPr>
              <w:spacing w:after="0"/>
              <w:rPr>
                <w:sz w:val="13"/>
                <w:szCs w:val="13"/>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REGN668</w:t>
            </w:r>
          </w:p>
        </w:tc>
        <w:tc>
          <w:tcPr>
            <w:tcW w:w="4840" w:type="dxa"/>
            <w:vAlign w:val="bottom"/>
            <w:tcBorders>
              <w:top w:val="single" w:sz="8" w:color="auto"/>
            </w:tcBorders>
          </w:tcPr>
          <w:p>
            <w:pPr>
              <w:ind w:left="1600"/>
              <w:spacing w:after="0"/>
              <w:rPr>
                <w:sz w:val="20"/>
                <w:szCs w:val="20"/>
                <w:color w:val="auto"/>
              </w:rPr>
            </w:pPr>
            <w:r>
              <w:rPr>
                <w:rFonts w:ascii="Arial" w:cs="Arial" w:eastAsia="Arial" w:hAnsi="Arial"/>
                <w:sz w:val="13"/>
                <w:szCs w:val="13"/>
                <w:color w:val="auto"/>
                <w:w w:val="98"/>
              </w:rPr>
              <w:t>Initiated Phase 1b study in atopic dermatitis and Phase 2</w:t>
            </w:r>
          </w:p>
        </w:tc>
        <w:tc>
          <w:tcPr>
            <w:tcW w:w="3400" w:type="dxa"/>
            <w:vAlign w:val="bottom"/>
            <w:tcBorders>
              <w:top w:val="single" w:sz="8" w:color="auto"/>
            </w:tcBorders>
          </w:tcPr>
          <w:p>
            <w:pPr>
              <w:ind w:left="380"/>
              <w:spacing w:after="0"/>
              <w:rPr>
                <w:sz w:val="20"/>
                <w:szCs w:val="20"/>
                <w:color w:val="auto"/>
              </w:rPr>
            </w:pPr>
            <w:r>
              <w:rPr>
                <w:rFonts w:ascii="Arial" w:cs="Arial" w:eastAsia="Arial" w:hAnsi="Arial"/>
                <w:sz w:val="13"/>
                <w:szCs w:val="13"/>
                <w:color w:val="auto"/>
              </w:rPr>
              <w:t>Initiate Phase 2 program in atopic dermatitis</w:t>
            </w:r>
          </w:p>
        </w:tc>
        <w:tc>
          <w:tcPr>
            <w:tcW w:w="300" w:type="dxa"/>
            <w:vAlign w:val="bottom"/>
          </w:tcPr>
          <w:p>
            <w:pPr>
              <w:spacing w:after="0"/>
              <w:rPr>
                <w:sz w:val="13"/>
                <w:szCs w:val="13"/>
                <w:color w:val="auto"/>
              </w:rPr>
            </w:pPr>
          </w:p>
        </w:tc>
      </w:tr>
      <w:tr>
        <w:trPr>
          <w:trHeight w:val="160"/>
        </w:trPr>
        <w:tc>
          <w:tcPr>
            <w:tcW w:w="28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(IL-4R Antibody)</w:t>
            </w:r>
          </w:p>
        </w:tc>
        <w:tc>
          <w:tcPr>
            <w:tcW w:w="4840" w:type="dxa"/>
            <w:vAlign w:val="bottom"/>
          </w:tcPr>
          <w:p>
            <w:pPr>
              <w:ind w:left="1600"/>
              <w:spacing w:after="0"/>
              <w:rPr>
                <w:sz w:val="20"/>
                <w:szCs w:val="20"/>
                <w:color w:val="auto"/>
              </w:rPr>
            </w:pPr>
            <w:r>
              <w:rPr>
                <w:rFonts w:ascii="Arial" w:cs="Arial" w:eastAsia="Arial" w:hAnsi="Arial"/>
                <w:sz w:val="13"/>
                <w:szCs w:val="13"/>
                <w:color w:val="auto"/>
              </w:rPr>
              <w:t>proof of concept study in eosinophilic asthma</w:t>
            </w: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6"/>
        </w:trPr>
        <w:tc>
          <w:tcPr>
            <w:tcW w:w="28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39"/>
        </w:trPr>
        <w:tc>
          <w:tcPr>
            <w:tcW w:w="280" w:type="dxa"/>
            <w:vAlign w:val="bottom"/>
          </w:tcPr>
          <w:p>
            <w:pPr>
              <w:spacing w:after="0"/>
              <w:rPr>
                <w:sz w:val="12"/>
                <w:szCs w:val="12"/>
                <w:color w:val="auto"/>
              </w:rPr>
            </w:pPr>
          </w:p>
        </w:tc>
        <w:tc>
          <w:tcPr>
            <w:tcW w:w="2660" w:type="dxa"/>
            <w:vAlign w:val="bottom"/>
          </w:tcPr>
          <w:p>
            <w:pPr>
              <w:spacing w:after="0" w:line="139" w:lineRule="exact"/>
              <w:rPr>
                <w:sz w:val="20"/>
                <w:szCs w:val="20"/>
                <w:color w:val="auto"/>
              </w:rPr>
            </w:pPr>
            <w:r>
              <w:rPr>
                <w:rFonts w:ascii="Arial" w:cs="Arial" w:eastAsia="Arial" w:hAnsi="Arial"/>
                <w:sz w:val="13"/>
                <w:szCs w:val="13"/>
                <w:color w:val="auto"/>
              </w:rPr>
              <w:t>REGN421</w:t>
            </w:r>
          </w:p>
        </w:tc>
        <w:tc>
          <w:tcPr>
            <w:tcW w:w="4840" w:type="dxa"/>
            <w:vAlign w:val="bottom"/>
          </w:tcPr>
          <w:p>
            <w:pPr>
              <w:ind w:left="1600"/>
              <w:spacing w:after="0" w:line="139" w:lineRule="exact"/>
              <w:rPr>
                <w:sz w:val="20"/>
                <w:szCs w:val="20"/>
                <w:color w:val="auto"/>
              </w:rPr>
            </w:pPr>
            <w:r>
              <w:rPr>
                <w:rFonts w:ascii="Arial" w:cs="Arial" w:eastAsia="Arial" w:hAnsi="Arial"/>
                <w:sz w:val="13"/>
                <w:szCs w:val="13"/>
                <w:color w:val="auto"/>
              </w:rPr>
              <w:t>Continued patient enrollment in Phase 1 program</w:t>
            </w:r>
          </w:p>
        </w:tc>
        <w:tc>
          <w:tcPr>
            <w:tcW w:w="3400" w:type="dxa"/>
            <w:vAlign w:val="bottom"/>
          </w:tcPr>
          <w:p>
            <w:pPr>
              <w:ind w:left="380"/>
              <w:spacing w:after="0" w:line="139" w:lineRule="exact"/>
              <w:rPr>
                <w:sz w:val="20"/>
                <w:szCs w:val="20"/>
                <w:color w:val="auto"/>
              </w:rPr>
            </w:pPr>
            <w:r>
              <w:rPr>
                <w:rFonts w:ascii="Arial" w:cs="Arial" w:eastAsia="Arial" w:hAnsi="Arial"/>
                <w:sz w:val="13"/>
                <w:szCs w:val="13"/>
                <w:color w:val="auto"/>
                <w:w w:val="95"/>
              </w:rPr>
              <w:t>Initiate a Phase 1b program in advanced malignancies</w:t>
            </w:r>
          </w:p>
        </w:tc>
        <w:tc>
          <w:tcPr>
            <w:tcW w:w="300" w:type="dxa"/>
            <w:vAlign w:val="bottom"/>
          </w:tcPr>
          <w:p>
            <w:pPr>
              <w:spacing w:after="0"/>
              <w:rPr>
                <w:sz w:val="12"/>
                <w:szCs w:val="12"/>
                <w:color w:val="auto"/>
              </w:rPr>
            </w:pPr>
          </w:p>
        </w:tc>
      </w:tr>
      <w:tr>
        <w:trPr>
          <w:trHeight w:val="160"/>
        </w:trPr>
        <w:tc>
          <w:tcPr>
            <w:tcW w:w="28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(Dll4 Antibody)</w:t>
            </w:r>
          </w:p>
        </w:tc>
        <w:tc>
          <w:tcPr>
            <w:tcW w:w="48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6"/>
        </w:trPr>
        <w:tc>
          <w:tcPr>
            <w:tcW w:w="28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39"/>
        </w:trPr>
        <w:tc>
          <w:tcPr>
            <w:tcW w:w="280" w:type="dxa"/>
            <w:vAlign w:val="bottom"/>
          </w:tcPr>
          <w:p>
            <w:pPr>
              <w:spacing w:after="0"/>
              <w:rPr>
                <w:sz w:val="12"/>
                <w:szCs w:val="12"/>
                <w:color w:val="auto"/>
              </w:rPr>
            </w:pPr>
          </w:p>
        </w:tc>
        <w:tc>
          <w:tcPr>
            <w:tcW w:w="2660" w:type="dxa"/>
            <w:vAlign w:val="bottom"/>
          </w:tcPr>
          <w:p>
            <w:pPr>
              <w:spacing w:after="0" w:line="139" w:lineRule="exact"/>
              <w:rPr>
                <w:sz w:val="20"/>
                <w:szCs w:val="20"/>
                <w:color w:val="auto"/>
              </w:rPr>
            </w:pPr>
            <w:r>
              <w:rPr>
                <w:rFonts w:ascii="Arial" w:cs="Arial" w:eastAsia="Arial" w:hAnsi="Arial"/>
                <w:sz w:val="13"/>
                <w:szCs w:val="13"/>
                <w:color w:val="auto"/>
              </w:rPr>
              <w:t>REGN910</w:t>
            </w:r>
          </w:p>
        </w:tc>
        <w:tc>
          <w:tcPr>
            <w:tcW w:w="4840" w:type="dxa"/>
            <w:vAlign w:val="bottom"/>
          </w:tcPr>
          <w:p>
            <w:pPr>
              <w:ind w:left="1600"/>
              <w:spacing w:after="0" w:line="139" w:lineRule="exact"/>
              <w:rPr>
                <w:sz w:val="20"/>
                <w:szCs w:val="20"/>
                <w:color w:val="auto"/>
              </w:rPr>
            </w:pPr>
            <w:r>
              <w:rPr>
                <w:rFonts w:ascii="Arial" w:cs="Arial" w:eastAsia="Arial" w:hAnsi="Arial"/>
                <w:sz w:val="13"/>
                <w:szCs w:val="13"/>
                <w:color w:val="auto"/>
              </w:rPr>
              <w:t>Continued patient enrollment in Phase 1 program</w:t>
            </w: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0"/>
        </w:trPr>
        <w:tc>
          <w:tcPr>
            <w:tcW w:w="28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(ANG2 Antibody)</w:t>
            </w:r>
          </w:p>
        </w:tc>
        <w:tc>
          <w:tcPr>
            <w:tcW w:w="48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6"/>
        </w:trPr>
        <w:tc>
          <w:tcPr>
            <w:tcW w:w="28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39"/>
        </w:trPr>
        <w:tc>
          <w:tcPr>
            <w:tcW w:w="280" w:type="dxa"/>
            <w:vAlign w:val="bottom"/>
          </w:tcPr>
          <w:p>
            <w:pPr>
              <w:spacing w:after="0"/>
              <w:rPr>
                <w:sz w:val="12"/>
                <w:szCs w:val="12"/>
                <w:color w:val="auto"/>
              </w:rPr>
            </w:pPr>
          </w:p>
        </w:tc>
        <w:tc>
          <w:tcPr>
            <w:tcW w:w="2660" w:type="dxa"/>
            <w:vAlign w:val="bottom"/>
          </w:tcPr>
          <w:p>
            <w:pPr>
              <w:spacing w:after="0" w:line="139" w:lineRule="exact"/>
              <w:rPr>
                <w:sz w:val="20"/>
                <w:szCs w:val="20"/>
                <w:color w:val="auto"/>
              </w:rPr>
            </w:pPr>
            <w:r>
              <w:rPr>
                <w:rFonts w:ascii="Arial" w:cs="Arial" w:eastAsia="Arial" w:hAnsi="Arial"/>
                <w:sz w:val="13"/>
                <w:szCs w:val="13"/>
                <w:color w:val="auto"/>
              </w:rPr>
              <w:t>REGN475</w:t>
            </w:r>
          </w:p>
        </w:tc>
        <w:tc>
          <w:tcPr>
            <w:tcW w:w="4840" w:type="dxa"/>
            <w:vAlign w:val="bottom"/>
          </w:tcPr>
          <w:p>
            <w:pPr>
              <w:ind w:left="1600"/>
              <w:spacing w:after="0" w:line="139" w:lineRule="exact"/>
              <w:rPr>
                <w:sz w:val="20"/>
                <w:szCs w:val="20"/>
                <w:color w:val="auto"/>
              </w:rPr>
            </w:pPr>
            <w:r>
              <w:rPr>
                <w:rFonts w:ascii="Arial" w:cs="Arial" w:eastAsia="Arial" w:hAnsi="Arial"/>
                <w:sz w:val="13"/>
                <w:szCs w:val="13"/>
                <w:color w:val="auto"/>
              </w:rPr>
              <w:t>On clinical hold</w:t>
            </w: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0"/>
        </w:trPr>
        <w:tc>
          <w:tcPr>
            <w:tcW w:w="28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(NGF Antibody)</w:t>
            </w:r>
          </w:p>
        </w:tc>
        <w:tc>
          <w:tcPr>
            <w:tcW w:w="48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6"/>
        </w:trPr>
        <w:tc>
          <w:tcPr>
            <w:tcW w:w="28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39"/>
        </w:trPr>
        <w:tc>
          <w:tcPr>
            <w:tcW w:w="280" w:type="dxa"/>
            <w:vAlign w:val="bottom"/>
          </w:tcPr>
          <w:p>
            <w:pPr>
              <w:spacing w:after="0"/>
              <w:rPr>
                <w:sz w:val="12"/>
                <w:szCs w:val="12"/>
                <w:color w:val="auto"/>
              </w:rPr>
            </w:pPr>
          </w:p>
        </w:tc>
        <w:tc>
          <w:tcPr>
            <w:tcW w:w="2660" w:type="dxa"/>
            <w:vAlign w:val="bottom"/>
          </w:tcPr>
          <w:p>
            <w:pPr>
              <w:spacing w:after="0" w:line="139" w:lineRule="exact"/>
              <w:rPr>
                <w:sz w:val="20"/>
                <w:szCs w:val="20"/>
                <w:color w:val="auto"/>
              </w:rPr>
            </w:pPr>
            <w:r>
              <w:rPr>
                <w:rFonts w:ascii="Arial" w:cs="Arial" w:eastAsia="Arial" w:hAnsi="Arial"/>
                <w:sz w:val="13"/>
                <w:szCs w:val="13"/>
                <w:color w:val="auto"/>
              </w:rPr>
              <w:t>REGN728</w:t>
            </w:r>
          </w:p>
        </w:tc>
        <w:tc>
          <w:tcPr>
            <w:tcW w:w="4840" w:type="dxa"/>
            <w:vAlign w:val="bottom"/>
          </w:tcPr>
          <w:p>
            <w:pPr>
              <w:ind w:left="1600"/>
              <w:spacing w:after="0" w:line="139" w:lineRule="exact"/>
              <w:rPr>
                <w:sz w:val="20"/>
                <w:szCs w:val="20"/>
                <w:color w:val="auto"/>
              </w:rPr>
            </w:pPr>
            <w:r>
              <w:rPr>
                <w:rFonts w:ascii="Arial" w:cs="Arial" w:eastAsia="Arial" w:hAnsi="Arial"/>
                <w:sz w:val="13"/>
                <w:szCs w:val="13"/>
                <w:color w:val="auto"/>
              </w:rPr>
              <w:t>Continued patient enrollment in Phase 1 program</w:t>
            </w: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0"/>
        </w:trPr>
        <w:tc>
          <w:tcPr>
            <w:tcW w:w="28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(target not disclosed)</w:t>
            </w:r>
          </w:p>
        </w:tc>
        <w:tc>
          <w:tcPr>
            <w:tcW w:w="48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6"/>
        </w:trPr>
        <w:tc>
          <w:tcPr>
            <w:tcW w:w="28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39"/>
        </w:trPr>
        <w:tc>
          <w:tcPr>
            <w:tcW w:w="280" w:type="dxa"/>
            <w:vAlign w:val="bottom"/>
          </w:tcPr>
          <w:p>
            <w:pPr>
              <w:spacing w:after="0"/>
              <w:rPr>
                <w:sz w:val="12"/>
                <w:szCs w:val="12"/>
                <w:color w:val="auto"/>
              </w:rPr>
            </w:pPr>
          </w:p>
        </w:tc>
        <w:tc>
          <w:tcPr>
            <w:tcW w:w="2660" w:type="dxa"/>
            <w:vAlign w:val="bottom"/>
          </w:tcPr>
          <w:p>
            <w:pPr>
              <w:spacing w:after="0" w:line="139" w:lineRule="exact"/>
              <w:rPr>
                <w:sz w:val="20"/>
                <w:szCs w:val="20"/>
                <w:color w:val="auto"/>
              </w:rPr>
            </w:pPr>
            <w:r>
              <w:rPr>
                <w:rFonts w:ascii="Arial" w:cs="Arial" w:eastAsia="Arial" w:hAnsi="Arial"/>
                <w:sz w:val="13"/>
                <w:szCs w:val="13"/>
                <w:color w:val="auto"/>
              </w:rPr>
              <w:t>REGN846</w:t>
            </w:r>
          </w:p>
        </w:tc>
        <w:tc>
          <w:tcPr>
            <w:tcW w:w="4840" w:type="dxa"/>
            <w:vAlign w:val="bottom"/>
          </w:tcPr>
          <w:p>
            <w:pPr>
              <w:ind w:left="1600"/>
              <w:spacing w:after="0" w:line="139" w:lineRule="exact"/>
              <w:rPr>
                <w:sz w:val="20"/>
                <w:szCs w:val="20"/>
                <w:color w:val="auto"/>
              </w:rPr>
            </w:pPr>
            <w:r>
              <w:rPr>
                <w:rFonts w:ascii="Arial" w:cs="Arial" w:eastAsia="Arial" w:hAnsi="Arial"/>
                <w:sz w:val="13"/>
                <w:szCs w:val="13"/>
                <w:color w:val="auto"/>
              </w:rPr>
              <w:t>Continued patient enrollment in Phase 1 program</w:t>
            </w: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0"/>
        </w:trPr>
        <w:tc>
          <w:tcPr>
            <w:tcW w:w="28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(target not disclosed)</w:t>
            </w:r>
          </w:p>
        </w:tc>
        <w:tc>
          <w:tcPr>
            <w:tcW w:w="48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6"/>
        </w:trPr>
        <w:tc>
          <w:tcPr>
            <w:tcW w:w="28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319"/>
        </w:trPr>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840" w:type="dxa"/>
            <w:vAlign w:val="bottom"/>
          </w:tcPr>
          <w:p>
            <w:pPr>
              <w:ind w:left="2740"/>
              <w:spacing w:after="0"/>
              <w:rPr>
                <w:sz w:val="20"/>
                <w:szCs w:val="20"/>
                <w:color w:val="auto"/>
              </w:rPr>
            </w:pPr>
            <w:r>
              <w:rPr>
                <w:rFonts w:ascii="Arial" w:cs="Arial" w:eastAsia="Arial" w:hAnsi="Arial"/>
                <w:sz w:val="13"/>
                <w:szCs w:val="13"/>
                <w:color w:val="auto"/>
              </w:rPr>
              <w:t>28</w:t>
            </w: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8"/>
        </w:trPr>
        <w:tc>
          <w:tcPr>
            <w:tcW w:w="280" w:type="dxa"/>
            <w:vAlign w:val="bottom"/>
            <w:tcBorders>
              <w:bottom w:val="single" w:sz="8" w:color="808080"/>
            </w:tcBorders>
          </w:tcPr>
          <w:p>
            <w:pPr>
              <w:spacing w:after="0"/>
              <w:rPr>
                <w:sz w:val="22"/>
                <w:szCs w:val="22"/>
                <w:color w:val="auto"/>
              </w:rPr>
            </w:pPr>
          </w:p>
        </w:tc>
        <w:tc>
          <w:tcPr>
            <w:tcW w:w="2660" w:type="dxa"/>
            <w:vAlign w:val="bottom"/>
            <w:tcBorders>
              <w:bottom w:val="single" w:sz="8" w:color="808080"/>
            </w:tcBorders>
          </w:tcPr>
          <w:p>
            <w:pPr>
              <w:spacing w:after="0"/>
              <w:rPr>
                <w:sz w:val="22"/>
                <w:szCs w:val="22"/>
                <w:color w:val="auto"/>
              </w:rPr>
            </w:pPr>
          </w:p>
        </w:tc>
        <w:tc>
          <w:tcPr>
            <w:tcW w:w="4840" w:type="dxa"/>
            <w:vAlign w:val="bottom"/>
            <w:tcBorders>
              <w:bottom w:val="single" w:sz="8" w:color="808080"/>
            </w:tcBorders>
          </w:tcPr>
          <w:p>
            <w:pPr>
              <w:spacing w:after="0"/>
              <w:rPr>
                <w:sz w:val="22"/>
                <w:szCs w:val="22"/>
                <w:color w:val="auto"/>
              </w:rPr>
            </w:pPr>
          </w:p>
        </w:tc>
        <w:tc>
          <w:tcPr>
            <w:tcW w:w="34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-2246630</wp:posOffset>
            </wp:positionV>
            <wp:extent cx="50165" cy="50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-2246630</wp:posOffset>
            </wp:positionV>
            <wp:extent cx="50165"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-1932305</wp:posOffset>
            </wp:positionV>
            <wp:extent cx="50165" cy="5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-1932305</wp:posOffset>
            </wp:positionV>
            <wp:extent cx="50165" cy="50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-1617980</wp:posOffset>
            </wp:positionV>
            <wp:extent cx="50165" cy="50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-1303655</wp:posOffset>
            </wp:positionV>
            <wp:extent cx="50165" cy="5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-989330</wp:posOffset>
            </wp:positionV>
            <wp:extent cx="50165" cy="50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-675005</wp:posOffset>
            </wp:positionV>
            <wp:extent cx="50165" cy="50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3"/>
          <w:szCs w:val="13"/>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u w:val="single" w:color="auto"/>
          <w:color w:val="auto"/>
        </w:rPr>
        <w:t>Three Months Ended March 31, 2011 and 2010</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Loss</w:t>
      </w:r>
    </w:p>
    <w:p>
      <w:pPr>
        <w:spacing w:after="0" w:line="200" w:lineRule="exact"/>
        <w:rPr>
          <w:sz w:val="20"/>
          <w:szCs w:val="20"/>
          <w:color w:val="auto"/>
        </w:rPr>
      </w:pPr>
    </w:p>
    <w:p>
      <w:pPr>
        <w:jc w:val="both"/>
        <w:ind w:firstLine="204"/>
        <w:spacing w:after="0" w:line="258" w:lineRule="auto"/>
        <w:rPr>
          <w:sz w:val="20"/>
          <w:szCs w:val="20"/>
          <w:color w:val="auto"/>
        </w:rPr>
      </w:pPr>
      <w:r>
        <w:rPr>
          <w:rFonts w:ascii="Arial" w:cs="Arial" w:eastAsia="Arial" w:hAnsi="Arial"/>
          <w:sz w:val="13"/>
          <w:szCs w:val="13"/>
          <w:color w:val="auto"/>
        </w:rPr>
        <w:t>Regeneron reported a net loss of $43.4 million, or $0.49 per share (basic and diluted), for the first quarter of 2011, compared to a net loss of $30.5 million, or $0.38 per share (basic and diluted) for the first quarter of 2010. The increase in our net loss in 2011 was principally due to higher research and development expenses and higher selling, general, and administrative expenses, partly offset by higher collaboration revenue in connection with our antibody collaboration with sanofi-aventis.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0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Revenues</w:t>
            </w: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349"/>
        </w:trPr>
        <w:tc>
          <w:tcPr>
            <w:tcW w:w="7000" w:type="dxa"/>
            <w:vAlign w:val="bottom"/>
            <w:gridSpan w:val="2"/>
          </w:tcPr>
          <w:p>
            <w:pPr>
              <w:ind w:left="200"/>
              <w:spacing w:after="0"/>
              <w:rPr>
                <w:sz w:val="20"/>
                <w:szCs w:val="20"/>
                <w:color w:val="auto"/>
              </w:rPr>
            </w:pPr>
            <w:r>
              <w:rPr>
                <w:rFonts w:ascii="Arial" w:cs="Arial" w:eastAsia="Arial" w:hAnsi="Arial"/>
                <w:sz w:val="13"/>
                <w:szCs w:val="13"/>
                <w:color w:val="auto"/>
              </w:rPr>
              <w:t>Revenues for the three months ended March 31, 2011 and 2010 consist of the following:</w:t>
            </w: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5"/>
        </w:trPr>
        <w:tc>
          <w:tcPr>
            <w:tcW w:w="7000" w:type="dxa"/>
            <w:vAlign w:val="bottom"/>
            <w:gridSpan w:val="2"/>
          </w:tcPr>
          <w:p>
            <w:pPr>
              <w:ind w:left="860"/>
              <w:spacing w:after="0"/>
              <w:rPr>
                <w:sz w:val="20"/>
                <w:szCs w:val="20"/>
                <w:color w:val="auto"/>
              </w:rPr>
            </w:pPr>
            <w:r>
              <w:rPr>
                <w:rFonts w:ascii="Arial" w:cs="Arial" w:eastAsia="Arial" w:hAnsi="Arial"/>
                <w:sz w:val="13"/>
                <w:szCs w:val="13"/>
                <w:b w:val="1"/>
                <w:bCs w:val="1"/>
                <w:i w:val="1"/>
                <w:iCs w:val="1"/>
                <w:color w:val="auto"/>
              </w:rPr>
              <w:t>(In millions)</w:t>
            </w: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2011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b w:val="1"/>
                <w:bCs w:val="1"/>
                <w:color w:val="auto"/>
                <w:w w:val="96"/>
              </w:rPr>
              <w:t>2010</w:t>
            </w:r>
          </w:p>
        </w:tc>
      </w:tr>
      <w:tr>
        <w:trPr>
          <w:trHeight w:val="170"/>
        </w:trPr>
        <w:tc>
          <w:tcPr>
            <w:tcW w:w="860" w:type="dxa"/>
            <w:vAlign w:val="bottom"/>
          </w:tcPr>
          <w:p>
            <w:pPr>
              <w:spacing w:after="0"/>
              <w:rPr>
                <w:sz w:val="14"/>
                <w:szCs w:val="14"/>
                <w:color w:val="auto"/>
              </w:rPr>
            </w:pPr>
          </w:p>
        </w:tc>
        <w:tc>
          <w:tcPr>
            <w:tcW w:w="61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3"/>
                <w:szCs w:val="13"/>
                <w:color w:val="auto"/>
              </w:rPr>
              <w:t>Collaboration revenue</w:t>
            </w:r>
          </w:p>
        </w:tc>
        <w:tc>
          <w:tcPr>
            <w:tcW w:w="2320" w:type="dxa"/>
            <w:vAlign w:val="bottom"/>
            <w:tcBorders>
              <w:top w:val="single" w:sz="8" w:color="C0C0C0"/>
            </w:tcBorders>
            <w:shd w:val="clear" w:color="auto" w:fill="C0C0C0"/>
          </w:tcPr>
          <w:p>
            <w:pPr>
              <w:spacing w:after="0"/>
              <w:rPr>
                <w:sz w:val="14"/>
                <w:szCs w:val="14"/>
                <w:color w:val="auto"/>
              </w:rPr>
            </w:pPr>
          </w:p>
        </w:tc>
        <w:tc>
          <w:tcPr>
            <w:tcW w:w="120" w:type="dxa"/>
            <w:vAlign w:val="bottom"/>
            <w:tcBorders>
              <w:top w:val="single" w:sz="8" w:color="auto"/>
            </w:tcBorders>
            <w:shd w:val="clear" w:color="auto" w:fill="C0C0C0"/>
          </w:tcPr>
          <w:p>
            <w:pPr>
              <w:spacing w:after="0"/>
              <w:rPr>
                <w:sz w:val="14"/>
                <w:szCs w:val="14"/>
                <w:color w:val="auto"/>
              </w:rPr>
            </w:pPr>
          </w:p>
        </w:tc>
        <w:tc>
          <w:tcPr>
            <w:tcW w:w="420" w:type="dxa"/>
            <w:vAlign w:val="bottom"/>
            <w:tcBorders>
              <w:top w:val="single" w:sz="8" w:color="auto"/>
            </w:tcBorders>
            <w:shd w:val="clear" w:color="auto" w:fill="C0C0C0"/>
          </w:tcPr>
          <w:p>
            <w:pPr>
              <w:spacing w:after="0"/>
              <w:rPr>
                <w:sz w:val="14"/>
                <w:szCs w:val="14"/>
                <w:color w:val="auto"/>
              </w:rPr>
            </w:pPr>
          </w:p>
        </w:tc>
        <w:tc>
          <w:tcPr>
            <w:tcW w:w="200" w:type="dxa"/>
            <w:vAlign w:val="bottom"/>
            <w:tcBorders>
              <w:top w:val="single" w:sz="8" w:color="C0C0C0"/>
            </w:tcBorders>
            <w:shd w:val="clear" w:color="auto" w:fill="C0C0C0"/>
          </w:tcPr>
          <w:p>
            <w:pPr>
              <w:spacing w:after="0"/>
              <w:rPr>
                <w:sz w:val="14"/>
                <w:szCs w:val="14"/>
                <w:color w:val="auto"/>
              </w:rPr>
            </w:pPr>
          </w:p>
        </w:tc>
        <w:tc>
          <w:tcPr>
            <w:tcW w:w="100" w:type="dxa"/>
            <w:vAlign w:val="bottom"/>
            <w:tcBorders>
              <w:top w:val="single" w:sz="8" w:color="auto"/>
            </w:tcBorders>
            <w:shd w:val="clear" w:color="auto" w:fill="C0C0C0"/>
          </w:tcPr>
          <w:p>
            <w:pPr>
              <w:spacing w:after="0"/>
              <w:rPr>
                <w:sz w:val="14"/>
                <w:szCs w:val="14"/>
                <w:color w:val="auto"/>
              </w:rPr>
            </w:pPr>
          </w:p>
        </w:tc>
        <w:tc>
          <w:tcPr>
            <w:tcW w:w="440" w:type="dxa"/>
            <w:vAlign w:val="bottom"/>
            <w:tcBorders>
              <w:top w:val="single" w:sz="8" w:color="auto"/>
            </w:tcBorders>
            <w:shd w:val="clear" w:color="auto" w:fill="C0C0C0"/>
          </w:tcPr>
          <w:p>
            <w:pPr>
              <w:spacing w:after="0"/>
              <w:rPr>
                <w:sz w:val="14"/>
                <w:szCs w:val="14"/>
                <w:color w:val="auto"/>
              </w:rPr>
            </w:pPr>
          </w:p>
        </w:tc>
      </w:tr>
      <w:tr>
        <w:trPr>
          <w:trHeight w:val="169"/>
        </w:trPr>
        <w:tc>
          <w:tcPr>
            <w:tcW w:w="860" w:type="dxa"/>
            <w:vAlign w:val="bottom"/>
          </w:tcPr>
          <w:p>
            <w:pPr>
              <w:spacing w:after="0"/>
              <w:rPr>
                <w:sz w:val="14"/>
                <w:szCs w:val="14"/>
                <w:color w:val="auto"/>
              </w:rPr>
            </w:pPr>
          </w:p>
        </w:tc>
        <w:tc>
          <w:tcPr>
            <w:tcW w:w="6140" w:type="dxa"/>
            <w:vAlign w:val="bottom"/>
          </w:tcPr>
          <w:p>
            <w:pPr>
              <w:ind w:left="220"/>
              <w:spacing w:after="0"/>
              <w:rPr>
                <w:sz w:val="20"/>
                <w:szCs w:val="20"/>
                <w:color w:val="auto"/>
              </w:rPr>
            </w:pPr>
            <w:r>
              <w:rPr>
                <w:rFonts w:ascii="Arial" w:cs="Arial" w:eastAsia="Arial" w:hAnsi="Arial"/>
                <w:sz w:val="13"/>
                <w:szCs w:val="13"/>
                <w:color w:val="auto"/>
              </w:rPr>
              <w:t>Sanofi-aventis</w:t>
            </w:r>
          </w:p>
        </w:tc>
        <w:tc>
          <w:tcPr>
            <w:tcW w:w="24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85.3</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68.7</w:t>
            </w:r>
          </w:p>
        </w:tc>
      </w:tr>
      <w:tr>
        <w:trPr>
          <w:trHeight w:val="180"/>
        </w:trPr>
        <w:tc>
          <w:tcPr>
            <w:tcW w:w="860" w:type="dxa"/>
            <w:vAlign w:val="bottom"/>
          </w:tcPr>
          <w:p>
            <w:pPr>
              <w:spacing w:after="0"/>
              <w:rPr>
                <w:sz w:val="15"/>
                <w:szCs w:val="15"/>
                <w:color w:val="auto"/>
              </w:rPr>
            </w:pPr>
          </w:p>
        </w:tc>
        <w:tc>
          <w:tcPr>
            <w:tcW w:w="6140" w:type="dxa"/>
            <w:vAlign w:val="bottom"/>
            <w:shd w:val="clear" w:color="auto" w:fill="C0C0C0"/>
          </w:tcPr>
          <w:p>
            <w:pPr>
              <w:ind w:left="220"/>
              <w:spacing w:after="0"/>
              <w:rPr>
                <w:sz w:val="20"/>
                <w:szCs w:val="20"/>
                <w:color w:val="auto"/>
              </w:rPr>
            </w:pPr>
            <w:r>
              <w:rPr>
                <w:rFonts w:ascii="Arial" w:cs="Arial" w:eastAsia="Arial" w:hAnsi="Arial"/>
                <w:sz w:val="13"/>
                <w:szCs w:val="13"/>
                <w:color w:val="auto"/>
              </w:rPr>
              <w:t>Bayer HealthCare</w:t>
            </w:r>
          </w:p>
        </w:tc>
        <w:tc>
          <w:tcPr>
            <w:tcW w:w="2320" w:type="dxa"/>
            <w:vAlign w:val="bottom"/>
            <w:shd w:val="clear" w:color="auto" w:fill="C0C0C0"/>
          </w:tcPr>
          <w:p>
            <w:pPr>
              <w:spacing w:after="0"/>
              <w:rPr>
                <w:sz w:val="15"/>
                <w:szCs w:val="15"/>
                <w:color w:val="auto"/>
              </w:rPr>
            </w:pPr>
          </w:p>
        </w:tc>
        <w:tc>
          <w:tcPr>
            <w:tcW w:w="120" w:type="dxa"/>
            <w:vAlign w:val="bottom"/>
            <w:tcBorders>
              <w:bottom w:val="single" w:sz="8" w:color="auto"/>
            </w:tcBorders>
            <w:shd w:val="clear" w:color="auto" w:fill="C0C0C0"/>
          </w:tcPr>
          <w:p>
            <w:pPr>
              <w:spacing w:after="0"/>
              <w:rPr>
                <w:sz w:val="15"/>
                <w:szCs w:val="15"/>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12.5</w:t>
            </w:r>
          </w:p>
        </w:tc>
        <w:tc>
          <w:tcPr>
            <w:tcW w:w="200" w:type="dxa"/>
            <w:vAlign w:val="bottom"/>
            <w:shd w:val="clear" w:color="auto" w:fill="C0C0C0"/>
          </w:tcPr>
          <w:p>
            <w:pPr>
              <w:spacing w:after="0"/>
              <w:rPr>
                <w:sz w:val="15"/>
                <w:szCs w:val="15"/>
                <w:color w:val="auto"/>
              </w:rPr>
            </w:pPr>
          </w:p>
        </w:tc>
        <w:tc>
          <w:tcPr>
            <w:tcW w:w="100" w:type="dxa"/>
            <w:vAlign w:val="bottom"/>
            <w:tcBorders>
              <w:bottom w:val="single" w:sz="8" w:color="auto"/>
            </w:tcBorders>
            <w:shd w:val="clear" w:color="auto" w:fill="C0C0C0"/>
          </w:tcPr>
          <w:p>
            <w:pPr>
              <w:spacing w:after="0"/>
              <w:rPr>
                <w:sz w:val="15"/>
                <w:szCs w:val="15"/>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13.1</w:t>
            </w:r>
          </w:p>
        </w:tc>
      </w:tr>
      <w:tr>
        <w:trPr>
          <w:trHeight w:val="159"/>
        </w:trPr>
        <w:tc>
          <w:tcPr>
            <w:tcW w:w="860" w:type="dxa"/>
            <w:vAlign w:val="bottom"/>
          </w:tcPr>
          <w:p>
            <w:pPr>
              <w:spacing w:after="0"/>
              <w:rPr>
                <w:sz w:val="13"/>
                <w:szCs w:val="13"/>
                <w:color w:val="auto"/>
              </w:rPr>
            </w:pPr>
          </w:p>
        </w:tc>
        <w:tc>
          <w:tcPr>
            <w:tcW w:w="6140" w:type="dxa"/>
            <w:vAlign w:val="bottom"/>
          </w:tcPr>
          <w:p>
            <w:pPr>
              <w:ind w:left="440"/>
              <w:spacing w:after="0"/>
              <w:rPr>
                <w:sz w:val="20"/>
                <w:szCs w:val="20"/>
                <w:color w:val="auto"/>
              </w:rPr>
            </w:pPr>
            <w:r>
              <w:rPr>
                <w:rFonts w:ascii="Arial" w:cs="Arial" w:eastAsia="Arial" w:hAnsi="Arial"/>
                <w:sz w:val="13"/>
                <w:szCs w:val="13"/>
                <w:color w:val="auto"/>
              </w:rPr>
              <w:t>Total collaboration revenue</w:t>
            </w: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97.8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81.8</w:t>
            </w:r>
          </w:p>
        </w:tc>
      </w:tr>
      <w:tr>
        <w:trPr>
          <w:trHeight w:val="180"/>
        </w:trPr>
        <w:tc>
          <w:tcPr>
            <w:tcW w:w="860" w:type="dxa"/>
            <w:vAlign w:val="bottom"/>
          </w:tcPr>
          <w:p>
            <w:pPr>
              <w:spacing w:after="0"/>
              <w:rPr>
                <w:sz w:val="15"/>
                <w:szCs w:val="15"/>
                <w:color w:val="auto"/>
              </w:rPr>
            </w:pPr>
          </w:p>
        </w:tc>
        <w:tc>
          <w:tcPr>
            <w:tcW w:w="6140" w:type="dxa"/>
            <w:vAlign w:val="bottom"/>
            <w:shd w:val="clear" w:color="auto" w:fill="C0C0C0"/>
          </w:tcPr>
          <w:p>
            <w:pPr>
              <w:spacing w:after="0"/>
              <w:rPr>
                <w:sz w:val="20"/>
                <w:szCs w:val="20"/>
                <w:color w:val="auto"/>
              </w:rPr>
            </w:pPr>
            <w:r>
              <w:rPr>
                <w:rFonts w:ascii="Arial" w:cs="Arial" w:eastAsia="Arial" w:hAnsi="Arial"/>
                <w:sz w:val="13"/>
                <w:szCs w:val="13"/>
                <w:color w:val="auto"/>
              </w:rPr>
              <w:t>Technology licensing revenue</w:t>
            </w:r>
          </w:p>
        </w:tc>
        <w:tc>
          <w:tcPr>
            <w:tcW w:w="232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7.9</w:t>
            </w:r>
          </w:p>
        </w:tc>
        <w:tc>
          <w:tcPr>
            <w:tcW w:w="2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10.0</w:t>
            </w:r>
          </w:p>
        </w:tc>
      </w:tr>
      <w:tr>
        <w:trPr>
          <w:trHeight w:val="169"/>
        </w:trPr>
        <w:tc>
          <w:tcPr>
            <w:tcW w:w="7000" w:type="dxa"/>
            <w:vAlign w:val="bottom"/>
            <w:gridSpan w:val="2"/>
          </w:tcPr>
          <w:p>
            <w:pPr>
              <w:ind w:left="860"/>
              <w:spacing w:after="0"/>
              <w:rPr>
                <w:sz w:val="20"/>
                <w:szCs w:val="20"/>
                <w:color w:val="auto"/>
              </w:rPr>
            </w:pPr>
            <w:r>
              <w:rPr>
                <w:rFonts w:ascii="Arial" w:cs="Arial" w:eastAsia="Arial" w:hAnsi="Arial"/>
                <w:sz w:val="13"/>
                <w:szCs w:val="13"/>
                <w:color w:val="auto"/>
              </w:rPr>
              <w:t>Net product sales</w:t>
            </w: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75"/>
        </w:trPr>
        <w:tc>
          <w:tcPr>
            <w:tcW w:w="860" w:type="dxa"/>
            <w:vAlign w:val="bottom"/>
          </w:tcPr>
          <w:p>
            <w:pPr>
              <w:spacing w:after="0"/>
              <w:rPr>
                <w:sz w:val="15"/>
                <w:szCs w:val="15"/>
                <w:color w:val="auto"/>
              </w:rPr>
            </w:pPr>
          </w:p>
        </w:tc>
        <w:tc>
          <w:tcPr>
            <w:tcW w:w="6140" w:type="dxa"/>
            <w:vAlign w:val="bottom"/>
            <w:shd w:val="clear" w:color="auto" w:fill="C0C0C0"/>
          </w:tcPr>
          <w:p>
            <w:pPr>
              <w:spacing w:after="0"/>
              <w:rPr>
                <w:sz w:val="20"/>
                <w:szCs w:val="20"/>
                <w:color w:val="auto"/>
              </w:rPr>
            </w:pPr>
            <w:r>
              <w:rPr>
                <w:rFonts w:ascii="Arial" w:cs="Arial" w:eastAsia="Arial" w:hAnsi="Arial"/>
                <w:sz w:val="13"/>
                <w:szCs w:val="13"/>
                <w:color w:val="auto"/>
              </w:rPr>
              <w:t>Contract research and other revenue</w:t>
            </w:r>
          </w:p>
        </w:tc>
        <w:tc>
          <w:tcPr>
            <w:tcW w:w="2320" w:type="dxa"/>
            <w:vAlign w:val="bottom"/>
            <w:shd w:val="clear" w:color="auto" w:fill="C0C0C0"/>
          </w:tcPr>
          <w:p>
            <w:pPr>
              <w:spacing w:after="0"/>
              <w:rPr>
                <w:sz w:val="15"/>
                <w:szCs w:val="15"/>
                <w:color w:val="auto"/>
              </w:rPr>
            </w:pPr>
          </w:p>
        </w:tc>
        <w:tc>
          <w:tcPr>
            <w:tcW w:w="120" w:type="dxa"/>
            <w:vAlign w:val="bottom"/>
            <w:tcBorders>
              <w:bottom w:val="single" w:sz="8" w:color="auto"/>
            </w:tcBorders>
            <w:shd w:val="clear" w:color="auto" w:fill="C0C0C0"/>
          </w:tcPr>
          <w:p>
            <w:pPr>
              <w:spacing w:after="0"/>
              <w:rPr>
                <w:sz w:val="15"/>
                <w:szCs w:val="15"/>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2.1</w:t>
            </w:r>
          </w:p>
        </w:tc>
        <w:tc>
          <w:tcPr>
            <w:tcW w:w="200" w:type="dxa"/>
            <w:vAlign w:val="bottom"/>
            <w:shd w:val="clear" w:color="auto" w:fill="C0C0C0"/>
          </w:tcPr>
          <w:p>
            <w:pPr>
              <w:spacing w:after="0"/>
              <w:rPr>
                <w:sz w:val="15"/>
                <w:szCs w:val="15"/>
                <w:color w:val="auto"/>
              </w:rPr>
            </w:pPr>
          </w:p>
        </w:tc>
        <w:tc>
          <w:tcPr>
            <w:tcW w:w="100" w:type="dxa"/>
            <w:vAlign w:val="bottom"/>
            <w:tcBorders>
              <w:bottom w:val="single" w:sz="8" w:color="auto"/>
            </w:tcBorders>
            <w:shd w:val="clear" w:color="auto" w:fill="C0C0C0"/>
          </w:tcPr>
          <w:p>
            <w:pPr>
              <w:spacing w:after="0"/>
              <w:rPr>
                <w:sz w:val="15"/>
                <w:szCs w:val="15"/>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1.8</w:t>
            </w:r>
          </w:p>
        </w:tc>
      </w:tr>
      <w:tr>
        <w:trPr>
          <w:trHeight w:val="169"/>
        </w:trPr>
        <w:tc>
          <w:tcPr>
            <w:tcW w:w="860" w:type="dxa"/>
            <w:vAlign w:val="bottom"/>
          </w:tcPr>
          <w:p>
            <w:pPr>
              <w:spacing w:after="0"/>
              <w:rPr>
                <w:sz w:val="14"/>
                <w:szCs w:val="14"/>
                <w:color w:val="auto"/>
              </w:rPr>
            </w:pPr>
          </w:p>
        </w:tc>
        <w:tc>
          <w:tcPr>
            <w:tcW w:w="6140" w:type="dxa"/>
            <w:vAlign w:val="bottom"/>
          </w:tcPr>
          <w:p>
            <w:pPr>
              <w:ind w:left="440"/>
              <w:spacing w:after="0"/>
              <w:rPr>
                <w:sz w:val="20"/>
                <w:szCs w:val="20"/>
                <w:color w:val="auto"/>
              </w:rPr>
            </w:pPr>
            <w:r>
              <w:rPr>
                <w:rFonts w:ascii="Arial" w:cs="Arial" w:eastAsia="Arial" w:hAnsi="Arial"/>
                <w:sz w:val="13"/>
                <w:szCs w:val="13"/>
                <w:color w:val="auto"/>
              </w:rPr>
              <w:t>Total revenue</w:t>
            </w:r>
          </w:p>
        </w:tc>
        <w:tc>
          <w:tcPr>
            <w:tcW w:w="2320" w:type="dxa"/>
            <w:vAlign w:val="bottom"/>
          </w:tcPr>
          <w:p>
            <w:pPr>
              <w:spacing w:after="0"/>
              <w:rPr>
                <w:sz w:val="14"/>
                <w:szCs w:val="14"/>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112.2</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103.5</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Sanofi-aventis Collaboration Revenue</w:t>
      </w:r>
    </w:p>
    <w:p>
      <w:pPr>
        <w:spacing w:after="0" w:line="200"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3"/>
          <w:szCs w:val="13"/>
          <w:color w:val="auto"/>
        </w:rPr>
        <w:t>The collaboration revenue we earned from sanofi-aventis, as detailed below, consisted primarily of reimbursement for research and development expenses and recognition of revenue related to non-refundable up-front payments of $105.0 million related to the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collaboration and $85.0 million related to the antibody collaboration.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4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5"/>
          </w:tcPr>
          <w:p>
            <w:pPr>
              <w:jc w:val="right"/>
              <w:spacing w:after="0"/>
              <w:rPr>
                <w:sz w:val="20"/>
                <w:szCs w:val="20"/>
                <w:color w:val="auto"/>
              </w:rPr>
            </w:pPr>
            <w:r>
              <w:rPr>
                <w:rFonts w:ascii="Arial" w:cs="Arial" w:eastAsia="Arial" w:hAnsi="Arial"/>
                <w:sz w:val="13"/>
                <w:szCs w:val="13"/>
                <w:b w:val="1"/>
                <w:bCs w:val="1"/>
                <w:color w:val="auto"/>
                <w:w w:val="90"/>
              </w:rPr>
              <w:t>Three months ended</w:t>
            </w:r>
          </w:p>
        </w:tc>
        <w:tc>
          <w:tcPr>
            <w:tcW w:w="0" w:type="dxa"/>
            <w:vAlign w:val="bottom"/>
          </w:tcPr>
          <w:p>
            <w:pPr>
              <w:spacing w:after="0"/>
              <w:rPr>
                <w:sz w:val="1"/>
                <w:szCs w:val="1"/>
                <w:color w:val="auto"/>
              </w:rPr>
            </w:pPr>
          </w:p>
        </w:tc>
      </w:tr>
      <w:tr>
        <w:trPr>
          <w:trHeight w:val="146"/>
        </w:trPr>
        <w:tc>
          <w:tcPr>
            <w:tcW w:w="2040" w:type="dxa"/>
            <w:vAlign w:val="bottom"/>
            <w:tcBorders>
              <w:bottom w:val="single" w:sz="8" w:color="auto"/>
            </w:tcBorders>
          </w:tcPr>
          <w:p>
            <w:pPr>
              <w:spacing w:after="0" w:line="147" w:lineRule="exact"/>
              <w:rPr>
                <w:sz w:val="20"/>
                <w:szCs w:val="20"/>
                <w:color w:val="auto"/>
              </w:rPr>
            </w:pPr>
            <w:r>
              <w:rPr>
                <w:rFonts w:ascii="Arial" w:cs="Arial" w:eastAsia="Arial" w:hAnsi="Arial"/>
                <w:sz w:val="13"/>
                <w:szCs w:val="13"/>
                <w:b w:val="1"/>
                <w:bCs w:val="1"/>
                <w:color w:val="auto"/>
                <w:w w:val="86"/>
              </w:rPr>
              <w:t>Sanofi-aventis Collaboration Revenue</w:t>
            </w:r>
          </w:p>
        </w:tc>
        <w:tc>
          <w:tcPr>
            <w:tcW w:w="8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right"/>
              <w:ind w:right="277"/>
              <w:spacing w:after="0" w:line="147"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0"/>
        </w:trPr>
        <w:tc>
          <w:tcPr>
            <w:tcW w:w="1010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0100" w:type="dxa"/>
            <w:vAlign w:val="bottom"/>
            <w:tcBorders>
              <w:bottom w:val="single" w:sz="8" w:color="C0C0C0"/>
            </w:tcBorders>
            <w:gridSpan w:val="2"/>
            <w:vMerge w:val="continue"/>
          </w:tcPr>
          <w:p>
            <w:pPr>
              <w:spacing w:after="0"/>
              <w:rPr>
                <w:sz w:val="13"/>
                <w:szCs w:val="13"/>
                <w:color w:val="auto"/>
              </w:rPr>
            </w:pPr>
          </w:p>
        </w:tc>
        <w:tc>
          <w:tcPr>
            <w:tcW w:w="140" w:type="dxa"/>
            <w:vAlign w:val="bottom"/>
            <w:tcBorders>
              <w:bottom w:val="single" w:sz="8" w:color="C0C0C0"/>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Borders>
              <w:bottom w:val="single" w:sz="8" w:color="C0C0C0"/>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2010</w:t>
            </w:r>
          </w:p>
        </w:tc>
        <w:tc>
          <w:tcPr>
            <w:tcW w:w="0" w:type="dxa"/>
            <w:vAlign w:val="bottom"/>
          </w:tcPr>
          <w:p>
            <w:pPr>
              <w:spacing w:after="0"/>
              <w:rPr>
                <w:sz w:val="1"/>
                <w:szCs w:val="1"/>
                <w:color w:val="auto"/>
              </w:rPr>
            </w:pPr>
          </w:p>
        </w:tc>
      </w:tr>
      <w:tr>
        <w:trPr>
          <w:trHeight w:val="150"/>
        </w:trPr>
        <w:tc>
          <w:tcPr>
            <w:tcW w:w="101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3"/>
                <w:szCs w:val="13"/>
                <w:color w:val="auto"/>
              </w:rPr>
              <w:t>ZALTRAP</w:t>
            </w:r>
            <w:r>
              <w:rPr>
                <w:rFonts w:ascii="Arial" w:cs="Arial" w:eastAsia="Arial" w:hAnsi="Arial"/>
                <w:sz w:val="8"/>
                <w:szCs w:val="8"/>
                <w:color w:val="auto"/>
              </w:rPr>
              <w:t>TM</w:t>
            </w:r>
            <w:r>
              <w:rPr>
                <w:rFonts w:ascii="Arial" w:cs="Arial" w:eastAsia="Arial" w:hAnsi="Arial"/>
                <w:sz w:val="13"/>
                <w:szCs w:val="13"/>
                <w:color w:val="auto"/>
              </w:rPr>
              <w:t>:</w:t>
            </w:r>
          </w:p>
        </w:tc>
        <w:tc>
          <w:tcPr>
            <w:tcW w:w="140" w:type="dxa"/>
            <w:vAlign w:val="bottom"/>
            <w:tcBorders>
              <w:bottom w:val="single" w:sz="8" w:color="C0C0C0"/>
            </w:tcBorders>
            <w:shd w:val="clear" w:color="auto" w:fill="C0C0C0"/>
          </w:tcPr>
          <w:p>
            <w:pPr>
              <w:spacing w:after="0"/>
              <w:rPr>
                <w:sz w:val="13"/>
                <w:szCs w:val="13"/>
                <w:color w:val="auto"/>
              </w:rPr>
            </w:pPr>
          </w:p>
        </w:tc>
        <w:tc>
          <w:tcPr>
            <w:tcW w:w="120" w:type="dxa"/>
            <w:vAlign w:val="bottom"/>
            <w:tcBorders>
              <w:bottom w:val="single" w:sz="8" w:color="C0C0C0"/>
            </w:tcBorders>
            <w:shd w:val="clear" w:color="auto" w:fill="C0C0C0"/>
          </w:tcPr>
          <w:p>
            <w:pPr>
              <w:spacing w:after="0"/>
              <w:rPr>
                <w:sz w:val="13"/>
                <w:szCs w:val="13"/>
                <w:color w:val="auto"/>
              </w:rPr>
            </w:pPr>
          </w:p>
        </w:tc>
        <w:tc>
          <w:tcPr>
            <w:tcW w:w="420" w:type="dxa"/>
            <w:vAlign w:val="bottom"/>
            <w:tcBorders>
              <w:bottom w:val="single" w:sz="8" w:color="C0C0C0"/>
            </w:tcBorders>
            <w:shd w:val="clear" w:color="auto" w:fill="C0C0C0"/>
          </w:tcPr>
          <w:p>
            <w:pPr>
              <w:spacing w:after="0"/>
              <w:rPr>
                <w:sz w:val="13"/>
                <w:szCs w:val="13"/>
                <w:color w:val="auto"/>
              </w:rPr>
            </w:pPr>
          </w:p>
        </w:tc>
        <w:tc>
          <w:tcPr>
            <w:tcW w:w="160" w:type="dxa"/>
            <w:vAlign w:val="bottom"/>
            <w:tcBorders>
              <w:bottom w:val="single" w:sz="8" w:color="C0C0C0"/>
            </w:tcBorders>
            <w:shd w:val="clear" w:color="auto" w:fill="C0C0C0"/>
          </w:tcPr>
          <w:p>
            <w:pPr>
              <w:spacing w:after="0"/>
              <w:rPr>
                <w:sz w:val="13"/>
                <w:szCs w:val="13"/>
                <w:color w:val="auto"/>
              </w:rPr>
            </w:pPr>
          </w:p>
        </w:tc>
        <w:tc>
          <w:tcPr>
            <w:tcW w:w="100" w:type="dxa"/>
            <w:vAlign w:val="bottom"/>
            <w:tcBorders>
              <w:bottom w:val="single" w:sz="8" w:color="C0C0C0"/>
            </w:tcBorders>
            <w:shd w:val="clear" w:color="auto" w:fill="C0C0C0"/>
          </w:tcPr>
          <w:p>
            <w:pPr>
              <w:spacing w:after="0"/>
              <w:rPr>
                <w:sz w:val="13"/>
                <w:szCs w:val="13"/>
                <w:color w:val="auto"/>
              </w:rPr>
            </w:pPr>
          </w:p>
        </w:tc>
        <w:tc>
          <w:tcPr>
            <w:tcW w:w="440" w:type="dxa"/>
            <w:vAlign w:val="bottom"/>
            <w:tcBorders>
              <w:bottom w:val="single" w:sz="8" w:color="C0C0C0"/>
            </w:tcBorders>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100" w:type="dxa"/>
            <w:vAlign w:val="bottom"/>
            <w:gridSpan w:val="2"/>
          </w:tcPr>
          <w:p>
            <w:pPr>
              <w:ind w:left="220"/>
              <w:spacing w:after="0"/>
              <w:rPr>
                <w:sz w:val="20"/>
                <w:szCs w:val="20"/>
                <w:color w:val="auto"/>
              </w:rPr>
            </w:pPr>
            <w:r>
              <w:rPr>
                <w:rFonts w:ascii="Arial" w:cs="Arial" w:eastAsia="Arial" w:hAnsi="Arial"/>
                <w:sz w:val="13"/>
                <w:szCs w:val="13"/>
                <w:color w:val="auto"/>
              </w:rPr>
              <w:t>Regeneron expense reimbursement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7.2</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80"/>
        </w:trPr>
        <w:tc>
          <w:tcPr>
            <w:tcW w:w="1010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Recognition of deferred revenue related to up-front payments</w:t>
            </w:r>
          </w:p>
        </w:tc>
        <w:tc>
          <w:tcPr>
            <w:tcW w:w="140" w:type="dxa"/>
            <w:vAlign w:val="bottom"/>
            <w:shd w:val="clear" w:color="auto" w:fill="C0C0C0"/>
          </w:tcPr>
          <w:p>
            <w:pPr>
              <w:spacing w:after="0"/>
              <w:rPr>
                <w:sz w:val="15"/>
                <w:szCs w:val="15"/>
                <w:color w:val="auto"/>
              </w:rPr>
            </w:pPr>
          </w:p>
        </w:tc>
        <w:tc>
          <w:tcPr>
            <w:tcW w:w="120" w:type="dxa"/>
            <w:vAlign w:val="bottom"/>
            <w:tcBorders>
              <w:bottom w:val="single" w:sz="8" w:color="auto"/>
            </w:tcBorders>
            <w:shd w:val="clear" w:color="auto" w:fill="C0C0C0"/>
          </w:tcPr>
          <w:p>
            <w:pPr>
              <w:spacing w:after="0"/>
              <w:rPr>
                <w:sz w:val="15"/>
                <w:szCs w:val="15"/>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2.5</w:t>
            </w:r>
          </w:p>
        </w:tc>
        <w:tc>
          <w:tcPr>
            <w:tcW w:w="160" w:type="dxa"/>
            <w:vAlign w:val="bottom"/>
            <w:shd w:val="clear" w:color="auto" w:fill="C0C0C0"/>
          </w:tcPr>
          <w:p>
            <w:pPr>
              <w:spacing w:after="0"/>
              <w:rPr>
                <w:sz w:val="15"/>
                <w:szCs w:val="15"/>
                <w:color w:val="auto"/>
              </w:rPr>
            </w:pPr>
          </w:p>
        </w:tc>
        <w:tc>
          <w:tcPr>
            <w:tcW w:w="100" w:type="dxa"/>
            <w:vAlign w:val="bottom"/>
            <w:tcBorders>
              <w:bottom w:val="single" w:sz="8" w:color="auto"/>
            </w:tcBorders>
            <w:shd w:val="clear" w:color="auto" w:fill="C0C0C0"/>
          </w:tcPr>
          <w:p>
            <w:pPr>
              <w:spacing w:after="0"/>
              <w:rPr>
                <w:sz w:val="15"/>
                <w:szCs w:val="15"/>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9"/>
        </w:trPr>
        <w:tc>
          <w:tcPr>
            <w:tcW w:w="10100" w:type="dxa"/>
            <w:vAlign w:val="bottom"/>
            <w:tcBorders>
              <w:bottom w:val="single" w:sz="8" w:color="C0C0C0"/>
            </w:tcBorders>
            <w:gridSpan w:val="2"/>
          </w:tcPr>
          <w:p>
            <w:pPr>
              <w:ind w:left="440"/>
              <w:spacing w:after="0" w:line="144" w:lineRule="exact"/>
              <w:rPr>
                <w:sz w:val="20"/>
                <w:szCs w:val="20"/>
                <w:color w:val="auto"/>
              </w:rPr>
            </w:pPr>
            <w:r>
              <w:rPr>
                <w:rFonts w:ascii="Arial" w:cs="Arial" w:eastAsia="Arial" w:hAnsi="Arial"/>
                <w:sz w:val="13"/>
                <w:szCs w:val="13"/>
                <w:color w:val="auto"/>
              </w:rPr>
              <w:t>Total ZALTRAP</w:t>
            </w:r>
            <w:r>
              <w:rPr>
                <w:rFonts w:ascii="Arial" w:cs="Arial" w:eastAsia="Arial" w:hAnsi="Arial"/>
                <w:sz w:val="8"/>
                <w:szCs w:val="8"/>
                <w:color w:val="auto"/>
              </w:rPr>
              <w:t>TM</w:t>
            </w:r>
          </w:p>
        </w:tc>
        <w:tc>
          <w:tcPr>
            <w:tcW w:w="140" w:type="dxa"/>
            <w:vAlign w:val="bottom"/>
            <w:tcBorders>
              <w:bottom w:val="single" w:sz="8" w:color="C0C0C0"/>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60" w:type="dxa"/>
            <w:vAlign w:val="bottom"/>
            <w:tcBorders>
              <w:bottom w:val="single" w:sz="8" w:color="C0C0C0"/>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70"/>
        </w:trPr>
        <w:tc>
          <w:tcPr>
            <w:tcW w:w="101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Antibody:</w:t>
            </w:r>
          </w:p>
        </w:tc>
        <w:tc>
          <w:tcPr>
            <w:tcW w:w="14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4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100" w:type="dxa"/>
            <w:vAlign w:val="bottom"/>
            <w:gridSpan w:val="2"/>
          </w:tcPr>
          <w:p>
            <w:pPr>
              <w:ind w:left="220"/>
              <w:spacing w:after="0"/>
              <w:rPr>
                <w:sz w:val="20"/>
                <w:szCs w:val="20"/>
                <w:color w:val="auto"/>
              </w:rPr>
            </w:pPr>
            <w:r>
              <w:rPr>
                <w:rFonts w:ascii="Arial" w:cs="Arial" w:eastAsia="Arial" w:hAnsi="Arial"/>
                <w:sz w:val="13"/>
                <w:szCs w:val="13"/>
                <w:color w:val="auto"/>
              </w:rPr>
              <w:t>Regeneron expense reimbursement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69"/>
        </w:trPr>
        <w:tc>
          <w:tcPr>
            <w:tcW w:w="1010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Recognition of deferred revenue related to up-front and other</w:t>
            </w:r>
          </w:p>
        </w:tc>
        <w:tc>
          <w:tcPr>
            <w:tcW w:w="14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4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100" w:type="dxa"/>
            <w:vAlign w:val="bottom"/>
            <w:gridSpan w:val="2"/>
            <w:shd w:val="clear" w:color="auto" w:fill="C0C0C0"/>
          </w:tcPr>
          <w:p>
            <w:pPr>
              <w:ind w:left="440"/>
              <w:spacing w:after="0"/>
              <w:rPr>
                <w:sz w:val="20"/>
                <w:szCs w:val="20"/>
                <w:color w:val="auto"/>
              </w:rPr>
            </w:pPr>
            <w:r>
              <w:rPr>
                <w:rFonts w:ascii="Arial" w:cs="Arial" w:eastAsia="Arial" w:hAnsi="Arial"/>
                <w:sz w:val="13"/>
                <w:szCs w:val="13"/>
                <w:color w:val="auto"/>
              </w:rPr>
              <w:t>payments</w:t>
            </w:r>
          </w:p>
        </w:tc>
        <w:tc>
          <w:tcPr>
            <w:tcW w:w="14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2.0</w:t>
            </w:r>
          </w:p>
        </w:tc>
        <w:tc>
          <w:tcPr>
            <w:tcW w:w="16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9"/>
        </w:trPr>
        <w:tc>
          <w:tcPr>
            <w:tcW w:w="10100" w:type="dxa"/>
            <w:vAlign w:val="bottom"/>
            <w:tcBorders>
              <w:bottom w:val="single" w:sz="8" w:color="C0C0C0"/>
            </w:tcBorders>
            <w:gridSpan w:val="2"/>
          </w:tcPr>
          <w:p>
            <w:pPr>
              <w:ind w:left="220"/>
              <w:spacing w:after="0"/>
              <w:rPr>
                <w:sz w:val="20"/>
                <w:szCs w:val="20"/>
                <w:color w:val="auto"/>
              </w:rPr>
            </w:pPr>
            <w:r>
              <w:rPr>
                <w:rFonts w:ascii="Arial" w:cs="Arial" w:eastAsia="Arial" w:hAnsi="Arial"/>
                <w:sz w:val="13"/>
                <w:szCs w:val="13"/>
                <w:color w:val="auto"/>
              </w:rPr>
              <w:t xml:space="preserve">Recognition of revenue related to </w:t>
            </w:r>
            <w:r>
              <w:rPr>
                <w:rFonts w:ascii="Arial" w:cs="Arial" w:eastAsia="Arial" w:hAnsi="Arial"/>
                <w:sz w:val="13"/>
                <w:szCs w:val="13"/>
                <w:i w:val="1"/>
                <w:iCs w:val="1"/>
                <w:color w:val="auto"/>
              </w:rPr>
              <w:t>VelociGene</w:t>
            </w:r>
            <w:r>
              <w:rPr>
                <w:rFonts w:ascii="Arial" w:cs="Arial" w:eastAsia="Arial" w:hAnsi="Arial"/>
                <w:sz w:val="8"/>
                <w:szCs w:val="8"/>
                <w:color w:val="auto"/>
              </w:rPr>
              <w:t>®</w:t>
            </w:r>
            <w:r>
              <w:rPr>
                <w:rFonts w:ascii="Arial" w:cs="Arial" w:eastAsia="Arial" w:hAnsi="Arial"/>
                <w:sz w:val="13"/>
                <w:szCs w:val="13"/>
                <w:color w:val="auto"/>
              </w:rPr>
              <w:t xml:space="preserve"> agreement</w:t>
            </w:r>
          </w:p>
        </w:tc>
        <w:tc>
          <w:tcPr>
            <w:tcW w:w="14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16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4"/>
        </w:trPr>
        <w:tc>
          <w:tcPr>
            <w:tcW w:w="10100" w:type="dxa"/>
            <w:vAlign w:val="bottom"/>
            <w:gridSpan w:val="2"/>
            <w:shd w:val="clear" w:color="auto" w:fill="C0C0C0"/>
          </w:tcPr>
          <w:p>
            <w:pPr>
              <w:ind w:left="440"/>
              <w:spacing w:after="0"/>
              <w:rPr>
                <w:sz w:val="20"/>
                <w:szCs w:val="20"/>
                <w:color w:val="auto"/>
              </w:rPr>
            </w:pPr>
            <w:r>
              <w:rPr>
                <w:rFonts w:ascii="Arial" w:cs="Arial" w:eastAsia="Arial" w:hAnsi="Arial"/>
                <w:sz w:val="13"/>
                <w:szCs w:val="13"/>
                <w:color w:val="auto"/>
              </w:rPr>
              <w:t>Total antibody</w:t>
            </w:r>
          </w:p>
        </w:tc>
        <w:tc>
          <w:tcPr>
            <w:tcW w:w="140" w:type="dxa"/>
            <w:vAlign w:val="bottom"/>
            <w:shd w:val="clear" w:color="auto" w:fill="C0C0C0"/>
          </w:tcPr>
          <w:p>
            <w:pPr>
              <w:spacing w:after="0"/>
              <w:rPr>
                <w:sz w:val="14"/>
                <w:szCs w:val="14"/>
                <w:color w:val="auto"/>
              </w:rPr>
            </w:pPr>
          </w:p>
        </w:tc>
        <w:tc>
          <w:tcPr>
            <w:tcW w:w="120" w:type="dxa"/>
            <w:vAlign w:val="bottom"/>
            <w:tcBorders>
              <w:bottom w:val="single" w:sz="8" w:color="auto"/>
            </w:tcBorders>
            <w:shd w:val="clear" w:color="auto" w:fill="C0C0C0"/>
          </w:tcPr>
          <w:p>
            <w:pPr>
              <w:spacing w:after="0"/>
              <w:rPr>
                <w:sz w:val="14"/>
                <w:szCs w:val="14"/>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75.6</w:t>
            </w:r>
          </w:p>
        </w:tc>
        <w:tc>
          <w:tcPr>
            <w:tcW w:w="160" w:type="dxa"/>
            <w:vAlign w:val="bottom"/>
            <w:shd w:val="clear" w:color="auto" w:fill="C0C0C0"/>
          </w:tcPr>
          <w:p>
            <w:pPr>
              <w:spacing w:after="0"/>
              <w:rPr>
                <w:sz w:val="14"/>
                <w:szCs w:val="14"/>
                <w:color w:val="auto"/>
              </w:rPr>
            </w:pPr>
          </w:p>
        </w:tc>
        <w:tc>
          <w:tcPr>
            <w:tcW w:w="100" w:type="dxa"/>
            <w:vAlign w:val="bottom"/>
            <w:tcBorders>
              <w:bottom w:val="single" w:sz="8" w:color="auto"/>
            </w:tcBorders>
            <w:shd w:val="clear" w:color="auto" w:fill="C0C0C0"/>
          </w:tcPr>
          <w:p>
            <w:pPr>
              <w:spacing w:after="0"/>
              <w:rPr>
                <w:sz w:val="14"/>
                <w:szCs w:val="14"/>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69"/>
        </w:trPr>
        <w:tc>
          <w:tcPr>
            <w:tcW w:w="10100" w:type="dxa"/>
            <w:vAlign w:val="bottom"/>
            <w:gridSpan w:val="2"/>
          </w:tcPr>
          <w:p>
            <w:pPr>
              <w:spacing w:after="0"/>
              <w:rPr>
                <w:sz w:val="20"/>
                <w:szCs w:val="20"/>
                <w:color w:val="auto"/>
              </w:rPr>
            </w:pPr>
            <w:r>
              <w:rPr>
                <w:rFonts w:ascii="Arial" w:cs="Arial" w:eastAsia="Arial" w:hAnsi="Arial"/>
                <w:sz w:val="13"/>
                <w:szCs w:val="13"/>
                <w:color w:val="auto"/>
              </w:rPr>
              <w:t>Total sanofi-aventis collaboration revenue</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194"/>
        <w:spacing w:after="0" w:line="260" w:lineRule="auto"/>
        <w:rPr>
          <w:sz w:val="20"/>
          <w:szCs w:val="20"/>
          <w:color w:val="auto"/>
        </w:rPr>
      </w:pPr>
      <w:r>
        <w:rPr>
          <w:rFonts w:ascii="Arial" w:cs="Arial" w:eastAsia="Arial" w:hAnsi="Arial"/>
          <w:sz w:val="12"/>
          <w:szCs w:val="12"/>
          <w:color w:val="auto"/>
        </w:rPr>
        <w:t>Sanofi-aventis’ reimbursement of our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expenses increased in the first quarter of 2011 compared to same period in 2010, primarily due to higher costs related to manufacturing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clinical supplies. As of March 31, 2011, $30.1 million of the original $105.0 million of up-front payments related to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was deferred and will be recognized as revenue in future periods.</w:t>
      </w:r>
    </w:p>
    <w:p>
      <w:pPr>
        <w:spacing w:after="0" w:line="107" w:lineRule="exact"/>
        <w:rPr>
          <w:sz w:val="20"/>
          <w:szCs w:val="20"/>
          <w:color w:val="auto"/>
        </w:rPr>
      </w:pPr>
    </w:p>
    <w:p>
      <w:pPr>
        <w:jc w:val="both"/>
        <w:ind w:right="20" w:firstLine="204"/>
        <w:spacing w:after="0" w:line="258" w:lineRule="auto"/>
        <w:rPr>
          <w:sz w:val="20"/>
          <w:szCs w:val="20"/>
          <w:color w:val="auto"/>
        </w:rPr>
      </w:pPr>
      <w:r>
        <w:rPr>
          <w:rFonts w:ascii="Arial" w:cs="Arial" w:eastAsia="Arial" w:hAnsi="Arial"/>
          <w:sz w:val="13"/>
          <w:szCs w:val="13"/>
          <w:color w:val="auto"/>
        </w:rPr>
        <w:t>In the first quarter of 2011, sanofi-aventis’ reimbursement of our antibody expenses consisted of $42.1 million under the discovery agreement and $31.1 million of development costs under the license agreement, compared to $26.7 million and $32.6 million, respectively, in the first quarter of 2010. The higher reimbursement amount under the discovery agreement in the first quarter of 2011, compared to the same period in 2010, was primarily due to an increase in our antibody discovery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29" w:name="page30"/>
    <w:bookmarkEnd w:id="29"/>
    <w:p>
      <w:pPr>
        <w:jc w:val="both"/>
        <w:ind w:right="20" w:firstLine="214"/>
        <w:spacing w:after="0" w:line="310" w:lineRule="auto"/>
        <w:rPr>
          <w:sz w:val="20"/>
          <w:szCs w:val="20"/>
          <w:color w:val="auto"/>
        </w:rPr>
      </w:pPr>
      <w:r>
        <w:rPr>
          <w:rFonts w:ascii="Arial" w:cs="Arial" w:eastAsia="Arial" w:hAnsi="Arial"/>
          <w:sz w:val="11"/>
          <w:szCs w:val="11"/>
          <w:color w:val="auto"/>
        </w:rPr>
        <w:t>Recognition of deferred revenue related to sanofi-aventis’ $85.0 million up-front payment and other payments increased in the first quarter of 2011 compared to the same period in 2010. In connection with the November 2009 amendment of the discovery agreement, sanofi-aventis is funding up to $30 million of agreed-upon costs incurred by us to expand our manufacturing capacity at our Rensselaer, New York facilities. Revenue related to these payments for such funding from sanofi-aventis is deferred and recognized as collaboration revenue prospectively over the related performance period in conjunction with the recognition of the original $85.0 million up-front payment. As of March 31, 2011, $23.9 million of such funding from sanofi-aventis was received or receivable, compared to $5.1 million as of March 31, 2010; as a result, we recognized more deferred revenue in the first quarter of 2011 than in the same quarter of 2010. As of March 31, 2011, $78.3 million of the sanofi-aventis payments was deferred and will be recognized as revenue in future periods.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In August 2008, we entered into a separate </w:t>
      </w:r>
      <w:r>
        <w:rPr>
          <w:rFonts w:ascii="Arial" w:cs="Arial" w:eastAsia="Arial" w:hAnsi="Arial"/>
          <w:sz w:val="12"/>
          <w:szCs w:val="12"/>
          <w:i w:val="1"/>
          <w:iCs w:val="1"/>
          <w:color w:val="auto"/>
        </w:rPr>
        <w:t>VelociGene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agreement with sanofi-aventis. In both the three months ended March 31, 2011 and 2010, we recognized $0.4 million in revenue related to this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Bayer HealthCare Collaboration Revenue</w:t>
      </w:r>
    </w:p>
    <w:p>
      <w:pPr>
        <w:spacing w:after="0" w:line="200" w:lineRule="exact"/>
        <w:rPr>
          <w:sz w:val="20"/>
          <w:szCs w:val="20"/>
          <w:color w:val="auto"/>
        </w:rPr>
      </w:pPr>
    </w:p>
    <w:p>
      <w:pPr>
        <w:jc w:val="both"/>
        <w:ind w:right="20" w:firstLine="204"/>
        <w:spacing w:after="0" w:line="309" w:lineRule="auto"/>
        <w:rPr>
          <w:sz w:val="20"/>
          <w:szCs w:val="20"/>
          <w:color w:val="auto"/>
        </w:rPr>
      </w:pPr>
      <w:r>
        <w:rPr>
          <w:rFonts w:ascii="Arial" w:cs="Arial" w:eastAsia="Arial" w:hAnsi="Arial"/>
          <w:sz w:val="12"/>
          <w:szCs w:val="12"/>
          <w:color w:val="auto"/>
        </w:rPr>
        <w:t>The collaboration revenue we earned from Bayer HealthCare, as detailed below, consisted of cost sharing of Regeneron VEGF Trap-Eye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40" w:type="dxa"/>
            <w:vAlign w:val="bottom"/>
            <w:gridSpan w:val="5"/>
          </w:tcPr>
          <w:p>
            <w:pPr>
              <w:jc w:val="right"/>
              <w:spacing w:after="0"/>
              <w:rPr>
                <w:sz w:val="20"/>
                <w:szCs w:val="20"/>
                <w:color w:val="auto"/>
              </w:rPr>
            </w:pPr>
            <w:r>
              <w:rPr>
                <w:rFonts w:ascii="Arial" w:cs="Arial" w:eastAsia="Arial" w:hAnsi="Arial"/>
                <w:sz w:val="13"/>
                <w:szCs w:val="13"/>
                <w:b w:val="1"/>
                <w:bCs w:val="1"/>
                <w:color w:val="auto"/>
                <w:w w:val="90"/>
              </w:rPr>
              <w:t>Three months ended</w:t>
            </w:r>
          </w:p>
        </w:tc>
        <w:tc>
          <w:tcPr>
            <w:tcW w:w="0" w:type="dxa"/>
            <w:vAlign w:val="bottom"/>
          </w:tcPr>
          <w:p>
            <w:pPr>
              <w:spacing w:after="0"/>
              <w:rPr>
                <w:sz w:val="1"/>
                <w:szCs w:val="1"/>
                <w:color w:val="auto"/>
              </w:rPr>
            </w:pPr>
          </w:p>
        </w:tc>
      </w:tr>
      <w:tr>
        <w:trPr>
          <w:trHeight w:val="146"/>
        </w:trPr>
        <w:tc>
          <w:tcPr>
            <w:tcW w:w="2260" w:type="dxa"/>
            <w:vAlign w:val="bottom"/>
            <w:tcBorders>
              <w:bottom w:val="single" w:sz="8" w:color="auto"/>
            </w:tcBorders>
          </w:tcPr>
          <w:p>
            <w:pPr>
              <w:spacing w:after="0" w:line="147" w:lineRule="exact"/>
              <w:rPr>
                <w:sz w:val="20"/>
                <w:szCs w:val="20"/>
                <w:color w:val="auto"/>
              </w:rPr>
            </w:pPr>
            <w:r>
              <w:rPr>
                <w:rFonts w:ascii="Arial" w:cs="Arial" w:eastAsia="Arial" w:hAnsi="Arial"/>
                <w:sz w:val="13"/>
                <w:szCs w:val="13"/>
                <w:b w:val="1"/>
                <w:bCs w:val="1"/>
                <w:color w:val="auto"/>
                <w:w w:val="88"/>
              </w:rPr>
              <w:t>Bayer HealthCare Collaboration Revenue</w:t>
            </w:r>
          </w:p>
        </w:tc>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right"/>
              <w:ind w:right="277"/>
              <w:spacing w:after="0" w:line="147"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0240" w:type="dxa"/>
            <w:vAlign w:val="bottom"/>
            <w:tcBorders>
              <w:bottom w:val="single" w:sz="8" w:color="C0C0C0"/>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Borders>
              <w:bottom w:val="single" w:sz="8" w:color="C0C0C0"/>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2010</w:t>
            </w:r>
          </w:p>
        </w:tc>
        <w:tc>
          <w:tcPr>
            <w:tcW w:w="0" w:type="dxa"/>
            <w:vAlign w:val="bottom"/>
          </w:tcPr>
          <w:p>
            <w:pPr>
              <w:spacing w:after="0"/>
              <w:rPr>
                <w:sz w:val="1"/>
                <w:szCs w:val="1"/>
                <w:color w:val="auto"/>
              </w:rPr>
            </w:pPr>
          </w:p>
        </w:tc>
      </w:tr>
      <w:tr>
        <w:trPr>
          <w:trHeight w:val="170"/>
        </w:trPr>
        <w:tc>
          <w:tcPr>
            <w:tcW w:w="1024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Cost-sharing of Regeneron VEGF Trap-Eye development expenses</w:t>
            </w:r>
          </w:p>
        </w:tc>
        <w:tc>
          <w:tcPr>
            <w:tcW w:w="120" w:type="dxa"/>
            <w:vAlign w:val="bottom"/>
            <w:shd w:val="clear" w:color="auto" w:fill="C0C0C0"/>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10.0</w:t>
            </w:r>
          </w:p>
        </w:tc>
        <w:tc>
          <w:tcPr>
            <w:tcW w:w="160" w:type="dxa"/>
            <w:vAlign w:val="bottom"/>
            <w:shd w:val="clear" w:color="auto" w:fill="C0C0C0"/>
          </w:tcPr>
          <w:p>
            <w:pPr>
              <w:spacing w:after="0"/>
              <w:rPr>
                <w:sz w:val="14"/>
                <w:szCs w:val="14"/>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4"/>
        </w:trPr>
        <w:tc>
          <w:tcPr>
            <w:tcW w:w="10240" w:type="dxa"/>
            <w:vAlign w:val="bottom"/>
            <w:gridSpan w:val="2"/>
          </w:tcPr>
          <w:p>
            <w:pPr>
              <w:spacing w:after="0"/>
              <w:rPr>
                <w:sz w:val="20"/>
                <w:szCs w:val="20"/>
                <w:color w:val="auto"/>
              </w:rPr>
            </w:pPr>
            <w:r>
              <w:rPr>
                <w:rFonts w:ascii="Arial" w:cs="Arial" w:eastAsia="Arial" w:hAnsi="Arial"/>
                <w:sz w:val="13"/>
                <w:szCs w:val="13"/>
                <w:color w:val="auto"/>
              </w:rPr>
              <w:t>Recognition of deferred revenue related to up-front and other milestone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40" w:type="dxa"/>
            <w:vAlign w:val="bottom"/>
            <w:tcBorders>
              <w:bottom w:val="single" w:sz="8" w:color="C0C0C0"/>
            </w:tcBorders>
            <w:gridSpan w:val="2"/>
          </w:tcPr>
          <w:p>
            <w:pPr>
              <w:ind w:left="220"/>
              <w:spacing w:after="0"/>
              <w:rPr>
                <w:sz w:val="20"/>
                <w:szCs w:val="20"/>
                <w:color w:val="auto"/>
              </w:rPr>
            </w:pPr>
            <w:r>
              <w:rPr>
                <w:rFonts w:ascii="Arial" w:cs="Arial" w:eastAsia="Arial" w:hAnsi="Arial"/>
                <w:sz w:val="13"/>
                <w:szCs w:val="13"/>
                <w:color w:val="auto"/>
              </w:rPr>
              <w:t>payments</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6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9"/>
        </w:trPr>
        <w:tc>
          <w:tcPr>
            <w:tcW w:w="10240" w:type="dxa"/>
            <w:vAlign w:val="bottom"/>
            <w:tcBorders>
              <w:bottom w:val="single" w:sz="8" w:color="C0C0C0"/>
            </w:tcBorders>
            <w:gridSpan w:val="2"/>
            <w:shd w:val="clear" w:color="auto" w:fill="C0C0C0"/>
          </w:tcPr>
          <w:p>
            <w:pPr>
              <w:ind w:left="220"/>
              <w:spacing w:after="0"/>
              <w:rPr>
                <w:sz w:val="20"/>
                <w:szCs w:val="20"/>
                <w:color w:val="auto"/>
              </w:rPr>
            </w:pPr>
            <w:r>
              <w:rPr>
                <w:rFonts w:ascii="Arial" w:cs="Arial" w:eastAsia="Arial" w:hAnsi="Arial"/>
                <w:sz w:val="13"/>
                <w:szCs w:val="13"/>
                <w:color w:val="auto"/>
              </w:rPr>
              <w:t>Total Bayer HealthCare collaboration revenue</w:t>
            </w: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12.5</w:t>
            </w:r>
          </w:p>
        </w:tc>
        <w:tc>
          <w:tcPr>
            <w:tcW w:w="160" w:type="dxa"/>
            <w:vAlign w:val="bottom"/>
            <w:tcBorders>
              <w:bottom w:val="single" w:sz="8" w:color="C0C0C0"/>
            </w:tcBorders>
            <w:shd w:val="clear" w:color="auto" w:fill="C0C0C0"/>
          </w:tcPr>
          <w:p>
            <w:pPr>
              <w:spacing w:after="0"/>
              <w:rPr>
                <w:sz w:val="14"/>
                <w:szCs w:val="14"/>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firstLine="204"/>
        <w:spacing w:after="0" w:line="255" w:lineRule="auto"/>
        <w:rPr>
          <w:sz w:val="20"/>
          <w:szCs w:val="20"/>
          <w:color w:val="auto"/>
        </w:rPr>
      </w:pPr>
      <w:r>
        <w:rPr>
          <w:rFonts w:ascii="Arial" w:cs="Arial" w:eastAsia="Arial" w:hAnsi="Arial"/>
          <w:sz w:val="13"/>
          <w:szCs w:val="13"/>
          <w:color w:val="auto"/>
        </w:rPr>
        <w:t>Cost-sharing of our VEGF Trap-Eye development expenses with Bayer HealthCare decreased slightly in the first quarter of 2011 compared to the same period in 2010. In the first quarter of 2011, we incurred lower clinical development costs in connection with our Phase 3 VIEW 1 trial in wet AMD and our Phase 2 DA VINCI trial in DME, partly offset by higher internal costs in connection with regulatory filings in wet AMD. In connection with the recognition of deferred revenue related to the $75.0 million up-front payment and $20.0 million milestone payment received in August 2007, as of March 31, 2011, $44.5 million of these payments was deferred and will be recognized as revenue in future periods.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Technology Licensing Revenue</w:t>
      </w:r>
    </w:p>
    <w:p>
      <w:pPr>
        <w:spacing w:after="0" w:line="199" w:lineRule="exact"/>
        <w:rPr>
          <w:sz w:val="20"/>
          <w:szCs w:val="20"/>
          <w:color w:val="auto"/>
        </w:rPr>
      </w:pPr>
    </w:p>
    <w:p>
      <w:pPr>
        <w:jc w:val="both"/>
        <w:ind w:right="20" w:firstLine="194"/>
        <w:spacing w:after="0" w:line="263" w:lineRule="auto"/>
        <w:rPr>
          <w:sz w:val="20"/>
          <w:szCs w:val="20"/>
          <w:color w:val="auto"/>
        </w:rPr>
      </w:pPr>
      <w:r>
        <w:rPr>
          <w:rFonts w:ascii="Arial" w:cs="Arial" w:eastAsia="Arial" w:hAnsi="Arial"/>
          <w:sz w:val="11"/>
          <w:szCs w:val="11"/>
          <w:color w:val="auto"/>
        </w:rPr>
        <w:t xml:space="preserve">In connection with our </w:t>
      </w:r>
      <w:r>
        <w:rPr>
          <w:rFonts w:ascii="Arial" w:cs="Arial" w:eastAsia="Arial" w:hAnsi="Arial"/>
          <w:sz w:val="11"/>
          <w:szCs w:val="11"/>
          <w:i w:val="1"/>
          <w:iCs w:val="1"/>
          <w:color w:val="auto"/>
        </w:rPr>
        <w:t>VelocImmune</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license agreement with Astellas, the $20.0 million non-refundable payment received in the second quarter of 2010 was deferred upon receipt and is being recognized as revenue ratably over the ensuing year. In addition, in connection with the amendment and extension of our license agreement with Astellas, in August 2010, we received a $165.0 million up-front payment, which was deferred upon receipt and will be recognized as revenue ratably over a seven-year period beginning in mid-2011. In connection with our </w:t>
      </w:r>
      <w:r>
        <w:rPr>
          <w:rFonts w:ascii="Arial" w:cs="Arial" w:eastAsia="Arial" w:hAnsi="Arial"/>
          <w:sz w:val="11"/>
          <w:szCs w:val="11"/>
          <w:i w:val="1"/>
          <w:iCs w:val="1"/>
          <w:color w:val="auto"/>
        </w:rPr>
        <w:t>VelocImmune</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license agreement with AstraZeneca, the $20.0 million non-refundable payment received in the first quarter of 2010 was deferred upon receipt and recognized as revenue ratably over the final year of the agreement. In the first quarter of 2011 and 2010, we recognized $7.9 million and $10.0 million, respectively, of technology licensing revenue related to these agreements. As of March 31, 2011, $168.7 million of technology licensing payments received from Astellas was deferred and will be recognized as revenue in future periods.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2" w:right="199" w:bottom="1440" w:gutter="0" w:footer="0" w:header="0"/>
        </w:sectPr>
      </w:pPr>
    </w:p>
    <w:bookmarkStart w:id="30" w:name="page31"/>
    <w:bookmarkEnd w:id="30"/>
    <w:p>
      <w:pPr>
        <w:spacing w:after="0"/>
        <w:rPr>
          <w:sz w:val="20"/>
          <w:szCs w:val="20"/>
          <w:color w:val="auto"/>
        </w:rPr>
      </w:pPr>
      <w:r>
        <w:rPr>
          <w:rFonts w:ascii="Arial" w:cs="Arial" w:eastAsia="Arial" w:hAnsi="Arial"/>
          <w:sz w:val="13"/>
          <w:szCs w:val="13"/>
          <w:i w:val="1"/>
          <w:iCs w:val="1"/>
          <w:color w:val="auto"/>
        </w:rPr>
        <w:t>Net Product Sales</w:t>
      </w:r>
    </w:p>
    <w:p>
      <w:pPr>
        <w:spacing w:after="0" w:line="160" w:lineRule="exact"/>
        <w:rPr>
          <w:sz w:val="20"/>
          <w:szCs w:val="20"/>
          <w:color w:val="auto"/>
        </w:rPr>
      </w:pPr>
    </w:p>
    <w:p>
      <w:pPr>
        <w:jc w:val="both"/>
        <w:ind w:right="20" w:firstLine="171"/>
        <w:spacing w:after="0" w:line="226" w:lineRule="auto"/>
        <w:rPr>
          <w:sz w:val="20"/>
          <w:szCs w:val="20"/>
          <w:color w:val="auto"/>
        </w:rPr>
      </w:pPr>
      <w:r>
        <w:rPr>
          <w:rFonts w:ascii="Arial" w:cs="Arial" w:eastAsia="Arial" w:hAnsi="Arial"/>
          <w:sz w:val="12"/>
          <w:szCs w:val="12"/>
          <w:color w:val="auto"/>
        </w:rPr>
        <w:t>For the three months ended March 31, 2011 and 2010, we recognized as revenue $4.4 million and $9.9 million, respectively, of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net product sales. We had limited historical return experience for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beginning with initial sales in 2008 through the end of 2009; therefore,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net product sales were deferred until the right of return no longer existed and rebates could be reasonably estimated. Effective in the first quarter of 2010, we determined that we had accumulated sufficient historical data to reasonably estimate both product returns and rebates of ARCALYST</w:t>
      </w:r>
      <w:r>
        <w:rPr>
          <w:rFonts w:ascii="Arial" w:cs="Arial" w:eastAsia="Arial" w:hAnsi="Arial"/>
          <w:sz w:val="16"/>
          <w:szCs w:val="16"/>
          <w:color w:val="auto"/>
          <w:vertAlign w:val="superscript"/>
        </w:rPr>
        <w:t>®</w:t>
      </w:r>
      <w:r>
        <w:rPr>
          <w:rFonts w:ascii="Arial" w:cs="Arial" w:eastAsia="Arial" w:hAnsi="Arial"/>
          <w:sz w:val="12"/>
          <w:szCs w:val="12"/>
          <w:color w:val="auto"/>
        </w:rPr>
        <w:t>. As a result, $4.8 million of previously deferred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net product sales were recognized as revenue in the first quarter of 2010. At March 31, 2011 and 2010, there was no deferred revenue related to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net product sales.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 Research and Other Revenue</w:t>
      </w:r>
    </w:p>
    <w:p>
      <w:pPr>
        <w:spacing w:after="0" w:line="200" w:lineRule="exact"/>
        <w:rPr>
          <w:sz w:val="20"/>
          <w:szCs w:val="20"/>
          <w:color w:val="auto"/>
        </w:rPr>
      </w:pPr>
    </w:p>
    <w:p>
      <w:pPr>
        <w:jc w:val="both"/>
        <w:ind w:firstLine="223"/>
        <w:spacing w:after="0" w:line="266" w:lineRule="auto"/>
        <w:rPr>
          <w:sz w:val="20"/>
          <w:szCs w:val="20"/>
          <w:color w:val="auto"/>
        </w:rPr>
      </w:pPr>
      <w:r>
        <w:rPr>
          <w:rFonts w:ascii="Arial" w:cs="Arial" w:eastAsia="Arial" w:hAnsi="Arial"/>
          <w:sz w:val="13"/>
          <w:szCs w:val="13"/>
          <w:color w:val="auto"/>
        </w:rPr>
        <w:t>Contract research and other revenue for the three months ended March 31, 2011 and 2010 included $1.0 million and $1.1 million, respectively, recognized in connection with our five-year grant from the NIH, which we were awarded in September 2006 as part of the NIH’s Knockout Mouse Project.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200" w:lineRule="exact"/>
        <w:rPr>
          <w:sz w:val="20"/>
          <w:szCs w:val="20"/>
          <w:color w:val="auto"/>
        </w:rPr>
      </w:pPr>
    </w:p>
    <w:p>
      <w:pPr>
        <w:jc w:val="both"/>
        <w:ind w:right="20" w:firstLine="204"/>
        <w:spacing w:after="0" w:line="309" w:lineRule="auto"/>
        <w:rPr>
          <w:sz w:val="20"/>
          <w:szCs w:val="20"/>
          <w:color w:val="auto"/>
        </w:rPr>
      </w:pPr>
      <w:r>
        <w:rPr>
          <w:rFonts w:ascii="Arial" w:cs="Arial" w:eastAsia="Arial" w:hAnsi="Arial"/>
          <w:sz w:val="12"/>
          <w:szCs w:val="12"/>
          <w:color w:val="auto"/>
        </w:rPr>
        <w:t>Total operating expenses increased to $153.2 million in the first quarter of 2011 from $132.4 million in the first quarter of 2010. Our average headcount in the first quarter of 2011 increased to 1,432 from 1,087 in the same period of 2010 principally as a result of our expanding research and development activities, which were primarily attributable to our antibody collaboration with sanofi-aventis.</w:t>
      </w:r>
    </w:p>
    <w:p>
      <w:pPr>
        <w:spacing w:after="0" w:line="149" w:lineRule="exact"/>
        <w:rPr>
          <w:sz w:val="20"/>
          <w:szCs w:val="20"/>
          <w:color w:val="auto"/>
        </w:rPr>
      </w:pPr>
    </w:p>
    <w:p>
      <w:pPr>
        <w:jc w:val="both"/>
        <w:ind w:right="20" w:firstLine="194"/>
        <w:spacing w:after="0" w:line="266" w:lineRule="auto"/>
        <w:rPr>
          <w:sz w:val="20"/>
          <w:szCs w:val="20"/>
          <w:color w:val="auto"/>
        </w:rPr>
      </w:pPr>
      <w:r>
        <w:rPr>
          <w:rFonts w:ascii="Arial" w:cs="Arial" w:eastAsia="Arial" w:hAnsi="Arial"/>
          <w:sz w:val="13"/>
          <w:szCs w:val="13"/>
          <w:color w:val="auto"/>
        </w:rPr>
        <w:t>Operating expenses in the first quarter of 2011 and 2010 included a total of $14.8 million and $8.8 million, respectively, of non-cash compensation expense related to employee stock option and restricted stock awards (Non-cash Compensation Expense), as detailed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jc w:val="right"/>
              <w:ind w:right="217"/>
              <w:spacing w:after="0"/>
              <w:rPr>
                <w:sz w:val="20"/>
                <w:szCs w:val="20"/>
                <w:color w:val="auto"/>
              </w:rPr>
            </w:pPr>
            <w:r>
              <w:rPr>
                <w:rFonts w:ascii="Arial" w:cs="Arial" w:eastAsia="Arial" w:hAnsi="Arial"/>
                <w:sz w:val="13"/>
                <w:szCs w:val="13"/>
                <w:b w:val="1"/>
                <w:bCs w:val="1"/>
                <w:color w:val="auto"/>
                <w:w w:val="93"/>
              </w:rPr>
              <w:t>For the three months ended March 31, 2011</w:t>
            </w:r>
          </w:p>
        </w:tc>
      </w:tr>
      <w:tr>
        <w:trPr>
          <w:trHeight w:val="159"/>
        </w:trPr>
        <w:tc>
          <w:tcPr>
            <w:tcW w:w="50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Expenses before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4"/>
        </w:trPr>
        <w:tc>
          <w:tcPr>
            <w:tcW w:w="50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w w:val="89"/>
              </w:rPr>
              <w:t>inclusion of Non-cash</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Non-cash</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46"/>
        </w:trPr>
        <w:tc>
          <w:tcPr>
            <w:tcW w:w="500" w:type="dxa"/>
            <w:vAlign w:val="bottom"/>
            <w:tcBorders>
              <w:bottom w:val="single" w:sz="8" w:color="auto"/>
            </w:tcBorders>
          </w:tcPr>
          <w:p>
            <w:pPr>
              <w:spacing w:after="0" w:line="147" w:lineRule="exact"/>
              <w:rPr>
                <w:sz w:val="20"/>
                <w:szCs w:val="20"/>
                <w:color w:val="auto"/>
              </w:rPr>
            </w:pPr>
            <w:r>
              <w:rPr>
                <w:rFonts w:ascii="Arial" w:cs="Arial" w:eastAsia="Arial" w:hAnsi="Arial"/>
                <w:sz w:val="13"/>
                <w:szCs w:val="13"/>
                <w:b w:val="1"/>
                <w:bCs w:val="1"/>
                <w:color w:val="auto"/>
                <w:w w:val="79"/>
              </w:rPr>
              <w:t>Expenses</w:t>
            </w: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7" w:lineRule="exact"/>
              <w:rPr>
                <w:sz w:val="20"/>
                <w:szCs w:val="20"/>
                <w:color w:val="auto"/>
              </w:rPr>
            </w:pPr>
            <w:r>
              <w:rPr>
                <w:rFonts w:ascii="Arial" w:cs="Arial" w:eastAsia="Arial" w:hAnsi="Arial"/>
                <w:sz w:val="13"/>
                <w:szCs w:val="13"/>
                <w:b w:val="1"/>
                <w:bCs w:val="1"/>
                <w:color w:val="auto"/>
                <w:w w:val="86"/>
              </w:rPr>
              <w:t>Compensation</w:t>
            </w:r>
          </w:p>
        </w:tc>
        <w:tc>
          <w:tcPr>
            <w:tcW w:w="80" w:type="dxa"/>
            <w:vAlign w:val="bottom"/>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Compensation</w:t>
            </w:r>
          </w:p>
        </w:tc>
        <w:tc>
          <w:tcPr>
            <w:tcW w:w="64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w w:val="78"/>
              </w:rPr>
              <w:t>Expenses as</w:t>
            </w:r>
          </w:p>
        </w:tc>
      </w:tr>
      <w:tr>
        <w:trPr>
          <w:trHeight w:val="188"/>
        </w:trPr>
        <w:tc>
          <w:tcPr>
            <w:tcW w:w="7420" w:type="dxa"/>
            <w:vAlign w:val="bottom"/>
            <w:tcBorders>
              <w:bottom w:val="single" w:sz="8" w:color="C0C0C0"/>
            </w:tcBorders>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Expense</w:t>
            </w:r>
          </w:p>
        </w:tc>
        <w:tc>
          <w:tcPr>
            <w:tcW w:w="80" w:type="dxa"/>
            <w:vAlign w:val="bottom"/>
            <w:tcBorders>
              <w:bottom w:val="single" w:sz="8" w:color="C0C0C0"/>
            </w:tcBorders>
          </w:tcPr>
          <w:p>
            <w:pPr>
              <w:spacing w:after="0"/>
              <w:rPr>
                <w:sz w:val="16"/>
                <w:szCs w:val="16"/>
                <w:color w:val="auto"/>
              </w:rPr>
            </w:pPr>
          </w:p>
        </w:tc>
        <w:tc>
          <w:tcPr>
            <w:tcW w:w="8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Expense</w:t>
            </w:r>
          </w:p>
        </w:tc>
        <w:tc>
          <w:tcPr>
            <w:tcW w:w="160" w:type="dxa"/>
            <w:vAlign w:val="bottom"/>
            <w:tcBorders>
              <w:bottom w:val="single" w:sz="8" w:color="C0C0C0"/>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4"/>
              </w:rPr>
              <w:t>Reported</w:t>
            </w:r>
          </w:p>
        </w:tc>
      </w:tr>
      <w:tr>
        <w:trPr>
          <w:trHeight w:val="170"/>
        </w:trPr>
        <w:tc>
          <w:tcPr>
            <w:tcW w:w="742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Research and development</w:t>
            </w:r>
          </w:p>
        </w:tc>
        <w:tc>
          <w:tcPr>
            <w:tcW w:w="100" w:type="dxa"/>
            <w:vAlign w:val="bottom"/>
            <w:shd w:val="clear" w:color="auto" w:fill="C0C0C0"/>
          </w:tcPr>
          <w:p>
            <w:pPr>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121.6</w:t>
            </w:r>
          </w:p>
        </w:tc>
        <w:tc>
          <w:tcPr>
            <w:tcW w:w="180" w:type="dxa"/>
            <w:vAlign w:val="bottom"/>
            <w:gridSpan w:val="2"/>
            <w:shd w:val="clear" w:color="auto" w:fill="C0C0C0"/>
          </w:tcPr>
          <w:p>
            <w:pPr>
              <w:ind w:lef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7.8</w:t>
            </w:r>
          </w:p>
        </w:tc>
        <w:tc>
          <w:tcPr>
            <w:tcW w:w="16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129.4</w:t>
            </w:r>
          </w:p>
        </w:tc>
      </w:tr>
      <w:tr>
        <w:trPr>
          <w:trHeight w:val="169"/>
        </w:trPr>
        <w:tc>
          <w:tcPr>
            <w:tcW w:w="7420" w:type="dxa"/>
            <w:vAlign w:val="bottom"/>
            <w:gridSpan w:val="2"/>
          </w:tcPr>
          <w:p>
            <w:pPr>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23.4</w:t>
            </w:r>
          </w:p>
        </w:tc>
      </w:tr>
      <w:tr>
        <w:trPr>
          <w:trHeight w:val="175"/>
        </w:trPr>
        <w:tc>
          <w:tcPr>
            <w:tcW w:w="742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Cost of goods sold</w:t>
            </w:r>
          </w:p>
        </w:tc>
        <w:tc>
          <w:tcPr>
            <w:tcW w:w="100" w:type="dxa"/>
            <w:vAlign w:val="bottom"/>
            <w:tcBorders>
              <w:bottom w:val="single" w:sz="8" w:color="auto"/>
            </w:tcBorders>
            <w:shd w:val="clear" w:color="auto" w:fill="C0C0C0"/>
          </w:tcPr>
          <w:p>
            <w:pPr>
              <w:spacing w:after="0"/>
              <w:rPr>
                <w:sz w:val="15"/>
                <w:szCs w:val="15"/>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100" w:type="dxa"/>
            <w:vAlign w:val="bottom"/>
            <w:tcBorders>
              <w:bottom w:val="single" w:sz="8" w:color="auto"/>
            </w:tcBorders>
            <w:shd w:val="clear" w:color="auto" w:fill="C0C0C0"/>
          </w:tcPr>
          <w:p>
            <w:pPr>
              <w:spacing w:after="0"/>
              <w:rPr>
                <w:sz w:val="15"/>
                <w:szCs w:val="15"/>
                <w:color w:val="auto"/>
              </w:rPr>
            </w:pPr>
          </w:p>
        </w:tc>
        <w:tc>
          <w:tcPr>
            <w:tcW w:w="680" w:type="dxa"/>
            <w:vAlign w:val="bottom"/>
            <w:tcBorders>
              <w:bottom w:val="single" w:sz="8" w:color="auto"/>
            </w:tcBorders>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60" w:type="dxa"/>
            <w:vAlign w:val="bottom"/>
            <w:tcBorders>
              <w:bottom w:val="single" w:sz="8" w:color="auto"/>
            </w:tcBorders>
            <w:shd w:val="clear" w:color="auto" w:fill="C0C0C0"/>
          </w:tcPr>
          <w:p>
            <w:pPr>
              <w:spacing w:after="0"/>
              <w:rPr>
                <w:sz w:val="15"/>
                <w:szCs w:val="15"/>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0.4</w:t>
            </w:r>
          </w:p>
        </w:tc>
      </w:tr>
      <w:tr>
        <w:trPr>
          <w:trHeight w:val="169"/>
        </w:trPr>
        <w:tc>
          <w:tcPr>
            <w:tcW w:w="7420" w:type="dxa"/>
            <w:vAlign w:val="bottom"/>
            <w:gridSpan w:val="2"/>
          </w:tcPr>
          <w:p>
            <w:pPr>
              <w:ind w:left="2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138.4</w:t>
            </w:r>
          </w:p>
        </w:tc>
        <w:tc>
          <w:tcPr>
            <w:tcW w:w="1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153.2</w:t>
            </w:r>
          </w:p>
        </w:tc>
      </w:tr>
      <w:tr>
        <w:trPr>
          <w:trHeight w:val="344"/>
        </w:trPr>
        <w:tc>
          <w:tcPr>
            <w:tcW w:w="5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217"/>
              <w:spacing w:after="0"/>
              <w:rPr>
                <w:sz w:val="20"/>
                <w:szCs w:val="20"/>
                <w:color w:val="auto"/>
              </w:rPr>
            </w:pPr>
            <w:r>
              <w:rPr>
                <w:rFonts w:ascii="Arial" w:cs="Arial" w:eastAsia="Arial" w:hAnsi="Arial"/>
                <w:sz w:val="13"/>
                <w:szCs w:val="13"/>
                <w:b w:val="1"/>
                <w:bCs w:val="1"/>
                <w:color w:val="auto"/>
                <w:w w:val="93"/>
              </w:rPr>
              <w:t>For the three months ended March 31, 2010</w:t>
            </w:r>
          </w:p>
        </w:tc>
      </w:tr>
      <w:tr>
        <w:trPr>
          <w:trHeight w:val="159"/>
        </w:trPr>
        <w:tc>
          <w:tcPr>
            <w:tcW w:w="50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Expenses before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4"/>
        </w:trPr>
        <w:tc>
          <w:tcPr>
            <w:tcW w:w="50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w w:val="89"/>
              </w:rPr>
              <w:t>inclusion of Non-cash</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Non-cash</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46"/>
        </w:trPr>
        <w:tc>
          <w:tcPr>
            <w:tcW w:w="500" w:type="dxa"/>
            <w:vAlign w:val="bottom"/>
            <w:tcBorders>
              <w:bottom w:val="single" w:sz="8" w:color="auto"/>
            </w:tcBorders>
          </w:tcPr>
          <w:p>
            <w:pPr>
              <w:spacing w:after="0" w:line="147" w:lineRule="exact"/>
              <w:rPr>
                <w:sz w:val="20"/>
                <w:szCs w:val="20"/>
                <w:color w:val="auto"/>
              </w:rPr>
            </w:pPr>
            <w:r>
              <w:rPr>
                <w:rFonts w:ascii="Arial" w:cs="Arial" w:eastAsia="Arial" w:hAnsi="Arial"/>
                <w:sz w:val="13"/>
                <w:szCs w:val="13"/>
                <w:b w:val="1"/>
                <w:bCs w:val="1"/>
                <w:color w:val="auto"/>
                <w:w w:val="79"/>
              </w:rPr>
              <w:t>Expenses</w:t>
            </w: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7" w:lineRule="exact"/>
              <w:rPr>
                <w:sz w:val="20"/>
                <w:szCs w:val="20"/>
                <w:color w:val="auto"/>
              </w:rPr>
            </w:pPr>
            <w:r>
              <w:rPr>
                <w:rFonts w:ascii="Arial" w:cs="Arial" w:eastAsia="Arial" w:hAnsi="Arial"/>
                <w:sz w:val="13"/>
                <w:szCs w:val="13"/>
                <w:b w:val="1"/>
                <w:bCs w:val="1"/>
                <w:color w:val="auto"/>
                <w:w w:val="86"/>
              </w:rPr>
              <w:t>Compensation</w:t>
            </w:r>
          </w:p>
        </w:tc>
        <w:tc>
          <w:tcPr>
            <w:tcW w:w="80" w:type="dxa"/>
            <w:vAlign w:val="bottom"/>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Compensation</w:t>
            </w:r>
          </w:p>
        </w:tc>
        <w:tc>
          <w:tcPr>
            <w:tcW w:w="64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w w:val="78"/>
              </w:rPr>
              <w:t>Expenses as</w:t>
            </w:r>
          </w:p>
        </w:tc>
      </w:tr>
      <w:tr>
        <w:trPr>
          <w:trHeight w:val="188"/>
        </w:trPr>
        <w:tc>
          <w:tcPr>
            <w:tcW w:w="7420" w:type="dxa"/>
            <w:vAlign w:val="bottom"/>
            <w:tcBorders>
              <w:bottom w:val="single" w:sz="8" w:color="C0C0C0"/>
            </w:tcBorders>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Expense</w:t>
            </w:r>
          </w:p>
        </w:tc>
        <w:tc>
          <w:tcPr>
            <w:tcW w:w="80" w:type="dxa"/>
            <w:vAlign w:val="bottom"/>
            <w:tcBorders>
              <w:bottom w:val="single" w:sz="8" w:color="C0C0C0"/>
            </w:tcBorders>
          </w:tcPr>
          <w:p>
            <w:pPr>
              <w:spacing w:after="0"/>
              <w:rPr>
                <w:sz w:val="16"/>
                <w:szCs w:val="16"/>
                <w:color w:val="auto"/>
              </w:rPr>
            </w:pPr>
          </w:p>
        </w:tc>
        <w:tc>
          <w:tcPr>
            <w:tcW w:w="8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Expense</w:t>
            </w:r>
          </w:p>
        </w:tc>
        <w:tc>
          <w:tcPr>
            <w:tcW w:w="160" w:type="dxa"/>
            <w:vAlign w:val="bottom"/>
            <w:tcBorders>
              <w:bottom w:val="single" w:sz="8" w:color="C0C0C0"/>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4"/>
              </w:rPr>
              <w:t>Reported</w:t>
            </w:r>
          </w:p>
        </w:tc>
      </w:tr>
      <w:tr>
        <w:trPr>
          <w:trHeight w:val="170"/>
        </w:trPr>
        <w:tc>
          <w:tcPr>
            <w:tcW w:w="742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Research and development</w:t>
            </w:r>
          </w:p>
        </w:tc>
        <w:tc>
          <w:tcPr>
            <w:tcW w:w="100" w:type="dxa"/>
            <w:vAlign w:val="bottom"/>
            <w:shd w:val="clear" w:color="auto" w:fill="C0C0C0"/>
          </w:tcPr>
          <w:p>
            <w:pPr>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112.5</w:t>
            </w:r>
          </w:p>
        </w:tc>
        <w:tc>
          <w:tcPr>
            <w:tcW w:w="180" w:type="dxa"/>
            <w:vAlign w:val="bottom"/>
            <w:gridSpan w:val="2"/>
            <w:shd w:val="clear" w:color="auto" w:fill="C0C0C0"/>
          </w:tcPr>
          <w:p>
            <w:pPr>
              <w:ind w:lef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5.0</w:t>
            </w:r>
          </w:p>
        </w:tc>
        <w:tc>
          <w:tcPr>
            <w:tcW w:w="16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117.5</w:t>
            </w:r>
          </w:p>
        </w:tc>
      </w:tr>
      <w:tr>
        <w:trPr>
          <w:trHeight w:val="169"/>
        </w:trPr>
        <w:tc>
          <w:tcPr>
            <w:tcW w:w="7420" w:type="dxa"/>
            <w:vAlign w:val="bottom"/>
            <w:gridSpan w:val="2"/>
          </w:tcPr>
          <w:p>
            <w:pPr>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14.2</w:t>
            </w:r>
          </w:p>
        </w:tc>
      </w:tr>
      <w:tr>
        <w:trPr>
          <w:trHeight w:val="175"/>
        </w:trPr>
        <w:tc>
          <w:tcPr>
            <w:tcW w:w="742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Cost of goods sold</w:t>
            </w:r>
          </w:p>
        </w:tc>
        <w:tc>
          <w:tcPr>
            <w:tcW w:w="100" w:type="dxa"/>
            <w:vAlign w:val="bottom"/>
            <w:tcBorders>
              <w:bottom w:val="single" w:sz="8" w:color="auto"/>
            </w:tcBorders>
            <w:shd w:val="clear" w:color="auto" w:fill="C0C0C0"/>
          </w:tcPr>
          <w:p>
            <w:pPr>
              <w:spacing w:after="0"/>
              <w:rPr>
                <w:sz w:val="15"/>
                <w:szCs w:val="15"/>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0.7</w:t>
            </w:r>
          </w:p>
        </w:tc>
        <w:tc>
          <w:tcPr>
            <w:tcW w:w="8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100" w:type="dxa"/>
            <w:vAlign w:val="bottom"/>
            <w:tcBorders>
              <w:bottom w:val="single" w:sz="8" w:color="auto"/>
            </w:tcBorders>
            <w:shd w:val="clear" w:color="auto" w:fill="C0C0C0"/>
          </w:tcPr>
          <w:p>
            <w:pPr>
              <w:spacing w:after="0"/>
              <w:rPr>
                <w:sz w:val="15"/>
                <w:szCs w:val="15"/>
                <w:color w:val="auto"/>
              </w:rPr>
            </w:pPr>
          </w:p>
        </w:tc>
        <w:tc>
          <w:tcPr>
            <w:tcW w:w="680" w:type="dxa"/>
            <w:vAlign w:val="bottom"/>
            <w:tcBorders>
              <w:bottom w:val="single" w:sz="8" w:color="auto"/>
            </w:tcBorders>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60" w:type="dxa"/>
            <w:vAlign w:val="bottom"/>
            <w:tcBorders>
              <w:bottom w:val="single" w:sz="8" w:color="auto"/>
            </w:tcBorders>
            <w:shd w:val="clear" w:color="auto" w:fill="C0C0C0"/>
          </w:tcPr>
          <w:p>
            <w:pPr>
              <w:spacing w:after="0"/>
              <w:rPr>
                <w:sz w:val="15"/>
                <w:szCs w:val="15"/>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0.7</w:t>
            </w:r>
          </w:p>
        </w:tc>
      </w:tr>
      <w:tr>
        <w:trPr>
          <w:trHeight w:val="169"/>
        </w:trPr>
        <w:tc>
          <w:tcPr>
            <w:tcW w:w="7420" w:type="dxa"/>
            <w:vAlign w:val="bottom"/>
            <w:gridSpan w:val="2"/>
          </w:tcPr>
          <w:p>
            <w:pPr>
              <w:ind w:left="220"/>
              <w:spacing w:after="0"/>
              <w:rPr>
                <w:sz w:val="20"/>
                <w:szCs w:val="20"/>
                <w:color w:val="auto"/>
              </w:rPr>
            </w:pPr>
            <w:r>
              <w:rPr>
                <w:rFonts w:ascii="Arial" w:cs="Arial" w:eastAsia="Arial" w:hAnsi="Arial"/>
                <w:sz w:val="13"/>
                <w:szCs w:val="13"/>
                <w:color w:val="auto"/>
              </w:rPr>
              <w:t>Total operating expenses</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123.6</w:t>
            </w:r>
          </w:p>
        </w:tc>
        <w:tc>
          <w:tcPr>
            <w:tcW w:w="8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132.4</w:t>
            </w:r>
          </w:p>
        </w:tc>
      </w:tr>
      <w:tr>
        <w:trPr>
          <w:trHeight w:val="20"/>
        </w:trPr>
        <w:tc>
          <w:tcPr>
            <w:tcW w:w="5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ind w:right="20" w:firstLine="262"/>
        <w:spacing w:after="0" w:line="258" w:lineRule="auto"/>
        <w:rPr>
          <w:sz w:val="20"/>
          <w:szCs w:val="20"/>
          <w:color w:val="auto"/>
        </w:rPr>
      </w:pPr>
      <w:r>
        <w:rPr>
          <w:rFonts w:ascii="Arial" w:cs="Arial" w:eastAsia="Arial" w:hAnsi="Arial"/>
          <w:sz w:val="13"/>
          <w:szCs w:val="13"/>
          <w:color w:val="auto"/>
        </w:rPr>
        <w:t>The increase in total Non-cash Compensation Expense in the first quarter of 2011 was primarily attributable to (i) the recognition of higher expense in the first quarter of 2011 in connection with previously granted performance-based stock options that we estimate will vest, (ii) the higher fair market value of our Common Stock on the date of our annual employee option grants made in December 2010 compared to recent prior years, and (iii) the recognition of higher expense related to grants of restricted stock in December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83" w:right="199" w:bottom="1440" w:gutter="0" w:footer="0" w:header="0"/>
        </w:sectPr>
      </w:pPr>
    </w:p>
    <w:bookmarkStart w:id="31" w:name="page32"/>
    <w:bookmarkEnd w:id="31"/>
    <w:p>
      <w:pPr>
        <w:spacing w:after="0"/>
        <w:rPr>
          <w:sz w:val="20"/>
          <w:szCs w:val="20"/>
          <w:color w:val="auto"/>
        </w:rPr>
      </w:pPr>
      <w:r>
        <w:rPr>
          <w:rFonts w:ascii="Arial" w:cs="Arial" w:eastAsia="Arial" w:hAnsi="Arial"/>
          <w:sz w:val="13"/>
          <w:szCs w:val="13"/>
          <w:i w:val="1"/>
          <w:iCs w:val="1"/>
          <w:color w:val="auto"/>
        </w:rPr>
        <w:t>Research and Development Expenses</w:t>
      </w:r>
    </w:p>
    <w:p>
      <w:pPr>
        <w:spacing w:after="0" w:line="161" w:lineRule="exact"/>
        <w:rPr>
          <w:sz w:val="20"/>
          <w:szCs w:val="20"/>
          <w:color w:val="auto"/>
        </w:rPr>
      </w:pPr>
    </w:p>
    <w:p>
      <w:pPr>
        <w:ind w:right="20" w:firstLine="227"/>
        <w:spacing w:after="0" w:line="266" w:lineRule="auto"/>
        <w:rPr>
          <w:sz w:val="20"/>
          <w:szCs w:val="20"/>
          <w:color w:val="auto"/>
        </w:rPr>
      </w:pPr>
      <w:r>
        <w:rPr>
          <w:rFonts w:ascii="Arial" w:cs="Arial" w:eastAsia="Arial" w:hAnsi="Arial"/>
          <w:sz w:val="13"/>
          <w:szCs w:val="13"/>
          <w:color w:val="auto"/>
        </w:rPr>
        <w:t>Research and development expenses increased to $129.4 million in the first quarter of 2011 from $117.5 million in the same period of 2010. The following table summarizes the major categories of our research and development expenses for the three months ended March 31, 2011 and 2010: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2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w w:val="87"/>
              </w:rPr>
              <w:t>For the three months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00" w:type="dxa"/>
            <w:vAlign w:val="bottom"/>
            <w:tcBorders>
              <w:bottom w:val="single" w:sz="8" w:color="auto"/>
            </w:tcBorders>
          </w:tcPr>
          <w:p>
            <w:pPr>
              <w:spacing w:after="0" w:line="147" w:lineRule="exact"/>
              <w:rPr>
                <w:sz w:val="20"/>
                <w:szCs w:val="20"/>
                <w:color w:val="auto"/>
              </w:rPr>
            </w:pPr>
            <w:r>
              <w:rPr>
                <w:rFonts w:ascii="Arial" w:cs="Arial" w:eastAsia="Arial" w:hAnsi="Arial"/>
                <w:sz w:val="13"/>
                <w:szCs w:val="13"/>
                <w:b w:val="1"/>
                <w:bCs w:val="1"/>
                <w:color w:val="auto"/>
                <w:w w:val="84"/>
              </w:rPr>
              <w:t>Research and Development Expenses</w:t>
            </w:r>
          </w:p>
        </w:tc>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spacing w:after="0" w:line="147" w:lineRule="exact"/>
              <w:rPr>
                <w:sz w:val="20"/>
                <w:szCs w:val="20"/>
                <w:color w:val="auto"/>
              </w:rPr>
            </w:pPr>
            <w:r>
              <w:rPr>
                <w:rFonts w:ascii="Arial" w:cs="Arial" w:eastAsia="Arial" w:hAnsi="Arial"/>
                <w:sz w:val="13"/>
                <w:szCs w:val="13"/>
                <w:b w:val="1"/>
                <w:bCs w:val="1"/>
                <w:color w:val="auto"/>
              </w:rPr>
              <w:t>March 31,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77"/>
              <w:spacing w:after="0" w:line="147"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4"/>
              </w:rPr>
              <w:t>(Decrease)</w:t>
            </w:r>
          </w:p>
        </w:tc>
        <w:tc>
          <w:tcPr>
            <w:tcW w:w="0" w:type="dxa"/>
            <w:vAlign w:val="bottom"/>
          </w:tcPr>
          <w:p>
            <w:pPr>
              <w:spacing w:after="0" w:line="20" w:lineRule="exact"/>
              <w:rPr>
                <w:sz w:val="1"/>
                <w:szCs w:val="1"/>
                <w:color w:val="auto"/>
              </w:rPr>
            </w:pPr>
          </w:p>
        </w:tc>
      </w:tr>
      <w:tr>
        <w:trPr>
          <w:trHeight w:val="158"/>
        </w:trPr>
        <w:tc>
          <w:tcPr>
            <w:tcW w:w="7900" w:type="dxa"/>
            <w:vAlign w:val="bottom"/>
            <w:tcBorders>
              <w:bottom w:val="single" w:sz="8" w:color="C0C0C0"/>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C0C0C0"/>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9"/>
              </w:rPr>
              <w:t>2010</w:t>
            </w:r>
          </w:p>
        </w:tc>
        <w:tc>
          <w:tcPr>
            <w:tcW w:w="80" w:type="dxa"/>
            <w:vAlign w:val="bottom"/>
            <w:tcBorders>
              <w:bottom w:val="single" w:sz="8" w:color="C0C0C0"/>
            </w:tcBorders>
          </w:tcPr>
          <w:p>
            <w:pPr>
              <w:spacing w:after="0"/>
              <w:rPr>
                <w:sz w:val="13"/>
                <w:szCs w:val="13"/>
                <w:color w:val="auto"/>
              </w:rPr>
            </w:pPr>
          </w:p>
        </w:tc>
        <w:tc>
          <w:tcPr>
            <w:tcW w:w="140" w:type="dxa"/>
            <w:vAlign w:val="bottom"/>
            <w:tcBorders>
              <w:bottom w:val="single" w:sz="8" w:color="C0C0C0"/>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9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Payroll and benefits (1)</w:t>
            </w:r>
          </w:p>
        </w:tc>
        <w:tc>
          <w:tcPr>
            <w:tcW w:w="140" w:type="dxa"/>
            <w:vAlign w:val="bottom"/>
            <w:shd w:val="clear" w:color="auto" w:fill="C0C0C0"/>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42.6</w:t>
            </w:r>
          </w:p>
        </w:tc>
        <w:tc>
          <w:tcPr>
            <w:tcW w:w="220" w:type="dxa"/>
            <w:vAlign w:val="bottom"/>
            <w:shd w:val="clear" w:color="auto" w:fill="C0C0C0"/>
          </w:tcPr>
          <w:p>
            <w:pPr>
              <w:spacing w:after="0"/>
              <w:rPr>
                <w:sz w:val="14"/>
                <w:szCs w:val="14"/>
                <w:color w:val="auto"/>
              </w:rPr>
            </w:pPr>
          </w:p>
        </w:tc>
        <w:tc>
          <w:tcPr>
            <w:tcW w:w="180" w:type="dxa"/>
            <w:vAlign w:val="bottom"/>
            <w:shd w:val="clear" w:color="auto" w:fill="C0C0C0"/>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27.7</w:t>
            </w:r>
          </w:p>
        </w:tc>
        <w:tc>
          <w:tcPr>
            <w:tcW w:w="14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69"/>
        </w:trPr>
        <w:tc>
          <w:tcPr>
            <w:tcW w:w="7900" w:type="dxa"/>
            <w:vAlign w:val="bottom"/>
            <w:gridSpan w:val="2"/>
          </w:tcPr>
          <w:p>
            <w:pPr>
              <w:spacing w:after="0"/>
              <w:rPr>
                <w:sz w:val="20"/>
                <w:szCs w:val="20"/>
                <w:color w:val="auto"/>
              </w:rPr>
            </w:pPr>
            <w:r>
              <w:rPr>
                <w:rFonts w:ascii="Arial" w:cs="Arial" w:eastAsia="Arial" w:hAnsi="Arial"/>
                <w:sz w:val="13"/>
                <w:szCs w:val="13"/>
                <w:color w:val="auto"/>
              </w:rPr>
              <w:t>Clinical trial expenses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32.2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80"/>
        </w:trPr>
        <w:tc>
          <w:tcPr>
            <w:tcW w:w="79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Clinical manufacturing costs (2)</w:t>
            </w:r>
          </w:p>
        </w:tc>
        <w:tc>
          <w:tcPr>
            <w:tcW w:w="140" w:type="dxa"/>
            <w:vAlign w:val="bottom"/>
            <w:shd w:val="clear" w:color="auto" w:fill="C0C0C0"/>
          </w:tcPr>
          <w:p>
            <w:pPr>
              <w:spacing w:after="0"/>
              <w:rPr>
                <w:sz w:val="15"/>
                <w:szCs w:val="15"/>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22.2</w:t>
            </w:r>
          </w:p>
        </w:tc>
        <w:tc>
          <w:tcPr>
            <w:tcW w:w="22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56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20.0</w:t>
            </w:r>
          </w:p>
        </w:tc>
        <w:tc>
          <w:tcPr>
            <w:tcW w:w="140" w:type="dxa"/>
            <w:vAlign w:val="bottom"/>
            <w:tcBorders>
              <w:right w:val="single" w:sz="8" w:color="C0C0C0"/>
            </w:tcBorders>
            <w:shd w:val="clear" w:color="auto" w:fill="C0C0C0"/>
          </w:tcPr>
          <w:p>
            <w:pPr>
              <w:spacing w:after="0"/>
              <w:rPr>
                <w:sz w:val="15"/>
                <w:szCs w:val="15"/>
                <w:color w:val="auto"/>
              </w:rPr>
            </w:pPr>
          </w:p>
        </w:tc>
        <w:tc>
          <w:tcPr>
            <w:tcW w:w="66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9"/>
        </w:trPr>
        <w:tc>
          <w:tcPr>
            <w:tcW w:w="7900" w:type="dxa"/>
            <w:vAlign w:val="bottom"/>
            <w:gridSpan w:val="2"/>
          </w:tcPr>
          <w:p>
            <w:pPr>
              <w:spacing w:after="0"/>
              <w:rPr>
                <w:sz w:val="20"/>
                <w:szCs w:val="20"/>
                <w:color w:val="auto"/>
              </w:rPr>
            </w:pPr>
            <w:r>
              <w:rPr>
                <w:rFonts w:ascii="Arial" w:cs="Arial" w:eastAsia="Arial" w:hAnsi="Arial"/>
                <w:sz w:val="13"/>
                <w:szCs w:val="13"/>
                <w:color w:val="auto"/>
              </w:rPr>
              <w:t>Research and other development costs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12.8</w:t>
            </w:r>
          </w:p>
        </w:tc>
        <w:tc>
          <w:tcPr>
            <w:tcW w:w="1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0"/>
        </w:trPr>
        <w:tc>
          <w:tcPr>
            <w:tcW w:w="79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Occupancy and other operating costs</w:t>
            </w:r>
          </w:p>
        </w:tc>
        <w:tc>
          <w:tcPr>
            <w:tcW w:w="140" w:type="dxa"/>
            <w:vAlign w:val="bottom"/>
            <w:shd w:val="clear" w:color="auto" w:fill="C0C0C0"/>
          </w:tcPr>
          <w:p>
            <w:pPr>
              <w:spacing w:after="0"/>
              <w:rPr>
                <w:sz w:val="15"/>
                <w:szCs w:val="15"/>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14.0</w:t>
            </w:r>
          </w:p>
        </w:tc>
        <w:tc>
          <w:tcPr>
            <w:tcW w:w="22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56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12.0</w:t>
            </w:r>
          </w:p>
        </w:tc>
        <w:tc>
          <w:tcPr>
            <w:tcW w:w="140" w:type="dxa"/>
            <w:vAlign w:val="bottom"/>
            <w:tcBorders>
              <w:right w:val="single" w:sz="8" w:color="C0C0C0"/>
            </w:tcBorders>
            <w:shd w:val="clear" w:color="auto" w:fill="C0C0C0"/>
          </w:tcPr>
          <w:p>
            <w:pPr>
              <w:spacing w:after="0"/>
              <w:rPr>
                <w:sz w:val="15"/>
                <w:szCs w:val="15"/>
                <w:color w:val="auto"/>
              </w:rPr>
            </w:pPr>
          </w:p>
        </w:tc>
        <w:tc>
          <w:tcPr>
            <w:tcW w:w="66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4"/>
        </w:trPr>
        <w:tc>
          <w:tcPr>
            <w:tcW w:w="7900" w:type="dxa"/>
            <w:vAlign w:val="bottom"/>
            <w:gridSpan w:val="2"/>
          </w:tcPr>
          <w:p>
            <w:pPr>
              <w:spacing w:after="0"/>
              <w:rPr>
                <w:sz w:val="20"/>
                <w:szCs w:val="20"/>
                <w:color w:val="auto"/>
              </w:rPr>
            </w:pPr>
            <w:r>
              <w:rPr>
                <w:rFonts w:ascii="Arial" w:cs="Arial" w:eastAsia="Arial" w:hAnsi="Arial"/>
                <w:sz w:val="13"/>
                <w:szCs w:val="13"/>
                <w:color w:val="auto"/>
              </w:rPr>
              <w:t>Cost-sharing of Bayer HealthCare VEGF Trap-</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00" w:type="dxa"/>
            <w:vAlign w:val="bottom"/>
            <w:gridSpan w:val="2"/>
          </w:tcPr>
          <w:p>
            <w:pPr>
              <w:ind w:left="220"/>
              <w:spacing w:after="0"/>
              <w:rPr>
                <w:sz w:val="20"/>
                <w:szCs w:val="20"/>
                <w:color w:val="auto"/>
              </w:rPr>
            </w:pPr>
            <w:r>
              <w:rPr>
                <w:rFonts w:ascii="Arial" w:cs="Arial" w:eastAsia="Arial" w:hAnsi="Arial"/>
                <w:sz w:val="13"/>
                <w:szCs w:val="13"/>
                <w:color w:val="auto"/>
              </w:rPr>
              <w:t>Eye development expenses (3)</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12.8</w:t>
            </w:r>
          </w:p>
        </w:tc>
        <w:tc>
          <w:tcPr>
            <w:tcW w:w="14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2000" w:type="dxa"/>
            <w:vAlign w:val="bottom"/>
            <w:shd w:val="clear" w:color="auto" w:fill="C0C0C0"/>
          </w:tcPr>
          <w:p>
            <w:pPr>
              <w:spacing w:after="0" w:line="20" w:lineRule="exact"/>
              <w:rPr>
                <w:sz w:val="1"/>
                <w:szCs w:val="1"/>
                <w:color w:val="auto"/>
              </w:rPr>
            </w:pPr>
          </w:p>
        </w:tc>
        <w:tc>
          <w:tcPr>
            <w:tcW w:w="59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tcBorders>
              <w:right w:val="single" w:sz="8" w:color="auto"/>
            </w:tcBorders>
            <w:shd w:val="clear" w:color="auto" w:fill="C0C0C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0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Total research and development expenses</w:t>
            </w:r>
          </w:p>
        </w:tc>
        <w:tc>
          <w:tcPr>
            <w:tcW w:w="140" w:type="dxa"/>
            <w:vAlign w:val="bottom"/>
            <w:shd w:val="clear" w:color="auto" w:fill="C0C0C0"/>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129.4</w:t>
            </w:r>
          </w:p>
        </w:tc>
        <w:tc>
          <w:tcPr>
            <w:tcW w:w="220" w:type="dxa"/>
            <w:vAlign w:val="bottom"/>
            <w:shd w:val="clear" w:color="auto" w:fill="C0C0C0"/>
          </w:tcPr>
          <w:p>
            <w:pPr>
              <w:spacing w:after="0"/>
              <w:rPr>
                <w:sz w:val="16"/>
                <w:szCs w:val="16"/>
                <w:color w:val="auto"/>
              </w:rPr>
            </w:pPr>
          </w:p>
        </w:tc>
        <w:tc>
          <w:tcPr>
            <w:tcW w:w="180" w:type="dxa"/>
            <w:vAlign w:val="bottom"/>
            <w:shd w:val="clear" w:color="auto" w:fill="C0C0C0"/>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117.5</w:t>
            </w:r>
          </w:p>
        </w:tc>
        <w:tc>
          <w:tcPr>
            <w:tcW w:w="14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6"/>
        </w:trPr>
        <w:tc>
          <w:tcPr>
            <w:tcW w:w="2000" w:type="dxa"/>
            <w:vAlign w:val="bottom"/>
            <w:tcBorders>
              <w:top w:val="single" w:sz="8" w:color="C0C0C0"/>
            </w:tcBorders>
          </w:tcPr>
          <w:p>
            <w:pPr>
              <w:spacing w:after="0" w:line="167" w:lineRule="exact"/>
              <w:rPr>
                <w:sz w:val="20"/>
                <w:szCs w:val="20"/>
                <w:color w:val="auto"/>
              </w:rPr>
            </w:pPr>
            <w:r>
              <w:rPr>
                <w:rFonts w:ascii="Arial" w:cs="Arial" w:eastAsia="Arial" w:hAnsi="Arial"/>
                <w:sz w:val="16"/>
                <w:szCs w:val="16"/>
                <w:color w:val="auto"/>
              </w:rPr>
              <w:t>____________________</w:t>
            </w:r>
          </w:p>
        </w:tc>
        <w:tc>
          <w:tcPr>
            <w:tcW w:w="5900" w:type="dxa"/>
            <w:vAlign w:val="bottom"/>
            <w:tcBorders>
              <w:top w:val="single" w:sz="8" w:color="C0C0C0"/>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C0C0C0"/>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C0C0C0"/>
            </w:tcBorders>
          </w:tcPr>
          <w:p>
            <w:pPr>
              <w:spacing w:after="0"/>
              <w:rPr>
                <w:sz w:val="14"/>
                <w:szCs w:val="14"/>
                <w:color w:val="auto"/>
              </w:rPr>
            </w:pPr>
          </w:p>
        </w:tc>
        <w:tc>
          <w:tcPr>
            <w:tcW w:w="140" w:type="dxa"/>
            <w:vAlign w:val="bottom"/>
            <w:tcBorders>
              <w:top w:val="single" w:sz="8" w:color="C0C0C0"/>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40" w:hanging="348"/>
        <w:spacing w:after="0"/>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$6.9 million and $4.3 million of Non-cash Compensation Expense for the three months ended March 31, 2011 and 2010, respectively.</w:t>
      </w:r>
    </w:p>
    <w:p>
      <w:pPr>
        <w:spacing w:after="0" w:line="180" w:lineRule="exact"/>
        <w:rPr>
          <w:rFonts w:ascii="Arial" w:cs="Arial" w:eastAsia="Arial" w:hAnsi="Arial"/>
          <w:sz w:val="13"/>
          <w:szCs w:val="13"/>
          <w:color w:val="auto"/>
        </w:rPr>
      </w:pPr>
    </w:p>
    <w:p>
      <w:pPr>
        <w:jc w:val="both"/>
        <w:ind w:left="540" w:right="20" w:hanging="348"/>
        <w:spacing w:after="0" w:line="258"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$0.9 million and $0.7 million of Non-cash Compensation Expense for the three months ended March 31, 2011 and 2010, respectively.</w:t>
      </w:r>
    </w:p>
    <w:p>
      <w:pPr>
        <w:spacing w:after="0" w:line="158" w:lineRule="exact"/>
        <w:rPr>
          <w:rFonts w:ascii="Arial" w:cs="Arial" w:eastAsia="Arial" w:hAnsi="Arial"/>
          <w:sz w:val="13"/>
          <w:szCs w:val="13"/>
          <w:color w:val="auto"/>
        </w:rPr>
      </w:pPr>
    </w:p>
    <w:p>
      <w:pPr>
        <w:jc w:val="both"/>
        <w:ind w:left="540" w:hanging="348"/>
        <w:spacing w:after="0" w:line="255"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fiscal quarter. Bayer HealthCare’s estimate is reconciled to its actual expenses for such quarter in the subsequent fiscal quarter and our portion of its VEGF Trap-Eye development expenses that we are obligated to reimburse is adjusted accordingly.</w:t>
      </w:r>
    </w:p>
    <w:p>
      <w:pPr>
        <w:spacing w:after="0" w:line="180" w:lineRule="exact"/>
        <w:rPr>
          <w:sz w:val="20"/>
          <w:szCs w:val="20"/>
          <w:color w:val="auto"/>
        </w:rPr>
      </w:pPr>
    </w:p>
    <w:p>
      <w:pPr>
        <w:jc w:val="both"/>
        <w:ind w:firstLine="214"/>
        <w:spacing w:after="0" w:line="248" w:lineRule="auto"/>
        <w:rPr>
          <w:sz w:val="20"/>
          <w:szCs w:val="20"/>
          <w:color w:val="auto"/>
        </w:rPr>
      </w:pPr>
      <w:r>
        <w:rPr>
          <w:rFonts w:ascii="Arial" w:cs="Arial" w:eastAsia="Arial" w:hAnsi="Arial"/>
          <w:sz w:val="12"/>
          <w:szCs w:val="12"/>
          <w:color w:val="auto"/>
        </w:rPr>
        <w:t>Payroll and benefits increased principally due to the increase in employee headcount, as described above. Clinical trial expenses decreased due primarily to lower costs related to our Phase 3 clinical development program for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prevention of gout flares in patients initiating uric acid-lowering therapy, our Phase 3 VIEW 1 trial of VEGF Trap-Eye in wet AMD and our Phase 2 DA VINCI trial in DME, and our clinical development program for NGF, which is currently on clinical hold. Clinical manufacturing costs increased due to higher facility-related costs in connection with the expansion of our manufacturing capacity at our Rensselaer facility and higher costs related to manufacturing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clinical supplies, partly offset by lower costs related to manufacturing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clinical supplies. Research and other development costs increased primarily due to higher costs associated with filing our BLA for VEGF Trap-Eye in wet AMD. Occupancy and other operating costs increased principally in connection with our higher headcount, expanded research and development activities, and new and expanded leased laboratory and office facilities in Tarrytown, New York. Cost-sharing of Bayer HealthCare’s VEGF Trap-Eye development expenses increased primarily due to higher costs in connection with Bayer HealthCare’s Phase 3 trial in DME, which was initiated in the first quarter of 2011.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83" w:right="199" w:bottom="1440" w:gutter="0" w:footer="0" w:header="0"/>
        </w:sectPr>
      </w:pPr>
    </w:p>
    <w:bookmarkStart w:id="32" w:name="page33"/>
    <w:bookmarkEnd w:id="32"/>
    <w:p>
      <w:pPr>
        <w:jc w:val="both"/>
        <w:ind w:right="20" w:firstLine="272"/>
        <w:spacing w:after="0" w:line="258" w:lineRule="auto"/>
        <w:rPr>
          <w:sz w:val="20"/>
          <w:szCs w:val="20"/>
          <w:color w:val="auto"/>
        </w:rPr>
      </w:pPr>
      <w:r>
        <w:rPr>
          <w:rFonts w:ascii="Arial" w:cs="Arial" w:eastAsia="Arial" w:hAnsi="Arial"/>
          <w:sz w:val="13"/>
          <w:szCs w:val="13"/>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7"/>
              </w:rPr>
              <w:t>For the three months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20" w:type="dxa"/>
            <w:vAlign w:val="bottom"/>
            <w:tcBorders>
              <w:bottom w:val="single" w:sz="8" w:color="auto"/>
            </w:tcBorders>
          </w:tcPr>
          <w:p>
            <w:pPr>
              <w:spacing w:after="0" w:line="147" w:lineRule="exact"/>
              <w:rPr>
                <w:sz w:val="20"/>
                <w:szCs w:val="20"/>
                <w:color w:val="auto"/>
              </w:rPr>
            </w:pPr>
            <w:r>
              <w:rPr>
                <w:rFonts w:ascii="Arial" w:cs="Arial" w:eastAsia="Arial" w:hAnsi="Arial"/>
                <w:sz w:val="13"/>
                <w:szCs w:val="13"/>
                <w:b w:val="1"/>
                <w:bCs w:val="1"/>
                <w:color w:val="auto"/>
                <w:w w:val="83"/>
              </w:rPr>
              <w:t>Project Costs</w:t>
            </w:r>
          </w:p>
        </w:tc>
        <w:tc>
          <w:tcPr>
            <w:tcW w:w="4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5"/>
          </w:tcPr>
          <w:p>
            <w:pPr>
              <w:jc w:val="center"/>
              <w:ind w:right="260"/>
              <w:spacing w:after="0" w:line="147" w:lineRule="exact"/>
              <w:rPr>
                <w:sz w:val="20"/>
                <w:szCs w:val="20"/>
                <w:color w:val="auto"/>
              </w:rPr>
            </w:pPr>
            <w:r>
              <w:rPr>
                <w:rFonts w:ascii="Arial" w:cs="Arial" w:eastAsia="Arial" w:hAnsi="Arial"/>
                <w:sz w:val="13"/>
                <w:szCs w:val="13"/>
                <w:b w:val="1"/>
                <w:bCs w:val="1"/>
                <w:color w:val="auto"/>
                <w:w w:val="88"/>
              </w:rPr>
              <w:t>ended March 31,</w:t>
            </w:r>
          </w:p>
        </w:tc>
        <w:tc>
          <w:tcPr>
            <w:tcW w:w="80" w:type="dxa"/>
            <w:vAlign w:val="bottom"/>
          </w:tcPr>
          <w:p>
            <w:pPr>
              <w:spacing w:after="0"/>
              <w:rPr>
                <w:sz w:val="12"/>
                <w:szCs w:val="12"/>
                <w:color w:val="auto"/>
              </w:rPr>
            </w:pPr>
          </w:p>
        </w:tc>
        <w:tc>
          <w:tcPr>
            <w:tcW w:w="640" w:type="dxa"/>
            <w:vAlign w:val="bottom"/>
          </w:tcPr>
          <w:p>
            <w:pPr>
              <w:jc w:val="right"/>
              <w:ind w:right="77"/>
              <w:spacing w:after="0" w:line="147" w:lineRule="exact"/>
              <w:rPr>
                <w:sz w:val="20"/>
                <w:szCs w:val="20"/>
                <w:color w:val="auto"/>
              </w:rPr>
            </w:pPr>
            <w:r>
              <w:rPr>
                <w:rFonts w:ascii="Arial" w:cs="Arial" w:eastAsia="Arial" w:hAnsi="Arial"/>
                <w:sz w:val="13"/>
                <w:szCs w:val="13"/>
                <w:b w:val="1"/>
                <w:bCs w:val="1"/>
                <w:color w:val="auto"/>
                <w:w w:val="90"/>
              </w:rPr>
              <w:t>Increase</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1"/>
              </w:rPr>
              <w:t>(Decrease)</w:t>
            </w:r>
          </w:p>
        </w:tc>
        <w:tc>
          <w:tcPr>
            <w:tcW w:w="0" w:type="dxa"/>
            <w:vAlign w:val="bottom"/>
          </w:tcPr>
          <w:p>
            <w:pPr>
              <w:spacing w:after="0" w:line="20" w:lineRule="exact"/>
              <w:rPr>
                <w:sz w:val="1"/>
                <w:szCs w:val="1"/>
                <w:color w:val="auto"/>
              </w:rPr>
            </w:pPr>
          </w:p>
        </w:tc>
      </w:tr>
      <w:tr>
        <w:trPr>
          <w:trHeight w:val="158"/>
        </w:trPr>
        <w:tc>
          <w:tcPr>
            <w:tcW w:w="5380" w:type="dxa"/>
            <w:vAlign w:val="bottom"/>
            <w:tcBorders>
              <w:bottom w:val="single" w:sz="8" w:color="C0C0C0"/>
            </w:tcBorders>
            <w:gridSpan w:val="2"/>
            <w:vMerge w:val="continue"/>
          </w:tcPr>
          <w:p>
            <w:pPr>
              <w:spacing w:after="0"/>
              <w:rPr>
                <w:sz w:val="13"/>
                <w:szCs w:val="13"/>
                <w:color w:val="auto"/>
              </w:rPr>
            </w:pPr>
          </w:p>
        </w:tc>
        <w:tc>
          <w:tcPr>
            <w:tcW w:w="2820" w:type="dxa"/>
            <w:vAlign w:val="bottom"/>
            <w:tcBorders>
              <w:bottom w:val="single" w:sz="8" w:color="C0C0C0"/>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tcBorders>
              <w:bottom w:val="single" w:sz="8" w:color="C0C0C0"/>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2010</w:t>
            </w:r>
          </w:p>
        </w:tc>
        <w:tc>
          <w:tcPr>
            <w:tcW w:w="140" w:type="dxa"/>
            <w:vAlign w:val="bottom"/>
            <w:tcBorders>
              <w:bottom w:val="single" w:sz="8" w:color="C0C0C0"/>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8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ARCALYST</w:t>
            </w:r>
            <w:r>
              <w:rPr>
                <w:rFonts w:ascii="Arial" w:cs="Arial" w:eastAsia="Arial" w:hAnsi="Arial"/>
                <w:sz w:val="8"/>
                <w:szCs w:val="8"/>
                <w:color w:val="auto"/>
              </w:rPr>
              <w:t>®</w:t>
            </w:r>
          </w:p>
        </w:tc>
        <w:tc>
          <w:tcPr>
            <w:tcW w:w="29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8.9</w:t>
            </w:r>
          </w:p>
        </w:tc>
        <w:tc>
          <w:tcPr>
            <w:tcW w:w="140" w:type="dxa"/>
            <w:vAlign w:val="bottom"/>
            <w:shd w:val="clear" w:color="auto" w:fill="C0C0C0"/>
          </w:tcPr>
          <w:p>
            <w:pPr>
              <w:spacing w:after="0"/>
              <w:rPr>
                <w:sz w:val="14"/>
                <w:szCs w:val="14"/>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20.1</w:t>
            </w:r>
          </w:p>
        </w:tc>
        <w:tc>
          <w:tcPr>
            <w:tcW w:w="140" w:type="dxa"/>
            <w:vAlign w:val="bottom"/>
            <w:shd w:val="clear" w:color="auto" w:fill="C0C0C0"/>
          </w:tcPr>
          <w:p>
            <w:pPr>
              <w:spacing w:after="0"/>
              <w:rPr>
                <w:sz w:val="14"/>
                <w:szCs w:val="14"/>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69"/>
        </w:trPr>
        <w:tc>
          <w:tcPr>
            <w:tcW w:w="5380" w:type="dxa"/>
            <w:vAlign w:val="bottom"/>
            <w:gridSpan w:val="2"/>
          </w:tcPr>
          <w:p>
            <w:pPr>
              <w:spacing w:after="0"/>
              <w:rPr>
                <w:sz w:val="20"/>
                <w:szCs w:val="20"/>
                <w:color w:val="auto"/>
              </w:rPr>
            </w:pPr>
            <w:r>
              <w:rPr>
                <w:rFonts w:ascii="Arial" w:cs="Arial" w:eastAsia="Arial" w:hAnsi="Arial"/>
                <w:sz w:val="13"/>
                <w:szCs w:val="13"/>
                <w:color w:val="auto"/>
              </w:rPr>
              <w:t>VEGF Trap-Eye</w:t>
            </w: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39.6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90"/>
        </w:trPr>
        <w:tc>
          <w:tcPr>
            <w:tcW w:w="538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ZALTRAP</w:t>
            </w:r>
            <w:r>
              <w:rPr>
                <w:rFonts w:ascii="Arial" w:cs="Arial" w:eastAsia="Arial" w:hAnsi="Arial"/>
                <w:sz w:val="8"/>
                <w:szCs w:val="8"/>
                <w:color w:val="auto"/>
              </w:rPr>
              <w:t>TM</w:t>
            </w:r>
          </w:p>
        </w:tc>
        <w:tc>
          <w:tcPr>
            <w:tcW w:w="28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3.9</w:t>
            </w:r>
          </w:p>
        </w:tc>
        <w:tc>
          <w:tcPr>
            <w:tcW w:w="14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4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9"/>
        </w:trPr>
        <w:tc>
          <w:tcPr>
            <w:tcW w:w="5380" w:type="dxa"/>
            <w:vAlign w:val="bottom"/>
            <w:gridSpan w:val="2"/>
          </w:tcPr>
          <w:p>
            <w:pPr>
              <w:spacing w:after="0"/>
              <w:rPr>
                <w:sz w:val="20"/>
                <w:szCs w:val="20"/>
                <w:color w:val="auto"/>
              </w:rPr>
            </w:pPr>
            <w:r>
              <w:rPr>
                <w:rFonts w:ascii="Arial" w:cs="Arial" w:eastAsia="Arial" w:hAnsi="Arial"/>
                <w:sz w:val="13"/>
                <w:szCs w:val="13"/>
                <w:color w:val="auto"/>
              </w:rPr>
              <w:t>REGN88</w:t>
            </w: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538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REGN727</w:t>
            </w:r>
          </w:p>
        </w:tc>
        <w:tc>
          <w:tcPr>
            <w:tcW w:w="282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7.1</w:t>
            </w:r>
          </w:p>
        </w:tc>
        <w:tc>
          <w:tcPr>
            <w:tcW w:w="1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5.2</w:t>
            </w:r>
          </w:p>
        </w:tc>
        <w:tc>
          <w:tcPr>
            <w:tcW w:w="1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640" w:type="dxa"/>
            <w:vAlign w:val="bottom"/>
            <w:shd w:val="clear" w:color="auto" w:fill="C0C0C0"/>
          </w:tcPr>
          <w:p>
            <w:pPr>
              <w:jc w:val="right"/>
              <w:ind w:right="3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9"/>
        </w:trPr>
        <w:tc>
          <w:tcPr>
            <w:tcW w:w="5380" w:type="dxa"/>
            <w:vAlign w:val="bottom"/>
            <w:gridSpan w:val="2"/>
          </w:tcPr>
          <w:p>
            <w:pPr>
              <w:spacing w:after="0"/>
              <w:rPr>
                <w:sz w:val="20"/>
                <w:szCs w:val="20"/>
                <w:color w:val="auto"/>
              </w:rPr>
            </w:pPr>
            <w:r>
              <w:rPr>
                <w:rFonts w:ascii="Arial" w:cs="Arial" w:eastAsia="Arial" w:hAnsi="Arial"/>
                <w:sz w:val="13"/>
                <w:szCs w:val="13"/>
                <w:color w:val="auto"/>
              </w:rPr>
              <w:t>Other antibody candidates in clinical development</w:t>
            </w: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5"/>
        </w:trPr>
        <w:tc>
          <w:tcPr>
            <w:tcW w:w="538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Other research programs &amp; unallocated costs</w:t>
            </w:r>
          </w:p>
        </w:tc>
        <w:tc>
          <w:tcPr>
            <w:tcW w:w="2820" w:type="dxa"/>
            <w:vAlign w:val="bottom"/>
            <w:shd w:val="clear" w:color="auto" w:fill="C0C0C0"/>
          </w:tcPr>
          <w:p>
            <w:pPr>
              <w:spacing w:after="0"/>
              <w:rPr>
                <w:sz w:val="15"/>
                <w:szCs w:val="15"/>
                <w:color w:val="auto"/>
              </w:rPr>
            </w:pPr>
          </w:p>
        </w:tc>
        <w:tc>
          <w:tcPr>
            <w:tcW w:w="120" w:type="dxa"/>
            <w:vAlign w:val="bottom"/>
            <w:tcBorders>
              <w:bottom w:val="single" w:sz="8" w:color="auto"/>
            </w:tcBorders>
            <w:shd w:val="clear" w:color="auto" w:fill="C0C0C0"/>
          </w:tcPr>
          <w:p>
            <w:pPr>
              <w:spacing w:after="0"/>
              <w:rPr>
                <w:sz w:val="15"/>
                <w:szCs w:val="15"/>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48.1</w:t>
            </w:r>
          </w:p>
        </w:tc>
        <w:tc>
          <w:tcPr>
            <w:tcW w:w="140" w:type="dxa"/>
            <w:vAlign w:val="bottom"/>
            <w:shd w:val="clear" w:color="auto" w:fill="C0C0C0"/>
          </w:tcPr>
          <w:p>
            <w:pPr>
              <w:spacing w:after="0"/>
              <w:rPr>
                <w:sz w:val="15"/>
                <w:szCs w:val="15"/>
                <w:color w:val="auto"/>
              </w:rPr>
            </w:pPr>
          </w:p>
        </w:tc>
        <w:tc>
          <w:tcPr>
            <w:tcW w:w="120" w:type="dxa"/>
            <w:vAlign w:val="bottom"/>
            <w:tcBorders>
              <w:bottom w:val="single" w:sz="8" w:color="auto"/>
            </w:tcBorders>
            <w:shd w:val="clear" w:color="auto" w:fill="C0C0C0"/>
          </w:tcPr>
          <w:p>
            <w:pPr>
              <w:spacing w:after="0"/>
              <w:rPr>
                <w:sz w:val="15"/>
                <w:szCs w:val="15"/>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3"/>
                <w:szCs w:val="13"/>
                <w:color w:val="auto"/>
              </w:rPr>
              <w:t>30.9</w:t>
            </w:r>
          </w:p>
        </w:tc>
        <w:tc>
          <w:tcPr>
            <w:tcW w:w="140" w:type="dxa"/>
            <w:vAlign w:val="bottom"/>
            <w:shd w:val="clear" w:color="auto" w:fill="C0C0C0"/>
          </w:tcPr>
          <w:p>
            <w:pPr>
              <w:spacing w:after="0"/>
              <w:rPr>
                <w:sz w:val="15"/>
                <w:szCs w:val="15"/>
                <w:color w:val="auto"/>
              </w:rPr>
            </w:pPr>
          </w:p>
        </w:tc>
        <w:tc>
          <w:tcPr>
            <w:tcW w:w="80" w:type="dxa"/>
            <w:vAlign w:val="bottom"/>
            <w:tcBorders>
              <w:bottom w:val="single" w:sz="8" w:color="auto"/>
            </w:tcBorders>
            <w:shd w:val="clear" w:color="auto" w:fill="C0C0C0"/>
          </w:tcPr>
          <w:p>
            <w:pPr>
              <w:spacing w:after="0"/>
              <w:rPr>
                <w:sz w:val="15"/>
                <w:szCs w:val="15"/>
                <w:color w:val="auto"/>
              </w:rPr>
            </w:pPr>
          </w:p>
        </w:tc>
        <w:tc>
          <w:tcPr>
            <w:tcW w:w="640" w:type="dxa"/>
            <w:vAlign w:val="bottom"/>
            <w:tcBorders>
              <w:bottom w:val="single" w:sz="8" w:color="auto"/>
            </w:tcBorders>
            <w:shd w:val="clear" w:color="auto" w:fill="C0C0C0"/>
          </w:tcPr>
          <w:p>
            <w:pPr>
              <w:jc w:val="right"/>
              <w:ind w:right="37"/>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9"/>
        </w:trPr>
        <w:tc>
          <w:tcPr>
            <w:tcW w:w="5380" w:type="dxa"/>
            <w:vAlign w:val="bottom"/>
            <w:gridSpan w:val="2"/>
          </w:tcPr>
          <w:p>
            <w:pPr>
              <w:ind w:left="220"/>
              <w:spacing w:after="0"/>
              <w:rPr>
                <w:sz w:val="20"/>
                <w:szCs w:val="20"/>
                <w:color w:val="auto"/>
              </w:rPr>
            </w:pPr>
            <w:r>
              <w:rPr>
                <w:rFonts w:ascii="Arial" w:cs="Arial" w:eastAsia="Arial" w:hAnsi="Arial"/>
                <w:sz w:val="13"/>
                <w:szCs w:val="13"/>
                <w:color w:val="auto"/>
              </w:rPr>
              <w:t>Total research and development expenses</w:t>
            </w:r>
          </w:p>
        </w:tc>
        <w:tc>
          <w:tcPr>
            <w:tcW w:w="28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129.4</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117.5</w:t>
            </w:r>
          </w:p>
        </w:tc>
        <w:tc>
          <w:tcPr>
            <w:tcW w:w="1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252"/>
        <w:spacing w:after="0" w:line="304" w:lineRule="auto"/>
        <w:rPr>
          <w:sz w:val="20"/>
          <w:szCs w:val="20"/>
          <w:color w:val="auto"/>
        </w:rPr>
      </w:pPr>
      <w:r>
        <w:rPr>
          <w:rFonts w:ascii="Arial" w:cs="Arial" w:eastAsia="Arial" w:hAnsi="Arial"/>
          <w:sz w:val="11"/>
          <w:szCs w:val="11"/>
          <w:color w:val="auto"/>
        </w:rPr>
        <w:t>Drug development and approval in the U.S.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w:t>
      </w:r>
      <w:r>
        <w:rPr>
          <w:rFonts w:ascii="Arial" w:cs="Arial" w:eastAsia="Arial" w:hAnsi="Arial"/>
          <w:sz w:val="15"/>
          <w:szCs w:val="15"/>
          <w:color w:val="auto"/>
          <w:vertAlign w:val="superscript"/>
        </w:rPr>
        <w:t>®</w:t>
      </w:r>
      <w:r>
        <w:rPr>
          <w:rFonts w:ascii="Arial" w:cs="Arial" w:eastAsia="Arial" w:hAnsi="Arial"/>
          <w:sz w:val="11"/>
          <w:szCs w:val="11"/>
          <w:color w:val="auto"/>
        </w:rPr>
        <w:t>, ZALTRAP</w:t>
      </w:r>
      <w:r>
        <w:rPr>
          <w:rFonts w:ascii="Arial" w:cs="Arial" w:eastAsia="Arial" w:hAnsi="Arial"/>
          <w:sz w:val="15"/>
          <w:szCs w:val="15"/>
          <w:color w:val="auto"/>
          <w:vertAlign w:val="superscript"/>
        </w:rPr>
        <w:t>TM</w:t>
      </w:r>
      <w:r>
        <w:rPr>
          <w:rFonts w:ascii="Arial" w:cs="Arial" w:eastAsia="Arial" w:hAnsi="Arial"/>
          <w:sz w:val="11"/>
          <w:szCs w:val="11"/>
          <w:color w:val="auto"/>
        </w:rPr>
        <w:t>, and VEGF Trap-Eye in different disease indications.</w:t>
      </w:r>
    </w:p>
    <w:p>
      <w:pPr>
        <w:spacing w:after="0" w:line="92" w:lineRule="exact"/>
        <w:rPr>
          <w:sz w:val="20"/>
          <w:szCs w:val="20"/>
          <w:color w:val="auto"/>
        </w:rPr>
      </w:pPr>
    </w:p>
    <w:p>
      <w:pPr>
        <w:jc w:val="both"/>
        <w:ind w:firstLine="204"/>
        <w:spacing w:after="0" w:line="316" w:lineRule="auto"/>
        <w:rPr>
          <w:sz w:val="20"/>
          <w:szCs w:val="20"/>
          <w:color w:val="auto"/>
        </w:rPr>
      </w:pPr>
      <w:r>
        <w:rPr>
          <w:rFonts w:ascii="Arial" w:cs="Arial" w:eastAsia="Arial" w:hAnsi="Arial"/>
          <w:sz w:val="11"/>
          <w:szCs w:val="11"/>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under “Risks Related to the Development and Approval of Our Product Candidates,” “Risks Related to Commercialization of Products,” and “Regulatory and Litigation Risks.”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149" w:lineRule="exact"/>
        <w:rPr>
          <w:sz w:val="20"/>
          <w:szCs w:val="20"/>
          <w:color w:val="auto"/>
        </w:rPr>
      </w:pPr>
    </w:p>
    <w:p>
      <w:pPr>
        <w:jc w:val="both"/>
        <w:ind w:right="20" w:firstLine="223"/>
        <w:spacing w:after="0" w:line="293" w:lineRule="auto"/>
        <w:rPr>
          <w:sz w:val="20"/>
          <w:szCs w:val="20"/>
          <w:color w:val="auto"/>
        </w:rPr>
      </w:pPr>
      <w:r>
        <w:rPr>
          <w:rFonts w:ascii="Arial" w:cs="Arial" w:eastAsia="Arial" w:hAnsi="Arial"/>
          <w:sz w:val="11"/>
          <w:szCs w:val="11"/>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2008, we received FDA approval for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for the treatment of CAPS, a group of rare, inherited auto-inflammatory diseases that affect a very small group of people. We currently do not expect to generate material product revenues and net cash inflows from the sale of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for the treatment of CAPS.</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w:t>
      </w:r>
    </w:p>
    <w:p>
      <w:pPr>
        <w:spacing w:after="0" w:line="200"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3"/>
          <w:szCs w:val="13"/>
          <w:color w:val="auto"/>
        </w:rPr>
        <w:t>Selling, general, and administrative expenses increased to $23.4 million in the first quarter of 2011 from $14.2 million in the same period of 2010 due primarily to increases in compensation expense principally in connection with higher headcount in the first quarter of 2011, higher market research costs primarily in connection with VEGF Trap-Eye, higher legal expenses in connection with patent-related litigation with Genentech, and an increase in Non-cash Compensation Expense for the reasons described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2" w:right="199" w:bottom="1440" w:gutter="0" w:footer="0" w:header="0"/>
        </w:sectPr>
      </w:pPr>
    </w:p>
    <w:bookmarkStart w:id="33" w:name="page34"/>
    <w:bookmarkEnd w:id="33"/>
    <w:p>
      <w:pPr>
        <w:spacing w:after="0"/>
        <w:rPr>
          <w:sz w:val="20"/>
          <w:szCs w:val="20"/>
          <w:color w:val="auto"/>
        </w:rPr>
      </w:pPr>
      <w:r>
        <w:rPr>
          <w:rFonts w:ascii="Arial" w:cs="Arial" w:eastAsia="Arial" w:hAnsi="Arial"/>
          <w:sz w:val="13"/>
          <w:szCs w:val="13"/>
          <w:i w:val="1"/>
          <w:iCs w:val="1"/>
          <w:color w:val="auto"/>
        </w:rPr>
        <w:t>Cost of Goods Sold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Cost of goods sold in the first quarter of 2011 and 2010 was $0.4 million and $0.7 million, respectively, and consisted primarily of royalties and other period costs related to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commercial supplies.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Income and Expense</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Investment income increased to $1.0 million in the first quarter of 2011 from $0.4 million in the same period of 2010, due primarily to higher yields on, and higher average balances of, cash and marketable securities.</w:t>
      </w:r>
    </w:p>
    <w:p>
      <w:pPr>
        <w:spacing w:after="0" w:line="223"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3"/>
          <w:szCs w:val="13"/>
          <w:color w:val="auto"/>
        </w:rPr>
        <w:t>Interest expense increased to $3.7 million in the first quarter of 2011 from $2.1 million in the same period of 2010. Interest expense is primarily attributable to the imputed interest portion of payments to our landlord, commencing in the third quarter of 2009, to lease newly constructed laboratory and office facilities in Tarrytown, New York. In February 2011, we began occupying an additional new building in Tarrytown and, therefore, began recognizing interest expense on the related payments to our landlord.</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204" w:lineRule="exact"/>
        <w:rPr>
          <w:sz w:val="20"/>
          <w:szCs w:val="20"/>
          <w:color w:val="auto"/>
        </w:rPr>
      </w:pPr>
    </w:p>
    <w:p>
      <w:pPr>
        <w:jc w:val="both"/>
        <w:ind w:firstLine="204"/>
        <w:spacing w:after="0" w:line="270" w:lineRule="auto"/>
        <w:rPr>
          <w:sz w:val="20"/>
          <w:szCs w:val="20"/>
          <w:color w:val="auto"/>
        </w:rPr>
      </w:pPr>
      <w:r>
        <w:rPr>
          <w:rFonts w:ascii="Arial" w:cs="Arial" w:eastAsia="Arial" w:hAnsi="Arial"/>
          <w:sz w:val="13"/>
          <w:szCs w:val="13"/>
          <w:color w:val="auto"/>
        </w:rPr>
        <w:t>Since our inception in 1988, we have financed our operations primarily through offerings of our equity securities, a private placement of convertible debt (which was repurchased or repaid in 2008), purchases of our equity securities by our collaborators, including sanofi-aventis, revenue earned under our past and present research and development agreements, including our agreements with sanofi-aventis and Bayer HealthCare, our past contract manufacturing agreements, our technology licensing agreements,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revenue, and investment income.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Three months ended March 31, 2011 and 2010</w:t>
      </w:r>
    </w:p>
    <w:p>
      <w:pPr>
        <w:spacing w:after="0" w:line="200" w:lineRule="exact"/>
        <w:rPr>
          <w:sz w:val="20"/>
          <w:szCs w:val="20"/>
          <w:color w:val="auto"/>
        </w:rPr>
      </w:pPr>
    </w:p>
    <w:p>
      <w:pPr>
        <w:jc w:val="both"/>
        <w:ind w:firstLine="233"/>
        <w:spacing w:after="0" w:line="258" w:lineRule="auto"/>
        <w:rPr>
          <w:sz w:val="20"/>
          <w:szCs w:val="20"/>
          <w:color w:val="auto"/>
        </w:rPr>
      </w:pPr>
      <w:r>
        <w:rPr>
          <w:rFonts w:ascii="Arial" w:cs="Arial" w:eastAsia="Arial" w:hAnsi="Arial"/>
          <w:sz w:val="13"/>
          <w:szCs w:val="13"/>
          <w:color w:val="auto"/>
        </w:rPr>
        <w:t>At March 31, 2011, we had $607.6 million in cash, cash equivalents, and marketable securities (including $7.5 million of restricted cash and marketable securities) compared with $626.9 million at December 31, 2010 (including $7.5 million of restricted cash and marketable securities). In January 2011, we received, from Bayer HealthCare, a $10.0 million milestone payment, which was earned in 2010, in connection with the COPERNICUS study of VEGF Trap-Eye in CRVO.</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Used in Operating Activities</w:t>
      </w:r>
    </w:p>
    <w:p>
      <w:pPr>
        <w:spacing w:after="0" w:line="200" w:lineRule="exact"/>
        <w:rPr>
          <w:sz w:val="20"/>
          <w:szCs w:val="20"/>
          <w:color w:val="auto"/>
        </w:rPr>
      </w:pPr>
    </w:p>
    <w:p>
      <w:pPr>
        <w:jc w:val="both"/>
        <w:ind w:firstLine="204"/>
        <w:spacing w:after="0" w:line="258" w:lineRule="auto"/>
        <w:rPr>
          <w:sz w:val="20"/>
          <w:szCs w:val="20"/>
          <w:color w:val="auto"/>
        </w:rPr>
      </w:pPr>
      <w:r>
        <w:rPr>
          <w:rFonts w:ascii="Arial" w:cs="Arial" w:eastAsia="Arial" w:hAnsi="Arial"/>
          <w:sz w:val="13"/>
          <w:szCs w:val="13"/>
          <w:color w:val="auto"/>
        </w:rPr>
        <w:t>Net cash used in operating activities was $10.6 million in the first quarter of 2011 and $9.6 million in the first quarter of 2010. Our net losses of $43.4 million in the first quarter of 2011 and $30.5 million in the first quarter of 2010 included $14.8 million and $8.8 million, respectively, of Non-cash Compensation Expense. Our net losses also included depreciation and amortization of $7.0 million and $4.2 million in the first quarter of 2011 and 2010, respectively.</w:t>
      </w:r>
    </w:p>
    <w:p>
      <w:pPr>
        <w:spacing w:after="0" w:line="178" w:lineRule="exact"/>
        <w:rPr>
          <w:sz w:val="20"/>
          <w:szCs w:val="20"/>
          <w:color w:val="auto"/>
        </w:rPr>
      </w:pPr>
    </w:p>
    <w:p>
      <w:pPr>
        <w:jc w:val="both"/>
        <w:ind w:firstLine="214"/>
        <w:spacing w:after="0" w:line="255" w:lineRule="auto"/>
        <w:rPr>
          <w:sz w:val="20"/>
          <w:szCs w:val="20"/>
          <w:color w:val="auto"/>
        </w:rPr>
      </w:pPr>
      <w:r>
        <w:rPr>
          <w:rFonts w:ascii="Arial" w:cs="Arial" w:eastAsia="Arial" w:hAnsi="Arial"/>
          <w:sz w:val="13"/>
          <w:szCs w:val="13"/>
          <w:color w:val="auto"/>
        </w:rPr>
        <w:t>At March 31, 2011, accounts receivable decreased by $5.0 million, compared to end-of-year 2010, primarily due to the receipt of the $10.0 million milestone payment in January 2011 from Bayer HealthCare, as discussed above. Our deferred revenue at March 31, 2011 decreased by $10.3 million, compared to end-of-year 2010, primarily due to the amortization of previously received and deferred $20.0 million payments under our license agreements with AstraZeneca and Astellas. Accounts payable, accrued expenses, and other liabilities increased by $13.6 million at March 31, 2011, compared to end-of-year 2010, primarily in connection with higher liabilities for payroll-related expenses.</w:t>
      </w:r>
    </w:p>
    <w:p>
      <w:pPr>
        <w:spacing w:after="0" w:line="180" w:lineRule="exact"/>
        <w:rPr>
          <w:sz w:val="20"/>
          <w:szCs w:val="20"/>
          <w:color w:val="auto"/>
        </w:rPr>
      </w:pPr>
    </w:p>
    <w:p>
      <w:pPr>
        <w:jc w:val="both"/>
        <w:ind w:firstLine="214"/>
        <w:spacing w:after="0" w:line="258" w:lineRule="auto"/>
        <w:rPr>
          <w:sz w:val="20"/>
          <w:szCs w:val="20"/>
          <w:color w:val="auto"/>
        </w:rPr>
      </w:pPr>
      <w:r>
        <w:rPr>
          <w:rFonts w:ascii="Arial" w:cs="Arial" w:eastAsia="Arial" w:hAnsi="Arial"/>
          <w:sz w:val="13"/>
          <w:szCs w:val="13"/>
          <w:color w:val="auto"/>
        </w:rPr>
        <w:t>At March 31, 2010, accounts receivable increased by $6.3 million, compared to end-of-year 2009, primarily due to a higher receivable balance related to our antibody collaboration with sanofi-aventis. At March 31, 2010, accounts payable, accrued expenses, and other liabilities increased by $12.6 million, compared to end-of-year 2009, primarily in connection with our expanded levels of activities and expenditures, including higher liabilities for clinical-related expenses and payroll and related costs.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483" w:right="219" w:bottom="1440" w:gutter="0" w:footer="0" w:header="0"/>
        </w:sectPr>
      </w:pPr>
    </w:p>
    <w:bookmarkStart w:id="34" w:name="page35"/>
    <w:bookmarkEnd w:id="34"/>
    <w:p>
      <w:pPr>
        <w:spacing w:after="0"/>
        <w:rPr>
          <w:sz w:val="20"/>
          <w:szCs w:val="20"/>
          <w:color w:val="auto"/>
        </w:rPr>
      </w:pPr>
      <w:r>
        <w:rPr>
          <w:rFonts w:ascii="Arial" w:cs="Arial" w:eastAsia="Arial" w:hAnsi="Arial"/>
          <w:sz w:val="13"/>
          <w:szCs w:val="13"/>
          <w:i w:val="1"/>
          <w:iCs w:val="1"/>
          <w:color w:val="auto"/>
        </w:rPr>
        <w:t>Cash Provided by (Used in) Investing Activities</w:t>
      </w:r>
    </w:p>
    <w:p>
      <w:pPr>
        <w:spacing w:after="0" w:line="161" w:lineRule="exact"/>
        <w:rPr>
          <w:sz w:val="20"/>
          <w:szCs w:val="20"/>
          <w:color w:val="auto"/>
        </w:rPr>
      </w:pPr>
    </w:p>
    <w:p>
      <w:pPr>
        <w:jc w:val="both"/>
        <w:ind w:firstLine="182"/>
        <w:spacing w:after="0" w:line="255" w:lineRule="auto"/>
        <w:rPr>
          <w:sz w:val="20"/>
          <w:szCs w:val="20"/>
          <w:color w:val="auto"/>
        </w:rPr>
      </w:pPr>
      <w:r>
        <w:rPr>
          <w:rFonts w:ascii="Arial" w:cs="Arial" w:eastAsia="Arial" w:hAnsi="Arial"/>
          <w:sz w:val="13"/>
          <w:szCs w:val="13"/>
          <w:color w:val="auto"/>
        </w:rPr>
        <w:t>Net cash provided by investing activities was $20.3 million in the first quarter of 2011, compared with net cash used in investing activities of $136.4 million in the first quarter of 2010. In the first quarter of 2011, sales or maturities of marketable securities exceeded purchases by $42.5 million, whereas in the first quarter of 2010, purchases of marketable securities exceeded sales or maturities by $113.7 million. Capital expenditures in the first quarter of 2011 and 2010 included costs in connection with expanding our manufacturing capacity at our Rensselaer, New York facilities and tenant improvements and related costs in connection with our December 2006 Tarrytown, New York lease.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Provided by Financing Activities</w:t>
      </w:r>
    </w:p>
    <w:p>
      <w:pPr>
        <w:spacing w:after="0" w:line="200" w:lineRule="exact"/>
        <w:rPr>
          <w:sz w:val="20"/>
          <w:szCs w:val="20"/>
          <w:color w:val="auto"/>
        </w:rPr>
      </w:pPr>
    </w:p>
    <w:p>
      <w:pPr>
        <w:jc w:val="both"/>
        <w:ind w:firstLine="214"/>
        <w:spacing w:after="0" w:line="326" w:lineRule="auto"/>
        <w:rPr>
          <w:sz w:val="20"/>
          <w:szCs w:val="20"/>
          <w:color w:val="auto"/>
        </w:rPr>
      </w:pPr>
      <w:r>
        <w:rPr>
          <w:rFonts w:ascii="Arial" w:cs="Arial" w:eastAsia="Arial" w:hAnsi="Arial"/>
          <w:sz w:val="11"/>
          <w:szCs w:val="11"/>
          <w:color w:val="auto"/>
        </w:rPr>
        <w:t>Net cash provided by financing activities was $13.0 million in the first quarter of 2011 and $56.2 million in the first quarter of 2010. In the first quarter of 2010, we received $47.5 million from our landlord in connection with tenant improvement costs for our new Tarrytown facilities, which we recognized as additional facility lease obligations since we are deemed to own these facilities in accordance with FASB authoritative guidance. In addition, proceeds from issuances of Common Stock in connection with exercises of employee stock options were $13.3 million in the first quarter of 2011 and $9.2 million in the first quarter of 2010.</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of Marketable Securities</w:t>
      </w:r>
    </w:p>
    <w:p>
      <w:pPr>
        <w:spacing w:after="0" w:line="200" w:lineRule="exact"/>
        <w:rPr>
          <w:sz w:val="20"/>
          <w:szCs w:val="20"/>
          <w:color w:val="auto"/>
        </w:rPr>
      </w:pPr>
    </w:p>
    <w:p>
      <w:pPr>
        <w:jc w:val="both"/>
        <w:ind w:firstLine="223"/>
        <w:spacing w:after="0" w:line="266" w:lineRule="auto"/>
        <w:rPr>
          <w:sz w:val="20"/>
          <w:szCs w:val="20"/>
          <w:color w:val="auto"/>
        </w:rPr>
      </w:pPr>
      <w:r>
        <w:rPr>
          <w:rFonts w:ascii="Arial" w:cs="Arial" w:eastAsia="Arial" w:hAnsi="Arial"/>
          <w:sz w:val="13"/>
          <w:szCs w:val="13"/>
          <w:color w:val="auto"/>
        </w:rPr>
        <w:t>At March 31, 2011 and December 31 2010, we held marketable securities whose aggregate fair value totaled $471.7 million and $513.9 million, respectively. The composition of our portfolio of marketable securities on these dates was as follows:</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8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w w:val="92"/>
              </w:rPr>
              <w:t>March 31, 2011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w w:val="85"/>
              </w:rPr>
              <w:t>December 31, 2010</w:t>
            </w:r>
          </w:p>
        </w:tc>
      </w:tr>
      <w:tr>
        <w:trPr>
          <w:trHeight w:val="136"/>
        </w:trPr>
        <w:tc>
          <w:tcPr>
            <w:tcW w:w="5220" w:type="dxa"/>
            <w:vAlign w:val="bottom"/>
            <w:gridSpan w:val="2"/>
          </w:tcPr>
          <w:p>
            <w:pPr>
              <w:spacing w:after="0" w:line="136" w:lineRule="exact"/>
              <w:rPr>
                <w:sz w:val="20"/>
                <w:szCs w:val="20"/>
                <w:color w:val="auto"/>
              </w:rPr>
            </w:pPr>
            <w:r>
              <w:rPr>
                <w:rFonts w:ascii="Arial" w:cs="Arial" w:eastAsia="Arial" w:hAnsi="Arial"/>
                <w:sz w:val="13"/>
                <w:szCs w:val="13"/>
                <w:b w:val="1"/>
                <w:bCs w:val="1"/>
                <w:color w:val="auto"/>
              </w:rPr>
              <w:t>Investment type</w:t>
            </w:r>
          </w:p>
        </w:tc>
        <w:tc>
          <w:tcPr>
            <w:tcW w:w="2560" w:type="dxa"/>
            <w:vAlign w:val="bottom"/>
          </w:tcPr>
          <w:p>
            <w:pPr>
              <w:spacing w:after="0"/>
              <w:rPr>
                <w:sz w:val="11"/>
                <w:szCs w:val="11"/>
                <w:color w:val="auto"/>
              </w:rPr>
            </w:pP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w w:val="90"/>
              </w:rPr>
              <w:t>Fair Value</w:t>
            </w: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1"/>
                <w:szCs w:val="11"/>
                <w:color w:val="auto"/>
              </w:rPr>
            </w:pPr>
          </w:p>
        </w:tc>
        <w:tc>
          <w:tcPr>
            <w:tcW w:w="64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w w:val="93"/>
              </w:rPr>
              <w:t>Fair Value</w:t>
            </w: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Percent</w:t>
            </w:r>
          </w:p>
        </w:tc>
      </w:tr>
      <w:tr>
        <w:trPr>
          <w:trHeight w:val="20"/>
        </w:trPr>
        <w:tc>
          <w:tcPr>
            <w:tcW w:w="860" w:type="dxa"/>
            <w:vAlign w:val="bottom"/>
            <w:tcBorders>
              <w:top w:val="single" w:sz="8" w:color="auto"/>
              <w:bottom w:val="single" w:sz="8" w:color="C0C0C0"/>
            </w:tcBorders>
          </w:tcPr>
          <w:p>
            <w:pPr>
              <w:spacing w:after="0" w:line="20" w:lineRule="exact"/>
              <w:rPr>
                <w:sz w:val="1"/>
                <w:szCs w:val="1"/>
                <w:color w:val="auto"/>
              </w:rPr>
            </w:pPr>
          </w:p>
        </w:tc>
        <w:tc>
          <w:tcPr>
            <w:tcW w:w="4360" w:type="dxa"/>
            <w:vAlign w:val="bottom"/>
            <w:tcBorders>
              <w:bottom w:val="single" w:sz="8" w:color="C0C0C0"/>
            </w:tcBorders>
          </w:tcPr>
          <w:p>
            <w:pPr>
              <w:spacing w:after="0" w:line="20" w:lineRule="exact"/>
              <w:rPr>
                <w:sz w:val="1"/>
                <w:szCs w:val="1"/>
                <w:color w:val="auto"/>
              </w:rPr>
            </w:pPr>
          </w:p>
        </w:tc>
        <w:tc>
          <w:tcPr>
            <w:tcW w:w="256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0C0C0"/>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0C0C0"/>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0C0C0"/>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63"/>
        </w:trPr>
        <w:tc>
          <w:tcPr>
            <w:tcW w:w="5220" w:type="dxa"/>
            <w:vAlign w:val="bottom"/>
            <w:gridSpan w:val="2"/>
            <w:shd w:val="clear" w:color="auto" w:fill="C0C0C0"/>
          </w:tcPr>
          <w:p>
            <w:pPr>
              <w:spacing w:after="0"/>
              <w:rPr>
                <w:sz w:val="20"/>
                <w:szCs w:val="20"/>
                <w:color w:val="auto"/>
              </w:rPr>
            </w:pPr>
            <w:r>
              <w:rPr>
                <w:rFonts w:ascii="Arial" w:cs="Arial" w:eastAsia="Arial" w:hAnsi="Arial"/>
                <w:sz w:val="13"/>
                <w:szCs w:val="13"/>
                <w:i w:val="1"/>
                <w:iCs w:val="1"/>
                <w:color w:val="auto"/>
              </w:rPr>
              <w:t>Unrestricted</w:t>
            </w:r>
          </w:p>
        </w:tc>
        <w:tc>
          <w:tcPr>
            <w:tcW w:w="256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56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r>
      <w:tr>
        <w:trPr>
          <w:trHeight w:val="169"/>
        </w:trPr>
        <w:tc>
          <w:tcPr>
            <w:tcW w:w="5220" w:type="dxa"/>
            <w:vAlign w:val="bottom"/>
            <w:gridSpan w:val="2"/>
          </w:tcPr>
          <w:p>
            <w:pPr>
              <w:spacing w:after="0"/>
              <w:rPr>
                <w:sz w:val="20"/>
                <w:szCs w:val="20"/>
                <w:color w:val="auto"/>
              </w:rPr>
            </w:pPr>
            <w:r>
              <w:rPr>
                <w:rFonts w:ascii="Arial" w:cs="Arial" w:eastAsia="Arial" w:hAnsi="Arial"/>
                <w:sz w:val="13"/>
                <w:szCs w:val="13"/>
                <w:color w:val="auto"/>
              </w:rPr>
              <w:t>U.S. government agency securities</w:t>
            </w:r>
          </w:p>
        </w:tc>
        <w:tc>
          <w:tcPr>
            <w:tcW w:w="2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385.4</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82%</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434.4</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85%</w:t>
            </w:r>
          </w:p>
        </w:tc>
      </w:tr>
      <w:tr>
        <w:trPr>
          <w:trHeight w:val="180"/>
        </w:trPr>
        <w:tc>
          <w:tcPr>
            <w:tcW w:w="522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U.S. government-guaranteed corporate bonds</w:t>
            </w:r>
          </w:p>
        </w:tc>
        <w:tc>
          <w:tcPr>
            <w:tcW w:w="256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55.4</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64.0</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5220" w:type="dxa"/>
            <w:vAlign w:val="bottom"/>
            <w:gridSpan w:val="2"/>
          </w:tcPr>
          <w:p>
            <w:pPr>
              <w:spacing w:after="0"/>
              <w:rPr>
                <w:sz w:val="20"/>
                <w:szCs w:val="20"/>
                <w:color w:val="auto"/>
              </w:rPr>
            </w:pPr>
            <w:r>
              <w:rPr>
                <w:rFonts w:ascii="Arial" w:cs="Arial" w:eastAsia="Arial" w:hAnsi="Arial"/>
                <w:sz w:val="13"/>
                <w:szCs w:val="13"/>
                <w:color w:val="auto"/>
              </w:rPr>
              <w:t>Municipal bonds</w:t>
            </w: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17.4</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0"/>
        </w:trPr>
        <w:tc>
          <w:tcPr>
            <w:tcW w:w="522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Equity securities</w:t>
            </w:r>
          </w:p>
        </w:tc>
        <w:tc>
          <w:tcPr>
            <w:tcW w:w="256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4.6</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3.6</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w:t>
            </w:r>
          </w:p>
        </w:tc>
      </w:tr>
      <w:tr>
        <w:trPr>
          <w:trHeight w:val="164"/>
        </w:trPr>
        <w:tc>
          <w:tcPr>
            <w:tcW w:w="5220" w:type="dxa"/>
            <w:vAlign w:val="bottom"/>
            <w:gridSpan w:val="2"/>
          </w:tcPr>
          <w:p>
            <w:pPr>
              <w:spacing w:after="0"/>
              <w:rPr>
                <w:sz w:val="20"/>
                <w:szCs w:val="20"/>
                <w:color w:val="auto"/>
              </w:rPr>
            </w:pPr>
            <w:r>
              <w:rPr>
                <w:rFonts w:ascii="Arial" w:cs="Arial" w:eastAsia="Arial" w:hAnsi="Arial"/>
                <w:sz w:val="13"/>
                <w:szCs w:val="13"/>
                <w:color w:val="auto"/>
              </w:rPr>
              <w:t>U.S. government guaranteed collateralized mortgage</w:t>
            </w: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0"/>
        </w:trPr>
        <w:tc>
          <w:tcPr>
            <w:tcW w:w="5220" w:type="dxa"/>
            <w:vAlign w:val="bottom"/>
            <w:gridSpan w:val="2"/>
          </w:tcPr>
          <w:p>
            <w:pPr>
              <w:ind w:left="220"/>
              <w:spacing w:after="0"/>
              <w:rPr>
                <w:sz w:val="20"/>
                <w:szCs w:val="20"/>
                <w:color w:val="auto"/>
              </w:rPr>
            </w:pPr>
            <w:r>
              <w:rPr>
                <w:rFonts w:ascii="Arial" w:cs="Arial" w:eastAsia="Arial" w:hAnsi="Arial"/>
                <w:sz w:val="13"/>
                <w:szCs w:val="13"/>
                <w:color w:val="auto"/>
              </w:rPr>
              <w:t>obligations</w:t>
            </w: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0"/>
        </w:trPr>
        <w:tc>
          <w:tcPr>
            <w:tcW w:w="522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Other</w:t>
            </w:r>
          </w:p>
        </w:tc>
        <w:tc>
          <w:tcPr>
            <w:tcW w:w="256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4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1.6</w:t>
            </w:r>
          </w:p>
        </w:tc>
        <w:tc>
          <w:tcPr>
            <w:tcW w:w="160" w:type="dxa"/>
            <w:vAlign w:val="bottom"/>
            <w:shd w:val="clear" w:color="auto" w:fill="C0C0C0"/>
          </w:tcPr>
          <w:p>
            <w:pPr>
              <w:spacing w:after="0"/>
              <w:rPr>
                <w:sz w:val="15"/>
                <w:szCs w:val="15"/>
                <w:color w:val="auto"/>
              </w:rPr>
            </w:pPr>
          </w:p>
        </w:tc>
        <w:tc>
          <w:tcPr>
            <w:tcW w:w="400" w:type="dxa"/>
            <w:vAlign w:val="bottom"/>
            <w:shd w:val="clear" w:color="auto" w:fill="C0C0C0"/>
          </w:tcPr>
          <w:p>
            <w:pPr>
              <w:spacing w:after="0"/>
              <w:rPr>
                <w:sz w:val="15"/>
                <w:szCs w:val="15"/>
                <w:color w:val="auto"/>
              </w:rPr>
            </w:pPr>
          </w:p>
        </w:tc>
      </w:tr>
      <w:tr>
        <w:trPr>
          <w:trHeight w:val="169"/>
        </w:trPr>
        <w:tc>
          <w:tcPr>
            <w:tcW w:w="5220" w:type="dxa"/>
            <w:vAlign w:val="bottom"/>
            <w:tcBorders>
              <w:bottom w:val="single" w:sz="8" w:color="C0C0C0"/>
            </w:tcBorders>
            <w:gridSpan w:val="2"/>
          </w:tcPr>
          <w:p>
            <w:pPr>
              <w:spacing w:after="0"/>
              <w:rPr>
                <w:sz w:val="20"/>
                <w:szCs w:val="20"/>
                <w:color w:val="auto"/>
              </w:rPr>
            </w:pPr>
            <w:r>
              <w:rPr>
                <w:rFonts w:ascii="Arial" w:cs="Arial" w:eastAsia="Arial" w:hAnsi="Arial"/>
                <w:sz w:val="13"/>
                <w:szCs w:val="13"/>
                <w:color w:val="auto"/>
              </w:rPr>
              <w:t>Mortgage-backed securities</w:t>
            </w:r>
          </w:p>
        </w:tc>
        <w:tc>
          <w:tcPr>
            <w:tcW w:w="2560" w:type="dxa"/>
            <w:vAlign w:val="bottom"/>
            <w:tcBorders>
              <w:bottom w:val="single" w:sz="8" w:color="C0C0C0"/>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60" w:type="dxa"/>
            <w:vAlign w:val="bottom"/>
            <w:tcBorders>
              <w:bottom w:val="single" w:sz="8" w:color="C0C0C0"/>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60" w:type="dxa"/>
            <w:vAlign w:val="bottom"/>
            <w:tcBorders>
              <w:bottom w:val="single" w:sz="8" w:color="C0C0C0"/>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170"/>
        </w:trPr>
        <w:tc>
          <w:tcPr>
            <w:tcW w:w="522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Total unrestricted marketable securities</w:t>
            </w:r>
          </w:p>
        </w:tc>
        <w:tc>
          <w:tcPr>
            <w:tcW w:w="256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464.7</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99%</w:t>
            </w:r>
          </w:p>
        </w:tc>
        <w:tc>
          <w:tcPr>
            <w:tcW w:w="16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506.8</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99%</w:t>
            </w:r>
          </w:p>
        </w:tc>
      </w:tr>
      <w:tr>
        <w:trPr>
          <w:trHeight w:val="175"/>
        </w:trPr>
        <w:tc>
          <w:tcPr>
            <w:tcW w:w="8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5"/>
        </w:trPr>
        <w:tc>
          <w:tcPr>
            <w:tcW w:w="5220" w:type="dxa"/>
            <w:vAlign w:val="bottom"/>
            <w:gridSpan w:val="2"/>
            <w:shd w:val="clear" w:color="auto" w:fill="C0C0C0"/>
          </w:tcPr>
          <w:p>
            <w:pPr>
              <w:spacing w:after="0"/>
              <w:rPr>
                <w:sz w:val="20"/>
                <w:szCs w:val="20"/>
                <w:color w:val="auto"/>
              </w:rPr>
            </w:pPr>
            <w:r>
              <w:rPr>
                <w:rFonts w:ascii="Arial" w:cs="Arial" w:eastAsia="Arial" w:hAnsi="Arial"/>
                <w:sz w:val="13"/>
                <w:szCs w:val="13"/>
                <w:i w:val="1"/>
                <w:iCs w:val="1"/>
                <w:color w:val="auto"/>
              </w:rPr>
              <w:t>Restricted</w:t>
            </w:r>
          </w:p>
        </w:tc>
        <w:tc>
          <w:tcPr>
            <w:tcW w:w="256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4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5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400" w:type="dxa"/>
            <w:vAlign w:val="bottom"/>
            <w:shd w:val="clear" w:color="auto" w:fill="C0C0C0"/>
          </w:tcPr>
          <w:p>
            <w:pPr>
              <w:spacing w:after="0"/>
              <w:rPr>
                <w:sz w:val="15"/>
                <w:szCs w:val="15"/>
                <w:color w:val="auto"/>
              </w:rPr>
            </w:pPr>
          </w:p>
        </w:tc>
      </w:tr>
      <w:tr>
        <w:trPr>
          <w:trHeight w:val="169"/>
        </w:trPr>
        <w:tc>
          <w:tcPr>
            <w:tcW w:w="5220" w:type="dxa"/>
            <w:vAlign w:val="bottom"/>
            <w:tcBorders>
              <w:bottom w:val="single" w:sz="8" w:color="C0C0C0"/>
            </w:tcBorders>
            <w:gridSpan w:val="2"/>
          </w:tcPr>
          <w:p>
            <w:pPr>
              <w:spacing w:after="0"/>
              <w:rPr>
                <w:sz w:val="20"/>
                <w:szCs w:val="20"/>
                <w:color w:val="auto"/>
              </w:rPr>
            </w:pPr>
            <w:r>
              <w:rPr>
                <w:rFonts w:ascii="Arial" w:cs="Arial" w:eastAsia="Arial" w:hAnsi="Arial"/>
                <w:sz w:val="13"/>
                <w:szCs w:val="13"/>
                <w:color w:val="auto"/>
              </w:rPr>
              <w:t>U.S. government agency securities</w:t>
            </w:r>
          </w:p>
        </w:tc>
        <w:tc>
          <w:tcPr>
            <w:tcW w:w="2560" w:type="dxa"/>
            <w:vAlign w:val="bottom"/>
            <w:tcBorders>
              <w:bottom w:val="single" w:sz="8" w:color="C0C0C0"/>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160" w:type="dxa"/>
            <w:vAlign w:val="bottom"/>
            <w:tcBorders>
              <w:bottom w:val="single" w:sz="8" w:color="C0C0C0"/>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60" w:type="dxa"/>
            <w:vAlign w:val="bottom"/>
            <w:tcBorders>
              <w:bottom w:val="single" w:sz="8" w:color="C0C0C0"/>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60" w:type="dxa"/>
            <w:vAlign w:val="bottom"/>
            <w:tcBorders>
              <w:bottom w:val="single" w:sz="8" w:color="C0C0C0"/>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522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Total marketable securities</w:t>
            </w:r>
          </w:p>
        </w:tc>
        <w:tc>
          <w:tcPr>
            <w:tcW w:w="26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471.7</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100%</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513.9</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100%</w:t>
            </w:r>
          </w:p>
        </w:tc>
      </w:tr>
      <w:tr>
        <w:trPr>
          <w:trHeight w:val="20"/>
        </w:trPr>
        <w:tc>
          <w:tcPr>
            <w:tcW w:w="860" w:type="dxa"/>
            <w:vAlign w:val="bottom"/>
            <w:shd w:val="clear" w:color="auto" w:fill="C0C0C0"/>
          </w:tcPr>
          <w:p>
            <w:pPr>
              <w:spacing w:after="0" w:line="20" w:lineRule="exact"/>
              <w:rPr>
                <w:sz w:val="1"/>
                <w:szCs w:val="1"/>
                <w:color w:val="auto"/>
              </w:rPr>
            </w:pPr>
          </w:p>
        </w:tc>
        <w:tc>
          <w:tcPr>
            <w:tcW w:w="4360" w:type="dxa"/>
            <w:vAlign w:val="bottom"/>
            <w:shd w:val="clear" w:color="auto" w:fill="C0C0C0"/>
          </w:tcPr>
          <w:p>
            <w:pPr>
              <w:spacing w:after="0" w:line="20" w:lineRule="exact"/>
              <w:rPr>
                <w:sz w:val="1"/>
                <w:szCs w:val="1"/>
                <w:color w:val="auto"/>
              </w:rPr>
            </w:pPr>
          </w:p>
        </w:tc>
        <w:tc>
          <w:tcPr>
            <w:tcW w:w="25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 addition, at March 31, 2011 and December 31, 2010, we had $135.9 million and $113.0 million, respectively, of cash, cash equivalents, and restricted cash, primarily held in money market funds that invest in U.S.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government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200" w:lineRule="exact"/>
        <w:rPr>
          <w:sz w:val="20"/>
          <w:szCs w:val="20"/>
          <w:color w:val="auto"/>
        </w:rPr>
      </w:pPr>
    </w:p>
    <w:p>
      <w:pPr>
        <w:jc w:val="both"/>
        <w:ind w:firstLine="204"/>
        <w:spacing w:after="0" w:line="289" w:lineRule="auto"/>
        <w:rPr>
          <w:sz w:val="20"/>
          <w:szCs w:val="20"/>
          <w:color w:val="auto"/>
        </w:rPr>
      </w:pPr>
      <w:r>
        <w:rPr>
          <w:rFonts w:ascii="Arial" w:cs="Arial" w:eastAsia="Arial" w:hAnsi="Arial"/>
          <w:sz w:val="12"/>
          <w:szCs w:val="12"/>
          <w:color w:val="auto"/>
        </w:rPr>
        <w:t>Our cash expenditures for property, plant, and equipment totaled $22.2 million and $22.7 million for the first three months of 2011 and 2010, respectively. In February 2010, we received $47.5 million from our landlord in connection with tenant improvement costs in Tarrytown. In addition, sanofi-aventis has funded $0.5 million and $4.6 million, respectively, of agreed-upon capital expenditures incurred by us during the first quarters of 2011 and 2010 to expand our manufacturing capacity at our Rensselaer facilities, which was either received or receivable at March 31, 2011 and 2010.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483" w:right="219" w:bottom="1440" w:gutter="0" w:footer="0" w:header="0"/>
        </w:sectPr>
      </w:pPr>
    </w:p>
    <w:bookmarkStart w:id="35" w:name="page36"/>
    <w:bookmarkEnd w:id="35"/>
    <w:p>
      <w:pPr>
        <w:jc w:val="both"/>
        <w:ind w:right="20" w:firstLine="214"/>
        <w:spacing w:after="0" w:line="258" w:lineRule="auto"/>
        <w:rPr>
          <w:sz w:val="20"/>
          <w:szCs w:val="20"/>
          <w:color w:val="auto"/>
        </w:rPr>
      </w:pPr>
      <w:r>
        <w:rPr>
          <w:rFonts w:ascii="Arial" w:cs="Arial" w:eastAsia="Arial" w:hAnsi="Arial"/>
          <w:sz w:val="13"/>
          <w:szCs w:val="13"/>
          <w:color w:val="auto"/>
        </w:rPr>
        <w:t>We expect to incur capital expenditures of approximately $50 to $65 million during the remainder of 2011 primarily in connection with tenant improvements at our leased Tarrytown facilities, capital improvements at our Rensselaer, New York manufacturing facilities, and purchases of equipment. We expect to be reimbursed for a portion of these capital expenditures for our Rensselaer facilities by sanofi-aventis, with the remaining amount to be funded by our existing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Funding Requirements:</w:t>
      </w:r>
    </w:p>
    <w:p>
      <w:pPr>
        <w:spacing w:after="0" w:line="200" w:lineRule="exact"/>
        <w:rPr>
          <w:sz w:val="20"/>
          <w:szCs w:val="20"/>
          <w:color w:val="auto"/>
        </w:rPr>
      </w:pPr>
    </w:p>
    <w:p>
      <w:pPr>
        <w:jc w:val="both"/>
        <w:ind w:firstLine="262"/>
        <w:spacing w:after="0" w:line="245" w:lineRule="auto"/>
        <w:rPr>
          <w:sz w:val="20"/>
          <w:szCs w:val="20"/>
          <w:color w:val="auto"/>
        </w:rPr>
      </w:pPr>
      <w:r>
        <w:rPr>
          <w:rFonts w:ascii="Arial" w:cs="Arial" w:eastAsia="Arial" w:hAnsi="Arial"/>
          <w:sz w:val="12"/>
          <w:szCs w:val="12"/>
          <w:color w:val="auto"/>
        </w:rPr>
        <w:t>We expect to continue to incur substantial funding requirements for research and development activities (including preclinical and clinical testing). As described above, expenses that we incur in connection with our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and antibodies collaborations are, generally, fully funded by sanofi-aventis. In addition, as described above, we and Bayer HealthCare share agreed-upon development expenses that both companies incur in connection with our VEGF Trap-Eye collaboration. After taking into account anticipated reimbursements from our collaborators, we currently estimate that approximately 30-40% of our funding requirements for 2011 will be directed toward technology development, basic research and early preclinical activities, and the preclinical and clinical development of our product candidates (principally, for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and VEGF Trap-Eye). For 2011, we also currently estimate that approximately 15-25% of our funding requirements will be directed toward the planned commercialization of our late-stage product candidates; approximately 20-30% of our funding requirements will be applied to capital expenditures (as described above); and the remainder of our funding requirements will be used for general corporate purposes.</w:t>
      </w:r>
    </w:p>
    <w:p>
      <w:pPr>
        <w:spacing w:after="0" w:line="187" w:lineRule="exact"/>
        <w:rPr>
          <w:sz w:val="20"/>
          <w:szCs w:val="20"/>
          <w:color w:val="auto"/>
        </w:rPr>
      </w:pPr>
    </w:p>
    <w:p>
      <w:pPr>
        <w:jc w:val="both"/>
        <w:ind w:firstLine="194"/>
        <w:spacing w:after="0" w:line="265" w:lineRule="auto"/>
        <w:rPr>
          <w:sz w:val="20"/>
          <w:szCs w:val="20"/>
          <w:color w:val="auto"/>
        </w:rPr>
      </w:pPr>
      <w:r>
        <w:rPr>
          <w:rFonts w:ascii="Arial" w:cs="Arial" w:eastAsia="Arial" w:hAnsi="Arial"/>
          <w:sz w:val="12"/>
          <w:szCs w:val="12"/>
          <w:color w:val="auto"/>
        </w:rPr>
        <w:t>The amount we need to fund operations will depend on various factors, including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pending or future litigation related thereto),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Our commercialization costs over approximately the next few years will depend on, among other things, whether or not our late-stage product candidates receive regulatory approval, the market potential for such product candidates, and the commercialization terms of our collaboration agreements, if applicable (whereby some or all commercialization costs may be shared with our collaborators). Currently, we are required to pay royalties on product sales of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treatment of CAPS. In the future, if we are able to successfully develop, market, and sell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other indications or certain of our product candidates, we may be required to pay royalties or share the profits from such sales pursuant to our license or collaboration agreements.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We expect that expenses related to the filing, prosecution, defense, and enforcement of patents and other intellectual property will continue to be substantial.</w:t>
      </w:r>
    </w:p>
    <w:p>
      <w:pPr>
        <w:spacing w:after="0" w:line="200" w:lineRule="exact"/>
        <w:rPr>
          <w:sz w:val="20"/>
          <w:szCs w:val="20"/>
          <w:color w:val="auto"/>
        </w:rPr>
      </w:pPr>
    </w:p>
    <w:p>
      <w:pPr>
        <w:jc w:val="both"/>
        <w:ind w:right="20" w:firstLine="243"/>
        <w:spacing w:after="0" w:line="252" w:lineRule="auto"/>
        <w:rPr>
          <w:sz w:val="20"/>
          <w:szCs w:val="20"/>
          <w:color w:val="auto"/>
        </w:rPr>
      </w:pPr>
      <w:r>
        <w:rPr>
          <w:rFonts w:ascii="Arial" w:cs="Arial" w:eastAsia="Arial" w:hAnsi="Arial"/>
          <w:sz w:val="13"/>
          <w:szCs w:val="13"/>
          <w:color w:val="auto"/>
        </w:rPr>
        <w:t>We believe that our existing capital resources, including funding we are entitled to receive under our collaboration agreements, will enable us to meet operating needs through at least 2013. However, this is a forward-looking statement based on our current operating plan, and there may be a change in projected revenues or expenses that would lead to our capital being consumed significantly before such time. For example, in connection with preparing to commercialize and launch potential products that are not licensed to a third party, we could incur substantial pre-marketing and commercialization expenses that could lead us to consume our cash at a faster rate. If there is insufficient capital to fund all of our planned operations and activities, we anticipate that we would (i) seek sources of additional capital through collaborative arrangements and/or additional public or private financing, including debt and equity financing and/or (ii) prioritize available capital to fund selected preclinical and clinical development programs and/or preparations for the potential commercialization of our late-stage product candidates, or license selected products.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2" w:right="199" w:bottom="1440" w:gutter="0" w:footer="0" w:header="0"/>
        </w:sectPr>
      </w:pPr>
    </w:p>
    <w:bookmarkStart w:id="36" w:name="page37"/>
    <w:bookmarkEnd w:id="36"/>
    <w:p>
      <w:pPr>
        <w:jc w:val="both"/>
        <w:ind w:right="20" w:firstLine="204"/>
        <w:spacing w:after="0" w:line="305" w:lineRule="auto"/>
        <w:rPr>
          <w:sz w:val="20"/>
          <w:szCs w:val="20"/>
          <w:color w:val="auto"/>
        </w:rPr>
      </w:pPr>
      <w:r>
        <w:rPr>
          <w:rFonts w:ascii="Arial" w:cs="Arial" w:eastAsia="Arial" w:hAnsi="Arial"/>
          <w:sz w:val="11"/>
          <w:szCs w:val="11"/>
          <w:color w:val="auto"/>
        </w:rPr>
        <w:t>Other than letters of credits totaling $3.8 million, including the $3.4 million letter of credit issued in connection with our lease for facilities in Tarrytown, New York, we have no off-balance sheet arrangements. In addition, we do not guarantee the obligations of any other entity. As of March 31, 2011, we had $0.7 million of financing available under a capital equipment lease line. Aside from this lease line, we had no other established banking arrangements through which we could obtain short-term financing or a line of credit. In October 2010, we filed a shelf registration statement on Form S-3 registering the sale, in one or more offerings, of an indeterminate amount of equity or debt securities, together or separately. Our October 2010 public offering of approximately 6.3 million shares of Common Stock was completed under this shelf registration statement; however, there is no assurance that we will be able to complete any additional offerings of securities. Factors influencing the availability of additional financing include our progress in product development and commercialization,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20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2"/>
          <w:szCs w:val="12"/>
          <w:color w:val="auto"/>
        </w:rPr>
        <w:t>Our earnings and cash flows are subject to fluctuations due to changes in interest rates, principally in connection with our investments in marketable securities, which consist primarily of direct obligations of the U.S. government and its agencies, other debt securities guaranteed by the U.S. government, and money market funds that invest in U.S. Government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$5.5 million and $1.6 million decrease in the fair value of our investment portfolio at March 31, 2011 and 2010, respectively. The increase in interest rate risk year over year is due primarily to higher balances of marketable debt securities with maturities in excess of one year that we held at March 31, 2011 compared to the same period of 2010.</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Quality Risk</w:t>
      </w:r>
    </w:p>
    <w:p>
      <w:pPr>
        <w:spacing w:after="0" w:line="200" w:lineRule="exact"/>
        <w:rPr>
          <w:sz w:val="20"/>
          <w:szCs w:val="20"/>
          <w:color w:val="auto"/>
        </w:rPr>
      </w:pPr>
    </w:p>
    <w:p>
      <w:pPr>
        <w:jc w:val="both"/>
        <w:ind w:right="20" w:firstLine="194"/>
        <w:spacing w:after="0" w:line="289" w:lineRule="auto"/>
        <w:rPr>
          <w:sz w:val="20"/>
          <w:szCs w:val="20"/>
          <w:color w:val="auto"/>
        </w:rPr>
      </w:pPr>
      <w:r>
        <w:rPr>
          <w:rFonts w:ascii="Arial" w:cs="Arial" w:eastAsia="Arial" w:hAnsi="Arial"/>
          <w:sz w:val="12"/>
          <w:szCs w:val="12"/>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We recognized an other-than-temporary impairment charge related to a marketable security of $0.1 million in the first quarter of 2010. During the first quarter of 2011, we did not recognize any other-than-temporary impairment charges.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204" w:lineRule="exact"/>
        <w:rPr>
          <w:sz w:val="20"/>
          <w:szCs w:val="20"/>
          <w:color w:val="auto"/>
        </w:rPr>
      </w:pPr>
    </w:p>
    <w:p>
      <w:pPr>
        <w:jc w:val="both"/>
        <w:ind w:right="20" w:firstLine="204"/>
        <w:spacing w:after="0" w:line="253" w:lineRule="auto"/>
        <w:rPr>
          <w:sz w:val="20"/>
          <w:szCs w:val="20"/>
          <w:color w:val="auto"/>
        </w:rPr>
      </w:pPr>
      <w:r>
        <w:rPr>
          <w:rFonts w:ascii="Arial" w:cs="Arial" w:eastAsia="Arial" w:hAnsi="Arial"/>
          <w:sz w:val="13"/>
          <w:szCs w:val="13"/>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2" w:right="199" w:bottom="1440" w:gutter="0" w:footer="0" w:header="0"/>
        </w:sectPr>
      </w:pPr>
    </w:p>
    <w:bookmarkStart w:id="37" w:name="page38"/>
    <w:bookmarkEnd w:id="37"/>
    <w:p>
      <w:pPr>
        <w:jc w:val="both"/>
        <w:ind w:firstLine="225"/>
        <w:spacing w:after="0" w:line="266" w:lineRule="auto"/>
        <w:rPr>
          <w:sz w:val="20"/>
          <w:szCs w:val="20"/>
          <w:color w:val="auto"/>
        </w:rPr>
      </w:pPr>
      <w:r>
        <w:rPr>
          <w:rFonts w:ascii="Arial" w:cs="Arial" w:eastAsia="Arial" w:hAnsi="Arial"/>
          <w:sz w:val="13"/>
          <w:szCs w:val="13"/>
          <w:color w:val="auto"/>
        </w:rPr>
        <w:t>There has been no change in our internal control over financial reporting (as such term is defined in Rules 13a-15(f) and 15d-15(f) under the Exchange Act) during the quarter ended March 31, 2011 that has materially affected, or is reasonably likely to materially affect, our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 OTHER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204" w:lineRule="exact"/>
        <w:rPr>
          <w:sz w:val="20"/>
          <w:szCs w:val="20"/>
          <w:color w:val="auto"/>
        </w:rPr>
      </w:pPr>
    </w:p>
    <w:p>
      <w:pPr>
        <w:jc w:val="both"/>
        <w:ind w:firstLine="236"/>
        <w:spacing w:after="0" w:line="266" w:lineRule="auto"/>
        <w:rPr>
          <w:sz w:val="20"/>
          <w:szCs w:val="20"/>
          <w:color w:val="auto"/>
        </w:rPr>
      </w:pPr>
      <w:r>
        <w:rPr>
          <w:rFonts w:ascii="Arial" w:cs="Arial" w:eastAsia="Arial" w:hAnsi="Arial"/>
          <w:sz w:val="13"/>
          <w:szCs w:val="13"/>
          <w:color w:val="auto"/>
        </w:rPr>
        <w:t>From time to time, we are a party to legal proceedings in the course of our business. We do not expect any such current ordinary course legal proceedings to have a material adverse effect on our business or financial condition.</w:t>
      </w:r>
    </w:p>
    <w:p>
      <w:pPr>
        <w:spacing w:after="0" w:line="173" w:lineRule="exact"/>
        <w:rPr>
          <w:sz w:val="20"/>
          <w:szCs w:val="20"/>
          <w:color w:val="auto"/>
        </w:rPr>
      </w:pPr>
    </w:p>
    <w:p>
      <w:pPr>
        <w:jc w:val="both"/>
        <w:ind w:firstLine="212"/>
        <w:spacing w:after="0" w:line="303" w:lineRule="auto"/>
        <w:rPr>
          <w:sz w:val="20"/>
          <w:szCs w:val="20"/>
          <w:color w:val="auto"/>
        </w:rPr>
      </w:pPr>
      <w:r>
        <w:rPr>
          <w:rFonts w:ascii="Arial" w:cs="Arial" w:eastAsia="Arial" w:hAnsi="Arial"/>
          <w:sz w:val="11"/>
          <w:szCs w:val="11"/>
          <w:color w:val="auto"/>
        </w:rPr>
        <w:t>As previously reported, on November 19, 2010, we filed a complaint against Genentech in the U.S. District Court for the Southern District of New York seeking a declaratory judgment that no activities relating to VEGF Trap infringe any valid claim of certain Genentech patents referred to as the Davis-Smyth patents. On January 12, 2011, Genentech filed a motion to dismiss the complaint, arguing that the lawsuit was premature and thus the Court lacked subject matter jurisdiction. Upon our submission to the FDA of a BLA for VEGF Trap-Eye for the treatment of wet AMD, we filed a second complaint against Genentech in the same court seeking the same declaratory relief. On April 7, 2011, we and Genentech entered into a Joint Stipulation, which was approved and executed by the Court on April 11, 2011. Pursuant to the Joint Stipulation, we voluntarily dismissed our original complaint in favor of proceeding with our second complaint, and Genentech agreed that it would not seek to transfer the case to another judicial district or move to dismiss the second complaint for lack of subject matter jurisdiction or otherwise under Rule 12(b) of the Federal Rules of Civil Procedure. On April 25, 2011, Genentech filed an answer to the second complaint, denying that we are entitled to the declaratory relief being sought by us, and asserting counterclaims that our prior or planned activities relating to VEGF Trap have infringed or will infringe one or more claims of the Davis-Smyth patents. In its answer, Genentech requests a judgment against us for damages, including for willful infringement, and other relief as the Court deems appropriate. We believe Genentech's counterclaims are without merit and intend to defend against them vigorously.</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We have initiated patent-related actions against Genentech in Germany and the United Kingdom, and may initiate other actions in other countries outside the U.S.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204" w:lineRule="exact"/>
        <w:rPr>
          <w:sz w:val="20"/>
          <w:szCs w:val="20"/>
          <w:color w:val="auto"/>
        </w:rPr>
      </w:pPr>
    </w:p>
    <w:p>
      <w:pPr>
        <w:jc w:val="both"/>
        <w:ind w:firstLine="212"/>
        <w:spacing w:after="0" w:line="255" w:lineRule="auto"/>
        <w:rPr>
          <w:sz w:val="20"/>
          <w:szCs w:val="20"/>
          <w:color w:val="auto"/>
        </w:rPr>
      </w:pPr>
      <w:r>
        <w:rPr>
          <w:rFonts w:ascii="Arial" w:cs="Arial" w:eastAsia="Arial" w:hAnsi="Arial"/>
          <w:sz w:val="13"/>
          <w:szCs w:val="13"/>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operations. Furthermore, additional risks and uncertainties are described under other captions in this report and should also be considered by our investors.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Financial Results and Need for Additional Financing</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We have had a history of operating losses and we may never achieve profitability. If we continue to incur operating losses, we may be unable to continue our operations.</w:t>
      </w:r>
    </w:p>
    <w:p>
      <w:pPr>
        <w:spacing w:after="0" w:line="200" w:lineRule="exact"/>
        <w:rPr>
          <w:sz w:val="20"/>
          <w:szCs w:val="20"/>
          <w:color w:val="auto"/>
        </w:rPr>
      </w:pPr>
    </w:p>
    <w:p>
      <w:pPr>
        <w:jc w:val="both"/>
        <w:ind w:firstLine="213"/>
        <w:spacing w:after="0" w:line="258" w:lineRule="auto"/>
        <w:rPr>
          <w:sz w:val="20"/>
          <w:szCs w:val="20"/>
          <w:color w:val="auto"/>
        </w:rPr>
      </w:pPr>
      <w:r>
        <w:rPr>
          <w:rFonts w:ascii="Arial" w:cs="Arial" w:eastAsia="Arial" w:hAnsi="Arial"/>
          <w:sz w:val="13"/>
          <w:szCs w:val="13"/>
          <w:color w:val="auto"/>
        </w:rPr>
        <w:t>From inception on January 8, 1988 through March 31, 2011, we had a cumulative loss of $1.1 billion.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502" w:right="219" w:bottom="1440" w:gutter="0" w:footer="0" w:header="0"/>
        </w:sectPr>
      </w:pPr>
    </w:p>
    <w:bookmarkStart w:id="38" w:name="page39"/>
    <w:bookmarkEnd w:id="38"/>
    <w:p>
      <w:pPr>
        <w:ind w:left="120"/>
        <w:spacing w:after="0"/>
        <w:rPr>
          <w:sz w:val="20"/>
          <w:szCs w:val="20"/>
          <w:color w:val="auto"/>
        </w:rPr>
      </w:pPr>
      <w:r>
        <w:rPr>
          <w:rFonts w:ascii="Arial" w:cs="Arial" w:eastAsia="Arial" w:hAnsi="Arial"/>
          <w:sz w:val="12"/>
          <w:szCs w:val="12"/>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1" w:lineRule="exact"/>
        <w:rPr>
          <w:sz w:val="20"/>
          <w:szCs w:val="20"/>
          <w:color w:val="auto"/>
        </w:rPr>
      </w:pPr>
    </w:p>
    <w:p>
      <w:pPr>
        <w:jc w:val="both"/>
        <w:ind w:firstLine="199"/>
        <w:spacing w:after="0" w:line="261" w:lineRule="auto"/>
        <w:rPr>
          <w:sz w:val="20"/>
          <w:szCs w:val="20"/>
          <w:color w:val="auto"/>
        </w:rPr>
      </w:pPr>
      <w:r>
        <w:rPr>
          <w:rFonts w:ascii="Arial" w:cs="Arial" w:eastAsia="Arial" w:hAnsi="Arial"/>
          <w:sz w:val="12"/>
          <w:szCs w:val="12"/>
          <w:color w:val="auto"/>
        </w:rPr>
        <w:t>We will need to expend substantial resources for research and development, including costs associated with clinical testing of our product candidates, and to prepare for potential commercialization of our late-stage product candidates and, if one or more of those product candidates receive(s) regulatory approval, to fund the launch of those product(s). We believe our existing capital resources, together with funding we are entitled to receive under our collaboration agreements, will enable us to meet operating needs through at least 2013; however, one or more of our collaboration agreements may terminate, our projected revenue may decrease, or our expenses may increase, which could result in our capital being consumed significantly before that time. Our expenses may increase for many reasons, including expenses in connection with the potential commercial launch of our late-stage product candidates, expenses related to clinical trials testing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or VEGF Trap-Eye, and expenses related to the potential requirement for us to fund 20% of Phase 3 clinical trial costs for any of our antibody product candidates pursuant to the terms of our collaboration with sanofi-aventis.</w:t>
      </w:r>
    </w:p>
    <w:p>
      <w:pPr>
        <w:spacing w:after="0" w:line="176" w:lineRule="exact"/>
        <w:rPr>
          <w:sz w:val="20"/>
          <w:szCs w:val="20"/>
          <w:color w:val="auto"/>
        </w:rPr>
      </w:pPr>
    </w:p>
    <w:p>
      <w:pPr>
        <w:jc w:val="both"/>
        <w:ind w:firstLine="212"/>
        <w:spacing w:after="0" w:line="305" w:lineRule="auto"/>
        <w:rPr>
          <w:sz w:val="20"/>
          <w:szCs w:val="20"/>
          <w:color w:val="auto"/>
        </w:rPr>
      </w:pPr>
      <w:r>
        <w:rPr>
          <w:rFonts w:ascii="Arial" w:cs="Arial" w:eastAsia="Arial" w:hAnsi="Arial"/>
          <w:sz w:val="11"/>
          <w:szCs w:val="11"/>
          <w:color w:val="auto"/>
        </w:rPr>
        <w:t>We may require additional financing in the future and we may not be able to raise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In October 2010, we filed a shelf registration statement on Form S-3 registering the sale, in one or more offerings, of an indeterminate amount of equity or debt securities, together or separately. Our October 2010 public offering of approximately 6.3 million shares of Common Stock was completed under this shelf registration statement; however, there is no assurance that we will be able to complete any additional offerings of securities. Should we require and be unable to raise sufficient funds to complete the development of our product candidates and also to successfully commercialize our late-stage product candidates if they obtain regulatory approval, we may face delay, reduction, or elimination of our research and development or preclinical or clinical programs, and even if regulatory approval is obtained for such product candidates, they may never be successfully launched or become profitable, in which case our business, financial condition, or results of operations may be materially harmed.</w:t>
      </w:r>
    </w:p>
    <w:p>
      <w:pPr>
        <w:spacing w:after="0" w:line="137" w:lineRule="exact"/>
        <w:rPr>
          <w:sz w:val="20"/>
          <w:szCs w:val="20"/>
          <w:color w:val="auto"/>
        </w:rPr>
      </w:pPr>
    </w:p>
    <w:p>
      <w:pPr>
        <w:ind w:left="120"/>
        <w:spacing w:after="0" w:line="309" w:lineRule="auto"/>
        <w:rPr>
          <w:sz w:val="20"/>
          <w:szCs w:val="20"/>
          <w:color w:val="auto"/>
        </w:rPr>
      </w:pPr>
      <w:r>
        <w:rPr>
          <w:rFonts w:ascii="Arial" w:cs="Arial" w:eastAsia="Arial" w:hAnsi="Arial"/>
          <w:sz w:val="12"/>
          <w:szCs w:val="12"/>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149" w:lineRule="exact"/>
        <w:rPr>
          <w:sz w:val="20"/>
          <w:szCs w:val="20"/>
          <w:color w:val="auto"/>
        </w:rPr>
      </w:pPr>
    </w:p>
    <w:p>
      <w:pPr>
        <w:jc w:val="both"/>
        <w:ind w:firstLine="226"/>
        <w:spacing w:after="0" w:line="275" w:lineRule="auto"/>
        <w:rPr>
          <w:sz w:val="20"/>
          <w:szCs w:val="20"/>
          <w:color w:val="auto"/>
        </w:rPr>
      </w:pPr>
      <w:r>
        <w:rPr>
          <w:rFonts w:ascii="Arial" w:cs="Arial" w:eastAsia="Arial" w:hAnsi="Arial"/>
          <w:sz w:val="12"/>
          <w:szCs w:val="12"/>
          <w:color w:val="auto"/>
        </w:rPr>
        <w:t>As of March 31, 2011, our cash, cash equivalents, and marketable securities totaled $607.6 million (including $7.5 million of restricted cash and marketable securities) and represented 57% of our total assets. We have invested our excess cash primarily in direct obligations of the U.S. government and its agencies, other debt securities guaranteed by the U.S. government, and money market funds that invest in U.S. government securities. We consider assets classified as marketable securities to be “available-for-sale,” as defined by FASB authoritative guidance. Marketable securities totaled $464.7 million at March 31, 2011,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For example, we recognized an other-than-temporary impairment charge related to a marketable security of $0.1 million in 2010. The current economic environment and the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483" w:right="2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auto"/>
        </w:rPr>
        <w:t>Risks Related to the Development and Approval of Our Product Candidates</w:t>
      </w:r>
    </w:p>
    <w:p>
      <w:pPr>
        <w:spacing w:after="0" w:line="185" w:lineRule="exact"/>
        <w:rPr>
          <w:sz w:val="20"/>
          <w:szCs w:val="20"/>
          <w:color w:val="auto"/>
        </w:rPr>
      </w:pPr>
    </w:p>
    <w:p>
      <w:pPr>
        <w:jc w:val="both"/>
        <w:ind w:left="120"/>
        <w:spacing w:after="0" w:line="258" w:lineRule="auto"/>
        <w:rPr>
          <w:sz w:val="20"/>
          <w:szCs w:val="20"/>
          <w:color w:val="auto"/>
        </w:rPr>
      </w:pPr>
      <w:r>
        <w:rPr>
          <w:rFonts w:ascii="Arial" w:cs="Arial" w:eastAsia="Arial" w:hAnsi="Arial"/>
          <w:sz w:val="13"/>
          <w:szCs w:val="13"/>
          <w:b w:val="1"/>
          <w:bCs w:val="1"/>
          <w:i w:val="1"/>
          <w:iCs w:val="1"/>
          <w:color w:val="auto"/>
        </w:rPr>
        <w:t>We believe that a significant portion of the value attributed to our company by investors is based on the commercial potential of VEGF Trap-Eye for the treatment of wet AMD and other ophthalmologic diseases, which has not yet been approved by the FDA or by regulatory authorities in countries outside the U.S. If there are material delays in obtaining marketing approval for VEGF Trap-Eye, or such approval is not obtained, our business, results of operations, and financial condition will be materially harmed.</w:t>
      </w:r>
    </w:p>
    <w:p>
      <w:pPr>
        <w:spacing w:after="0" w:line="178" w:lineRule="exact"/>
        <w:rPr>
          <w:sz w:val="20"/>
          <w:szCs w:val="20"/>
          <w:color w:val="auto"/>
        </w:rPr>
      </w:pPr>
    </w:p>
    <w:p>
      <w:pPr>
        <w:jc w:val="both"/>
        <w:ind w:firstLine="194"/>
        <w:spacing w:after="0" w:line="275" w:lineRule="auto"/>
        <w:rPr>
          <w:sz w:val="20"/>
          <w:szCs w:val="20"/>
          <w:color w:val="auto"/>
        </w:rPr>
      </w:pPr>
      <w:r>
        <w:rPr>
          <w:rFonts w:ascii="Arial" w:cs="Arial" w:eastAsia="Arial" w:hAnsi="Arial"/>
          <w:sz w:val="12"/>
          <w:szCs w:val="12"/>
          <w:color w:val="auto"/>
        </w:rPr>
        <w:t>The FDA has substantial discretion in deciding whether or not VEGF Trap-Eye should be granted approval in the U.S. based on the benefits and risks of VEGF Trap-Eye in treating the particular ophthalmologic diseases in which it is being studied in clinical trials. Analogous regulatory authorities in countries outside the U.S. have similar discretion as to approval of VEGF Trap-Eye in those countries. In February 2011, we submitted a BLA for VEGF Trap-Eye for the treatment of wet AMD to the FDA. In April 2011, the FDA accepted the BLA for filing and granted our request for Priority Review. Under Priority Review, the target date for an FDA decision on the BLA is August 20, 2011. However, the FDA is not under any legal obligation to complete its review of the BLA or to render a decision within this timeframe, and it is not unusual for the FDA’s review of and/or rendering a decision with respect to a BLA that has been granted Priority Review to extend beyond the initial target date. For instance, the FDA may request additional clinical or other data or information, including by issuing a complete response letter which may require that we submit additional clinical or other data or impose other conditions that must be met in order to secure final approval of our BLA. Even if such data and information are submitted, the FDA may ultimately decide that the BLA does not satisfy the criteria for approval. The granting of Priority Review designation for our BLA does not change the standards for approval and does not ensure that VEGF Trap-Eye for the treatment of wet AMD will be approved.</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Whether VEGF Trap-Eye is approved by the FDA for the treatment of wet AMD, and the timing thereof, will depend on many factors, including the following:</w:t>
      </w:r>
    </w:p>
    <w:p>
      <w:pPr>
        <w:spacing w:after="0" w:line="132" w:lineRule="exact"/>
        <w:rPr>
          <w:sz w:val="20"/>
          <w:szCs w:val="20"/>
          <w:color w:val="auto"/>
        </w:rPr>
      </w:pPr>
    </w:p>
    <w:p>
      <w:pPr>
        <w:ind w:left="380"/>
        <w:spacing w:after="0" w:line="253" w:lineRule="auto"/>
        <w:rPr>
          <w:sz w:val="20"/>
          <w:szCs w:val="20"/>
          <w:color w:val="auto"/>
        </w:rPr>
      </w:pPr>
      <w:r>
        <w:rPr>
          <w:rFonts w:ascii="Arial" w:cs="Arial" w:eastAsia="Arial" w:hAnsi="Arial"/>
          <w:sz w:val="13"/>
          <w:szCs w:val="13"/>
          <w:color w:val="auto"/>
        </w:rPr>
        <w:t>whether or not the FDA determines that the evidence gathered in well-controlled clinical trials, other clinical trials and nonclinical studies of VEGF Trap-Eye demonstrates that it is safe and effective as a treatment for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-171450</wp:posOffset>
            </wp:positionV>
            <wp:extent cx="50165"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line="249" w:lineRule="auto"/>
        <w:rPr>
          <w:sz w:val="20"/>
          <w:szCs w:val="20"/>
          <w:color w:val="auto"/>
        </w:rPr>
      </w:pPr>
      <w:r>
        <w:rPr>
          <w:rFonts w:ascii="Arial" w:cs="Arial" w:eastAsia="Arial" w:hAnsi="Arial"/>
          <w:sz w:val="13"/>
          <w:szCs w:val="13"/>
          <w:color w:val="auto"/>
        </w:rPr>
        <w:t>whether or not the FDA is satisfied that the manufacturing facilities, processes, and controls for VEGF Trap-Eye are adequate, that the labeling is satisfactory and that plans for post-marketing studies, safety monitoring, and risk evaluation and management are sufficient;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-171450</wp:posOffset>
            </wp:positionV>
            <wp:extent cx="50165" cy="50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line="258" w:lineRule="auto"/>
        <w:rPr>
          <w:sz w:val="20"/>
          <w:szCs w:val="20"/>
          <w:color w:val="auto"/>
        </w:rPr>
      </w:pPr>
      <w:r>
        <w:rPr>
          <w:rFonts w:ascii="Arial" w:cs="Arial" w:eastAsia="Arial" w:hAnsi="Arial"/>
          <w:sz w:val="13"/>
          <w:szCs w:val="13"/>
          <w:color w:val="auto"/>
        </w:rPr>
        <w:t>the timing and nature of the FDA's comments and questions, or those of any advisers to the FDA if the FDA seeks external advice, regarding our BLA for VEGF Trap-Eye for the treatment of wet AMD, the time required to respond to any such comments and questions and to obtain final labeling, and any other delays that may be associated with the BLA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-178435</wp:posOffset>
            </wp:positionV>
            <wp:extent cx="50165" cy="501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119" w:lineRule="exact"/>
        <w:rPr>
          <w:sz w:val="20"/>
          <w:szCs w:val="20"/>
          <w:color w:val="auto"/>
        </w:rPr>
      </w:pPr>
    </w:p>
    <w:p>
      <w:pPr>
        <w:jc w:val="both"/>
        <w:ind w:firstLine="204"/>
        <w:spacing w:after="0" w:line="258" w:lineRule="auto"/>
        <w:rPr>
          <w:sz w:val="20"/>
          <w:szCs w:val="20"/>
          <w:color w:val="auto"/>
        </w:rPr>
      </w:pPr>
      <w:r>
        <w:rPr>
          <w:rFonts w:ascii="Arial" w:cs="Arial" w:eastAsia="Arial" w:hAnsi="Arial"/>
          <w:sz w:val="13"/>
          <w:szCs w:val="13"/>
          <w:color w:val="auto"/>
        </w:rPr>
        <w:t>If we experience material delays in obtaining marketing approval for VEGF Trap-Eye for wet AMD in the U.S., we will not receive product revenues during the delay, which would negatively affect our business, results of operations, and financial condition. Such delays may also increase the challenge of competitive products as doctors and patients continue to use existing therapies. If we do not obtain approval to market VEGF Trap-Eye for wet AMD in the U.S., or if there are material delays in obtaining such approval, our business and financial position will be materially harmed.</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If we do not obtain regulatory approval for our product candidates, we will not be able to market or sell them, which would materially and negatively impact our business and prospects.</w:t>
      </w:r>
    </w:p>
    <w:p>
      <w:pPr>
        <w:spacing w:after="0" w:line="210" w:lineRule="exact"/>
        <w:rPr>
          <w:sz w:val="20"/>
          <w:szCs w:val="20"/>
          <w:color w:val="auto"/>
        </w:rPr>
      </w:pPr>
    </w:p>
    <w:p>
      <w:pPr>
        <w:jc w:val="both"/>
        <w:ind w:firstLine="243"/>
        <w:spacing w:after="0" w:line="201" w:lineRule="auto"/>
        <w:rPr>
          <w:sz w:val="20"/>
          <w:szCs w:val="20"/>
          <w:color w:val="auto"/>
        </w:rPr>
      </w:pPr>
      <w:r>
        <w:rPr>
          <w:rFonts w:ascii="Arial" w:cs="Arial" w:eastAsia="Arial" w:hAnsi="Arial"/>
          <w:sz w:val="13"/>
          <w:szCs w:val="13"/>
          <w:color w:val="auto"/>
        </w:rPr>
        <w:t>We cannot sell or market products without regulatory approval. If we do not obtain and maintain regulatory approval for our product candidates, including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diseases other than CAPS, VEGF Trap-Eye for the treatment of ophthalmologic diseases, and/or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one or more oncology indications, the value of our company and our results of operations will be materially harmed. As with our BLA for VEGF Trap-Eye for the treatment of wet AMD, we cannot predict as to whether or when our other product candidates, including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second-line treatment of mCRC, VEGF Trap-Eye for CRVO and DME, and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therapy, will receive regulatory approval. If we are unable to obtain such approval(s), or if we are materially delayed in doing so, our business and prospects would be materially harmed.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Obtaining and maintaining regulatory approval for drug products is costly, time-consuming, and highly uncertain.</w:t>
      </w:r>
    </w:p>
    <w:p>
      <w:pPr>
        <w:spacing w:after="0" w:line="200" w:lineRule="exact"/>
        <w:rPr>
          <w:sz w:val="20"/>
          <w:szCs w:val="20"/>
          <w:color w:val="auto"/>
        </w:rPr>
      </w:pPr>
    </w:p>
    <w:p>
      <w:pPr>
        <w:jc w:val="both"/>
        <w:ind w:firstLine="194"/>
        <w:spacing w:after="0" w:line="233" w:lineRule="auto"/>
        <w:rPr>
          <w:sz w:val="20"/>
          <w:szCs w:val="20"/>
          <w:color w:val="auto"/>
        </w:rPr>
      </w:pPr>
      <w:r>
        <w:rPr>
          <w:rFonts w:ascii="Arial" w:cs="Arial" w:eastAsia="Arial" w:hAnsi="Arial"/>
          <w:sz w:val="13"/>
          <w:szCs w:val="13"/>
          <w:color w:val="auto"/>
        </w:rPr>
        <w:t>In the U.S.,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FDA approval of ARCALYST</w:t>
      </w:r>
      <w:r>
        <w:rPr>
          <w:rFonts w:ascii="Arial" w:cs="Arial" w:eastAsia="Arial" w:hAnsi="Arial"/>
          <w:sz w:val="17"/>
          <w:szCs w:val="17"/>
          <w:color w:val="auto"/>
          <w:vertAlign w:val="superscript"/>
        </w:rPr>
        <w:t>®</w:t>
      </w:r>
      <w:r>
        <w:rPr>
          <w:rFonts w:ascii="Arial" w:cs="Arial" w:eastAsia="Arial" w:hAnsi="Arial"/>
          <w:sz w:val="13"/>
          <w:szCs w:val="13"/>
          <w:color w:val="auto"/>
        </w:rPr>
        <w:t>, and the EMA approval of rilonacept, for the treatment of CAPS, none of our product candidates has ever received regulatory approval to be marketed and sold in the U.S. or any other country. We may never receive regulatory approval for any of our current or future product candidates.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479" w:right="219" w:bottom="1440" w:gutter="0" w:footer="0" w:header="0"/>
        </w:sectPr>
      </w:pPr>
    </w:p>
    <w:bookmarkStart w:id="40" w:name="page41"/>
    <w:bookmarkEnd w:id="40"/>
    <w:p>
      <w:pPr>
        <w:jc w:val="both"/>
        <w:ind w:firstLine="204"/>
        <w:spacing w:after="0" w:line="255" w:lineRule="auto"/>
        <w:rPr>
          <w:sz w:val="20"/>
          <w:szCs w:val="20"/>
          <w:color w:val="auto"/>
        </w:rPr>
      </w:pPr>
      <w:r>
        <w:rPr>
          <w:rFonts w:ascii="Arial" w:cs="Arial" w:eastAsia="Arial" w:hAnsi="Arial"/>
          <w:sz w:val="13"/>
          <w:szCs w:val="13"/>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w:t>
      </w:r>
    </w:p>
    <w:p>
      <w:pPr>
        <w:spacing w:after="0" w:line="180" w:lineRule="exact"/>
        <w:rPr>
          <w:sz w:val="20"/>
          <w:szCs w:val="20"/>
          <w:color w:val="auto"/>
        </w:rPr>
      </w:pPr>
    </w:p>
    <w:p>
      <w:pPr>
        <w:jc w:val="both"/>
        <w:ind w:firstLine="252"/>
        <w:spacing w:after="0" w:line="253" w:lineRule="auto"/>
        <w:rPr>
          <w:sz w:val="20"/>
          <w:szCs w:val="20"/>
          <w:color w:val="auto"/>
        </w:rPr>
      </w:pPr>
      <w:r>
        <w:rPr>
          <w:rFonts w:ascii="Arial" w:cs="Arial" w:eastAsia="Arial" w:hAnsi="Arial"/>
          <w:sz w:val="13"/>
          <w:szCs w:val="13"/>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83" w:lineRule="exact"/>
        <w:rPr>
          <w:sz w:val="20"/>
          <w:szCs w:val="20"/>
          <w:color w:val="auto"/>
        </w:rPr>
      </w:pPr>
    </w:p>
    <w:p>
      <w:pPr>
        <w:jc w:val="both"/>
        <w:ind w:firstLine="194"/>
        <w:spacing w:after="0" w:line="255" w:lineRule="auto"/>
        <w:rPr>
          <w:sz w:val="20"/>
          <w:szCs w:val="20"/>
          <w:color w:val="auto"/>
        </w:rPr>
      </w:pPr>
      <w:r>
        <w:rPr>
          <w:rFonts w:ascii="Arial" w:cs="Arial" w:eastAsia="Arial" w:hAnsi="Arial"/>
          <w:sz w:val="13"/>
          <w:szCs w:val="13"/>
          <w:color w:val="auto"/>
        </w:rPr>
        <w:t>In addition to the FDA and other regulatory agency regulations in the U.S.,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U.S., we must obtain approval of the product by the comparable regulatory authorities in foreign countries before we can conduct clinical trials of or market that product or any other product in those countries.</w:t>
      </w:r>
    </w:p>
    <w:p>
      <w:pPr>
        <w:spacing w:after="0" w:line="161" w:lineRule="exact"/>
        <w:rPr>
          <w:sz w:val="20"/>
          <w:szCs w:val="20"/>
          <w:color w:val="auto"/>
        </w:rPr>
      </w:pPr>
    </w:p>
    <w:p>
      <w:pPr>
        <w:ind w:left="120"/>
        <w:spacing w:after="0" w:line="266" w:lineRule="auto"/>
        <w:rPr>
          <w:sz w:val="20"/>
          <w:szCs w:val="20"/>
          <w:color w:val="auto"/>
        </w:rPr>
      </w:pPr>
      <w:r>
        <w:rPr>
          <w:rFonts w:ascii="Arial" w:cs="Arial" w:eastAsia="Arial" w:hAnsi="Arial"/>
          <w:sz w:val="13"/>
          <w:szCs w:val="13"/>
          <w:b w:val="1"/>
          <w:bCs w:val="1"/>
          <w:i w:val="1"/>
          <w:iCs w:val="1"/>
          <w:color w:val="auto"/>
        </w:rPr>
        <w:t>Clinical trials required for our product candidates are expensive and time-consuming, and their outcome is highly uncertain. If any of our drug trials are delayed or yield unfavorable results, regulatory approval for our product candidates may be delayed or become unobtainable.</w:t>
      </w:r>
    </w:p>
    <w:p>
      <w:pPr>
        <w:spacing w:after="0" w:line="173" w:lineRule="exact"/>
        <w:rPr>
          <w:sz w:val="20"/>
          <w:szCs w:val="20"/>
          <w:color w:val="auto"/>
        </w:rPr>
      </w:pPr>
    </w:p>
    <w:p>
      <w:pPr>
        <w:jc w:val="both"/>
        <w:ind w:firstLine="223"/>
        <w:spacing w:after="0" w:line="307" w:lineRule="auto"/>
        <w:rPr>
          <w:sz w:val="20"/>
          <w:szCs w:val="20"/>
          <w:color w:val="auto"/>
        </w:rPr>
      </w:pPr>
      <w:r>
        <w:rPr>
          <w:rFonts w:ascii="Arial" w:cs="Arial" w:eastAsia="Arial" w:hAnsi="Arial"/>
          <w:sz w:val="11"/>
          <w:szCs w:val="11"/>
          <w:color w:val="auto"/>
        </w:rPr>
        <w:t>As described above, 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protocol, or applicable regulations related to GCPs.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55" w:lineRule="exact"/>
        <w:rPr>
          <w:sz w:val="20"/>
          <w:szCs w:val="20"/>
          <w:color w:val="auto"/>
        </w:rPr>
      </w:pPr>
    </w:p>
    <w:p>
      <w:pPr>
        <w:jc w:val="both"/>
        <w:ind w:firstLine="204"/>
        <w:spacing w:after="0" w:line="258" w:lineRule="auto"/>
        <w:rPr>
          <w:sz w:val="20"/>
          <w:szCs w:val="20"/>
          <w:color w:val="auto"/>
        </w:rPr>
      </w:pPr>
      <w:r>
        <w:rPr>
          <w:rFonts w:ascii="Arial" w:cs="Arial" w:eastAsia="Arial" w:hAnsi="Arial"/>
          <w:sz w:val="13"/>
          <w:szCs w:val="13"/>
          <w:color w:val="auto"/>
        </w:rPr>
        <w:t>We will need to reevaluate any drug candidate that does not test favorably and either conduct new trials, which are expensive and time consuming, or abandon the drug development program. The failure of clinical trials to demonstrate the safety and effectiveness of our clinical candidates for the desired indication(s) would preclude the successful development of those candidates for such indication(s), in which event our business, financial condition, and results of operations may be materially harmed.</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Successful development of our current and future product candidates is uncertain.</w:t>
      </w:r>
    </w:p>
    <w:p>
      <w:pPr>
        <w:spacing w:after="0" w:line="199" w:lineRule="exact"/>
        <w:rPr>
          <w:sz w:val="20"/>
          <w:szCs w:val="20"/>
          <w:color w:val="auto"/>
        </w:rPr>
      </w:pPr>
    </w:p>
    <w:p>
      <w:pPr>
        <w:jc w:val="both"/>
        <w:ind w:firstLine="214"/>
        <w:spacing w:after="0" w:line="255" w:lineRule="auto"/>
        <w:rPr>
          <w:sz w:val="20"/>
          <w:szCs w:val="20"/>
          <w:color w:val="auto"/>
        </w:rPr>
      </w:pPr>
      <w:r>
        <w:rPr>
          <w:rFonts w:ascii="Arial" w:cs="Arial" w:eastAsia="Arial" w:hAnsi="Arial"/>
          <w:sz w:val="12"/>
          <w:szCs w:val="12"/>
          <w:color w:val="auto"/>
        </w:rPr>
        <w:t>Only a small minority of all research and development programs ultimately result in commercially successful drugs. We are testing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and VEGF Trap-Eye in a number of late-stage clinical trials. Clinical trials may not demonstrate statistically sufficient effectiveness and safety to obtain the requisite regulatory approvals for these product candidates. In a number of instances, we have terminated the development of product candidates due to a lack of or only modest effectiveness. Moreover, even if we obtain positive results from preclinical or clinical trials, we may not achieve the same success in future trials. Many companies in the biopharmaceutical industry, including Regeneron, have suffered significant setbacks in clinical trials, even after promising results have been obtained in earlier trials.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502" w:right="219" w:bottom="1440" w:gutter="0" w:footer="0" w:header="0"/>
        </w:sectPr>
      </w:pPr>
    </w:p>
    <w:bookmarkStart w:id="41" w:name="page42"/>
    <w:bookmarkEnd w:id="41"/>
    <w:p>
      <w:pPr>
        <w:jc w:val="both"/>
        <w:ind w:firstLine="194"/>
        <w:spacing w:after="0" w:line="252" w:lineRule="auto"/>
        <w:rPr>
          <w:sz w:val="20"/>
          <w:szCs w:val="20"/>
          <w:color w:val="auto"/>
        </w:rPr>
      </w:pPr>
      <w:r>
        <w:rPr>
          <w:rFonts w:ascii="Arial" w:cs="Arial" w:eastAsia="Arial" w:hAnsi="Arial"/>
          <w:sz w:val="11"/>
          <w:szCs w:val="11"/>
          <w:color w:val="auto"/>
        </w:rPr>
        <w:t>In April 2011 we announced that our Phase 3 VELOUR trial of 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met its primary endpoint of improving overall survival in the second-line treatment of mCRC, and that based upon these positive results, we and sanofi-aventis plan to submit regulatory applications for marketing approval to the FDA and EMA in the second half of 2011. However, we can give no assurance as to whether or when such applications, if submitted, will be approved. 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is also in a Phase 3 clinical trial in combination with a standard chemotherapy regimen for the treatment of first-line androgen independent prostate cancer. We do not have proof of concept data from early-stage, double-blind, controlled clinical trials that 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will be safe or effective in this cancer setting. In March 2010, Genentech announced that a Phase 3 trial of its VEGF antagonist, Avastin</w:t>
      </w:r>
      <w:r>
        <w:rPr>
          <w:rFonts w:ascii="Arial" w:cs="Arial" w:eastAsia="Arial" w:hAnsi="Arial"/>
          <w:sz w:val="15"/>
          <w:szCs w:val="15"/>
          <w:color w:val="auto"/>
          <w:vertAlign w:val="superscript"/>
        </w:rPr>
        <w:t>®</w:t>
      </w:r>
      <w:r>
        <w:rPr>
          <w:rFonts w:ascii="Arial" w:cs="Arial" w:eastAsia="Arial" w:hAnsi="Arial"/>
          <w:sz w:val="11"/>
          <w:szCs w:val="11"/>
          <w:color w:val="auto"/>
        </w:rPr>
        <w:t xml:space="preserve"> (Bevacizumab Injection), in combination with chemotherapy in men with prostate cancer, did not meet its primary endpoint. This trial had a very similar design to our ongoing Phase 3 trial of 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in prostate cancer.</w:t>
      </w:r>
    </w:p>
    <w:p>
      <w:pPr>
        <w:spacing w:after="0" w:line="114" w:lineRule="exact"/>
        <w:rPr>
          <w:sz w:val="20"/>
          <w:szCs w:val="20"/>
          <w:color w:val="auto"/>
        </w:rPr>
      </w:pPr>
    </w:p>
    <w:p>
      <w:pPr>
        <w:jc w:val="both"/>
        <w:ind w:firstLine="223"/>
        <w:spacing w:after="0" w:line="251" w:lineRule="auto"/>
        <w:rPr>
          <w:sz w:val="20"/>
          <w:szCs w:val="20"/>
          <w:color w:val="auto"/>
        </w:rPr>
      </w:pPr>
      <w:r>
        <w:rPr>
          <w:rFonts w:ascii="Arial" w:cs="Arial" w:eastAsia="Arial" w:hAnsi="Arial"/>
          <w:sz w:val="13"/>
          <w:szCs w:val="13"/>
          <w:color w:val="auto"/>
        </w:rPr>
        <w:t>We are testing VEGF Trap-Eye in Phase 3 trials for the treatment of wet AMD, the treatment of CRVO, and the treatment of DME. As described above, in February 2011, we submitted a BLA to the FDA for marketing approval of VEGF Trap-Eye in wet AMD in the U.S. In April 2011, the FDA accepted the BLA for filing and granted our request for Priority Review. Although we reported positive Phase 3 trial results with VEGF Trap-Eye in wet AMD after one year of treatment, the Phase 3 trials will continue for an additional year and there is a risk that the results from the second year of the studies could differ from the previously reported results; such difference could delay or preclude regulatory approval or, if regulatory approval has been granted, result in the revocation of such approval. We also reported positive Phase 3 trial results with VEGF Trap-Eye in CRVO after six months of treatment. The trials are continuing and there is a risk that the one-year results from the studies could differ from the previously reported results, and such final results could delay or preclude regulatory approval. We also reported positive results of a Phase 2 trial in the treatment of DME and that we have initiated a Phase 3 program in that indication. A number of other potential new drugs and biologics which showed promising results in Phase 1 and 2 clinical trials subsequently failed to establish sufficient safety and efficacy data to obtain necessary regulatory approvals, and this could occur with respect to subsequent clinical trials of VEGF Trap-Eye for the treatment of DME.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Based on the results of three Phase 3 studies, we plan to submit a supplemental BLA to the FDA seeking approval of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for the prevention of gout flares in patients initiating uric acid-lowering drug therapy.</w:t>
      </w:r>
    </w:p>
    <w:p>
      <w:pPr>
        <w:spacing w:after="0"/>
        <w:rPr>
          <w:sz w:val="20"/>
          <w:szCs w:val="20"/>
          <w:color w:val="auto"/>
        </w:rPr>
      </w:pPr>
      <w:r>
        <w:rPr>
          <w:rFonts w:ascii="Arial" w:cs="Arial" w:eastAsia="Arial" w:hAnsi="Arial"/>
          <w:sz w:val="13"/>
          <w:szCs w:val="13"/>
          <w:color w:val="auto"/>
        </w:rPr>
        <w:t>However, there can be no assurance as to if or when the FDA will grant such approval.</w:t>
      </w:r>
    </w:p>
    <w:p>
      <w:pPr>
        <w:spacing w:after="0" w:line="190" w:lineRule="exact"/>
        <w:rPr>
          <w:sz w:val="20"/>
          <w:szCs w:val="20"/>
          <w:color w:val="auto"/>
        </w:rPr>
      </w:pPr>
    </w:p>
    <w:p>
      <w:pPr>
        <w:jc w:val="both"/>
        <w:ind w:firstLine="194"/>
        <w:spacing w:after="0" w:line="284" w:lineRule="auto"/>
        <w:rPr>
          <w:sz w:val="20"/>
          <w:szCs w:val="20"/>
          <w:color w:val="auto"/>
        </w:rPr>
      </w:pPr>
      <w:r>
        <w:rPr>
          <w:rFonts w:ascii="Arial" w:cs="Arial" w:eastAsia="Arial" w:hAnsi="Arial"/>
          <w:sz w:val="11"/>
          <w:szCs w:val="11"/>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as a first-line treatment for metastic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168" w:lineRule="exact"/>
        <w:rPr>
          <w:sz w:val="20"/>
          <w:szCs w:val="20"/>
          <w:color w:val="auto"/>
        </w:rPr>
      </w:pPr>
    </w:p>
    <w:p>
      <w:pPr>
        <w:jc w:val="both"/>
        <w:ind w:firstLine="214"/>
        <w:spacing w:after="0" w:line="289" w:lineRule="auto"/>
        <w:rPr>
          <w:sz w:val="20"/>
          <w:szCs w:val="20"/>
          <w:color w:val="auto"/>
        </w:rPr>
      </w:pPr>
      <w:r>
        <w:rPr>
          <w:rFonts w:ascii="Arial" w:cs="Arial" w:eastAsia="Arial" w:hAnsi="Arial"/>
          <w:sz w:val="12"/>
          <w:szCs w:val="12"/>
          <w:color w:val="auto"/>
        </w:rPr>
        <w:t>We are studying our antibody candidates in a wide variety of indications in early stage clinical trials. Many of these trials are exploratory studies designed to evaluate the safety profile of these compounds and to identify what diseases and uses, if any, are best suited for these product candidates. These early stage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42" w:name="page43"/>
    <w:bookmarkEnd w:id="42"/>
    <w:p>
      <w:pPr>
        <w:ind w:left="120"/>
        <w:spacing w:after="0" w:line="359" w:lineRule="auto"/>
        <w:rPr>
          <w:sz w:val="20"/>
          <w:szCs w:val="20"/>
          <w:color w:val="auto"/>
        </w:rPr>
      </w:pPr>
      <w:r>
        <w:rPr>
          <w:rFonts w:ascii="Arial" w:cs="Arial" w:eastAsia="Arial" w:hAnsi="Arial"/>
          <w:sz w:val="11"/>
          <w:szCs w:val="11"/>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126" w:lineRule="exact"/>
        <w:rPr>
          <w:sz w:val="20"/>
          <w:szCs w:val="20"/>
          <w:color w:val="auto"/>
        </w:rPr>
      </w:pPr>
    </w:p>
    <w:p>
      <w:pPr>
        <w:jc w:val="both"/>
        <w:ind w:firstLine="214"/>
        <w:spacing w:after="0" w:line="310" w:lineRule="auto"/>
        <w:rPr>
          <w:sz w:val="20"/>
          <w:szCs w:val="20"/>
          <w:color w:val="auto"/>
        </w:rPr>
      </w:pPr>
      <w:r>
        <w:rPr>
          <w:rFonts w:ascii="Arial" w:cs="Arial" w:eastAsia="Arial" w:hAnsi="Arial"/>
          <w:sz w:val="11"/>
          <w:szCs w:val="11"/>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that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53" w:lineRule="exact"/>
        <w:rPr>
          <w:sz w:val="20"/>
          <w:szCs w:val="20"/>
          <w:color w:val="auto"/>
        </w:rPr>
      </w:pPr>
    </w:p>
    <w:p>
      <w:pPr>
        <w:jc w:val="both"/>
        <w:ind w:firstLine="252"/>
        <w:spacing w:after="0" w:line="251" w:lineRule="auto"/>
        <w:rPr>
          <w:sz w:val="20"/>
          <w:szCs w:val="20"/>
          <w:color w:val="auto"/>
        </w:rPr>
      </w:pPr>
      <w:r>
        <w:rPr>
          <w:rFonts w:ascii="Arial" w:cs="Arial" w:eastAsia="Arial" w:hAnsi="Arial"/>
          <w:sz w:val="12"/>
          <w:szCs w:val="12"/>
          <w:color w:val="auto"/>
        </w:rPr>
        <w:t>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is being studied for the potential treatment of certain types of cancer and our VEGF Trap-Eye candidate is being studied in diseases of the eye. There are many potential safety concerns associated with significant blockade of VEGF that may limit our ability to successfully develop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and VEGF Trap-Eye.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VEGF Trap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 drugs like VEGF Trap-Eye, which can cause injury to the eye and other complications. These and other complications or side effects could harm the development of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for the treatment of cancer or VEGF Trap-Eye for the treatment of diseases of the eye.</w:t>
      </w:r>
    </w:p>
    <w:p>
      <w:pPr>
        <w:spacing w:after="0" w:line="116" w:lineRule="exact"/>
        <w:rPr>
          <w:sz w:val="20"/>
          <w:szCs w:val="20"/>
          <w:color w:val="auto"/>
        </w:rPr>
      </w:pPr>
    </w:p>
    <w:p>
      <w:pPr>
        <w:jc w:val="both"/>
        <w:ind w:firstLine="214"/>
        <w:spacing w:after="0" w:line="221" w:lineRule="auto"/>
        <w:rPr>
          <w:sz w:val="20"/>
          <w:szCs w:val="20"/>
          <w:color w:val="auto"/>
        </w:rPr>
      </w:pPr>
      <w:r>
        <w:rPr>
          <w:rFonts w:ascii="Arial" w:cs="Arial" w:eastAsia="Arial" w:hAnsi="Arial"/>
          <w:sz w:val="12"/>
          <w:szCs w:val="12"/>
          <w:color w:val="auto"/>
        </w:rPr>
        <w:t>As more patients begin to use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if it receives approval for the prevention of gout flares in patients initiating uric acid-lowering therapy, and to the extent it is tested in new disease settings, new risks and side effects associated with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may be discovered, and risks previously viewed as inconsequential could be determined to be significant. Like cytokine antagonists such as Ilaris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(canakinumab), a registered trademark of Novartis, Kineret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(anakinra), a registered trademark of Biovitrum AB, Enbrel</w:t>
      </w:r>
      <w:r>
        <w:rPr>
          <w:rFonts w:ascii="Arial" w:cs="Arial" w:eastAsia="Arial" w:hAnsi="Arial"/>
          <w:sz w:val="16"/>
          <w:szCs w:val="16"/>
          <w:color w:val="auto"/>
          <w:vertAlign w:val="superscript"/>
        </w:rPr>
        <w:t>®</w:t>
      </w:r>
      <w:r>
        <w:rPr>
          <w:rFonts w:ascii="Arial" w:cs="Arial" w:eastAsia="Arial" w:hAnsi="Arial"/>
          <w:sz w:val="12"/>
          <w:szCs w:val="12"/>
          <w:color w:val="auto"/>
        </w:rPr>
        <w:t xml:space="preserve"> (etanercept), a registered trademark of Amgen, Inc. and Pfizer Inc., and Remicade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(infliximab) a registered trademark of Centocor Ortho Biotech,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affects the immune defense system of the body by blocking some of its functions. Therefore,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may interfere with the body’s ability to fight infections. Treatment with Kineret</w:t>
      </w:r>
      <w:r>
        <w:rPr>
          <w:rFonts w:ascii="Arial" w:cs="Arial" w:eastAsia="Arial" w:hAnsi="Arial"/>
          <w:sz w:val="16"/>
          <w:szCs w:val="16"/>
          <w:color w:val="auto"/>
          <w:vertAlign w:val="superscript"/>
        </w:rPr>
        <w:t>®</w:t>
      </w:r>
      <w:r>
        <w:rPr>
          <w:rFonts w:ascii="Arial" w:cs="Arial" w:eastAsia="Arial" w:hAnsi="Arial"/>
          <w:sz w:val="12"/>
          <w:szCs w:val="12"/>
          <w:color w:val="auto"/>
        </w:rPr>
        <w:t>, a medication that works through the inhibition of IL-1, has been associated with an increased risk of serious infections, and serious, life threatening infections have been reported in patients taking ARCALYST</w:t>
      </w:r>
      <w:r>
        <w:rPr>
          <w:rFonts w:ascii="Arial" w:cs="Arial" w:eastAsia="Arial" w:hAnsi="Arial"/>
          <w:sz w:val="16"/>
          <w:szCs w:val="16"/>
          <w:color w:val="auto"/>
          <w:vertAlign w:val="superscript"/>
        </w:rPr>
        <w:t>®</w:t>
      </w:r>
      <w:r>
        <w:rPr>
          <w:rFonts w:ascii="Arial" w:cs="Arial" w:eastAsia="Arial" w:hAnsi="Arial"/>
          <w:sz w:val="12"/>
          <w:szCs w:val="12"/>
          <w:color w:val="auto"/>
        </w:rPr>
        <w:t>. These or other complications or side effects could cause regulatory authorities to revoke approvals of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treatment of CAPS or deny the approval of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prevention of gout flares in patients initiating uric acid-lowering treatment or other disease settings. Alternatively, we may be required to conduct additional clinical trials, make changes in the labeling of our product, or limit or abandon our efforts to develop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in new disease settings. Any such side effects may also result in a reduction, or even the elimination, of sales of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in approved indications.</w:t>
      </w:r>
    </w:p>
    <w:p>
      <w:pPr>
        <w:spacing w:after="0" w:line="125" w:lineRule="exact"/>
        <w:rPr>
          <w:sz w:val="20"/>
          <w:szCs w:val="20"/>
          <w:color w:val="auto"/>
        </w:rPr>
      </w:pPr>
    </w:p>
    <w:p>
      <w:pPr>
        <w:jc w:val="both"/>
        <w:ind w:firstLine="233"/>
        <w:spacing w:after="0" w:line="255" w:lineRule="auto"/>
        <w:rPr>
          <w:sz w:val="20"/>
          <w:szCs w:val="20"/>
          <w:color w:val="auto"/>
        </w:rPr>
      </w:pPr>
      <w:r>
        <w:rPr>
          <w:rFonts w:ascii="Arial" w:cs="Arial" w:eastAsia="Arial" w:hAnsi="Arial"/>
          <w:sz w:val="13"/>
          <w:szCs w:val="13"/>
          <w:color w:val="auto"/>
        </w:rPr>
        <w:t>We are studying REGN475, a fully human monoclonal antibody to NGF, in a variety of pain indications, including osteoarthritis of the knee. In December 2010, we were informed 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placed REGN475 on clinical hold. There are currently no ongoing trials with REGN475 that are either enrolling or treating patients.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483" w:right="219" w:bottom="1440" w:gutter="0" w:footer="0" w:header="0"/>
        </w:sectPr>
      </w:pPr>
    </w:p>
    <w:bookmarkStart w:id="43" w:name="page44"/>
    <w:bookmarkEnd w:id="43"/>
    <w:p>
      <w:pPr>
        <w:jc w:val="center"/>
        <w:spacing w:after="0"/>
        <w:rPr>
          <w:sz w:val="20"/>
          <w:szCs w:val="20"/>
          <w:color w:val="auto"/>
        </w:rPr>
      </w:pPr>
      <w:r>
        <w:rPr>
          <w:rFonts w:ascii="Arial" w:cs="Arial" w:eastAsia="Arial" w:hAnsi="Arial"/>
          <w:sz w:val="11"/>
          <w:szCs w:val="11"/>
          <w:b w:val="1"/>
          <w:bCs w:val="1"/>
          <w:i w:val="1"/>
          <w:iCs w:val="1"/>
          <w:color w:val="auto"/>
        </w:rPr>
        <w:t>ARCALYST</w:t>
      </w:r>
      <w:r>
        <w:rPr>
          <w:rFonts w:ascii="Arial" w:cs="Arial" w:eastAsia="Arial" w:hAnsi="Arial"/>
          <w:sz w:val="15"/>
          <w:szCs w:val="15"/>
          <w:b w:val="1"/>
          <w:bCs w:val="1"/>
          <w:i w:val="1"/>
          <w:iCs w:val="1"/>
          <w:color w:val="auto"/>
          <w:vertAlign w:val="superscript"/>
        </w:rPr>
        <w:t>®</w:t>
      </w:r>
      <w:r>
        <w:rPr>
          <w:rFonts w:ascii="Arial" w:cs="Arial" w:eastAsia="Arial" w:hAnsi="Arial"/>
          <w:sz w:val="11"/>
          <w:szCs w:val="11"/>
          <w:b w:val="1"/>
          <w:bCs w:val="1"/>
          <w:i w:val="1"/>
          <w:iCs w:val="1"/>
          <w:color w:val="auto"/>
        </w:rPr>
        <w:t xml:space="preserve"> and our product candidates in development are recombinant proteins that could cause an immune response, resulting in the creation of harmful or neutralizing antibodies against the therapeutic protein.</w:t>
      </w:r>
    </w:p>
    <w:p>
      <w:pPr>
        <w:spacing w:after="0" w:line="178" w:lineRule="exact"/>
        <w:rPr>
          <w:sz w:val="20"/>
          <w:szCs w:val="20"/>
          <w:color w:val="auto"/>
        </w:rPr>
      </w:pPr>
    </w:p>
    <w:p>
      <w:pPr>
        <w:jc w:val="both"/>
        <w:ind w:right="20" w:firstLine="252"/>
        <w:spacing w:after="0" w:line="241" w:lineRule="auto"/>
        <w:rPr>
          <w:sz w:val="20"/>
          <w:szCs w:val="20"/>
          <w:color w:val="auto"/>
        </w:rPr>
      </w:pPr>
      <w:r>
        <w:rPr>
          <w:rFonts w:ascii="Arial" w:cs="Arial" w:eastAsia="Arial" w:hAnsi="Arial"/>
          <w:sz w:val="12"/>
          <w:szCs w:val="12"/>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were detected in patients with CAPS after treatment with ARCALYST</w:t>
      </w:r>
      <w:r>
        <w:rPr>
          <w:rFonts w:ascii="Arial" w:cs="Arial" w:eastAsia="Arial" w:hAnsi="Arial"/>
          <w:sz w:val="16"/>
          <w:szCs w:val="16"/>
          <w:color w:val="auto"/>
          <w:vertAlign w:val="superscript"/>
        </w:rPr>
        <w:t>®</w:t>
      </w:r>
      <w:r>
        <w:rPr>
          <w:rFonts w:ascii="Arial" w:cs="Arial" w:eastAsia="Arial" w:hAnsi="Arial"/>
          <w:sz w:val="12"/>
          <w:szCs w:val="12"/>
          <w:color w:val="auto"/>
        </w:rPr>
        <w:t>. Nineteen of 55 subjects (35%) who received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and VEGF Trap-Eye with more sensitive assays in different patient populations, we will find that subjects given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and VEGF Trap-Eye develop antibodies to these product candidates, and may also experience side effects related to the antibodies, which could adversely impact the development of such candidates.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We may be unable to formulate or manufacture our product candidates in a way that is suitable for clinical or commercial use.</w:t>
      </w:r>
    </w:p>
    <w:p>
      <w:pPr>
        <w:spacing w:after="0" w:line="200" w:lineRule="exact"/>
        <w:rPr>
          <w:sz w:val="20"/>
          <w:szCs w:val="20"/>
          <w:color w:val="auto"/>
        </w:rPr>
      </w:pPr>
    </w:p>
    <w:p>
      <w:pPr>
        <w:jc w:val="both"/>
        <w:ind w:right="20" w:firstLine="223"/>
        <w:spacing w:after="0" w:line="255" w:lineRule="auto"/>
        <w:rPr>
          <w:sz w:val="20"/>
          <w:szCs w:val="20"/>
          <w:color w:val="auto"/>
        </w:rPr>
      </w:pPr>
      <w:r>
        <w:rPr>
          <w:rFonts w:ascii="Arial" w:cs="Arial" w:eastAsia="Arial" w:hAnsi="Arial"/>
          <w:sz w:val="13"/>
          <w:szCs w:val="13"/>
          <w:color w:val="auto"/>
        </w:rPr>
        <w:t>Changes in product formulations and manufacturing processes may be required as product candidates progress in clinical development and are ultimately commercialized. If we are unable to continue to develop suitable product formulations or manufacturing processes to support large scale clinical testing of our product candidates, including our antibody candidates,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00" w:lineRule="exact"/>
        <w:rPr>
          <w:sz w:val="20"/>
          <w:szCs w:val="20"/>
          <w:color w:val="auto"/>
        </w:rPr>
      </w:pPr>
    </w:p>
    <w:p>
      <w:pPr>
        <w:jc w:val="both"/>
        <w:ind w:firstLine="194"/>
        <w:spacing w:after="0" w:line="305" w:lineRule="auto"/>
        <w:rPr>
          <w:sz w:val="20"/>
          <w:szCs w:val="20"/>
          <w:color w:val="auto"/>
        </w:rPr>
      </w:pPr>
      <w:r>
        <w:rPr>
          <w:rFonts w:ascii="Arial" w:cs="Arial" w:eastAsia="Arial" w:hAnsi="Arial"/>
          <w:sz w:val="11"/>
          <w:szCs w:val="11"/>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37" w:lineRule="exact"/>
        <w:rPr>
          <w:sz w:val="20"/>
          <w:szCs w:val="20"/>
          <w:color w:val="auto"/>
        </w:rPr>
      </w:pPr>
    </w:p>
    <w:p>
      <w:pPr>
        <w:ind w:left="120" w:right="20"/>
        <w:spacing w:after="0" w:line="266" w:lineRule="auto"/>
        <w:rPr>
          <w:sz w:val="20"/>
          <w:szCs w:val="20"/>
          <w:color w:val="auto"/>
        </w:rPr>
      </w:pPr>
      <w:r>
        <w:rPr>
          <w:rFonts w:ascii="Arial" w:cs="Arial" w:eastAsia="Arial" w:hAnsi="Arial"/>
          <w:sz w:val="13"/>
          <w:szCs w:val="13"/>
          <w:b w:val="1"/>
          <w:bCs w:val="1"/>
          <w:i w:val="1"/>
          <w:iCs w:val="1"/>
          <w:color w:val="auto"/>
        </w:rPr>
        <w:t>We may be restricted in our development, 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p>
    <w:p>
      <w:pPr>
        <w:spacing w:after="0" w:line="173" w:lineRule="exact"/>
        <w:rPr>
          <w:sz w:val="20"/>
          <w:szCs w:val="20"/>
          <w:color w:val="auto"/>
        </w:rPr>
      </w:pPr>
    </w:p>
    <w:p>
      <w:pPr>
        <w:jc w:val="both"/>
        <w:ind w:right="20" w:firstLine="214"/>
        <w:spacing w:after="0" w:line="330" w:lineRule="auto"/>
        <w:rPr>
          <w:sz w:val="20"/>
          <w:szCs w:val="20"/>
          <w:color w:val="auto"/>
        </w:rPr>
      </w:pPr>
      <w:r>
        <w:rPr>
          <w:rFonts w:ascii="Arial" w:cs="Arial" w:eastAsia="Arial" w:hAnsi="Arial"/>
          <w:sz w:val="11"/>
          <w:szCs w:val="11"/>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1"/>
          <w:szCs w:val="11"/>
          <w:i w:val="1"/>
          <w:iCs w:val="1"/>
          <w:color w:val="auto"/>
        </w:rPr>
        <w:t>VelocImmune</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technology, either because of the way the antibodies are discovered or produced or because of a proprietary position covering an antibody or the antibody’s target.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82" w:right="199" w:bottom="1440" w:gutter="0" w:footer="0" w:header="0"/>
        </w:sectPr>
      </w:pPr>
    </w:p>
    <w:bookmarkStart w:id="44" w:name="page45"/>
    <w:bookmarkEnd w:id="44"/>
    <w:p>
      <w:pPr>
        <w:jc w:val="both"/>
        <w:ind w:firstLine="223"/>
        <w:spacing w:after="0" w:line="257" w:lineRule="auto"/>
        <w:rPr>
          <w:sz w:val="20"/>
          <w:szCs w:val="20"/>
          <w:color w:val="auto"/>
        </w:rPr>
      </w:pPr>
      <w:r>
        <w:rPr>
          <w:rFonts w:ascii="Arial" w:cs="Arial" w:eastAsia="Arial" w:hAnsi="Arial"/>
          <w:sz w:val="12"/>
          <w:szCs w:val="12"/>
          <w:color w:val="auto"/>
        </w:rPr>
        <w:t>We are aware of patents and pending applications owned by Genentech that claim certain chimeric VEGF receptors. We do not believe that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or VEGF Trap-Eye infringes any valid claim in these patents or patent applications. As described above under Item 1 (“Legal Proceedings”), in November 2010, we commenced a lawsuit against Genentech in the U.S. District Court for the Southern District of New York, seeking a declaratory judgment that no activities relating to the Regeneron VEGF Trap infringe any valid claim of certain Genentech patents referred to as the Davis-Smyth patents. In April 2011, we and Genentech entered into a Joint Stipulation whereby Genentech agreed that it would not seek to transfer the case to another judicial district or move to dismiss the case for lack of subject matter jurisdiction. On April 25, 2011, Genentech filed an answer to our complaint, denying that we are entitled to the declaratory relief being sought by us, and asserting counterclaims that our prior or planned activities relating to VEGF Trap have infringed or will infringe one or more claims of the Davis-Smyth patents. In its answer, Genentech requests a judgment against us for damages, including for willful infringement, and other relief as the Court deems appropriate. We believe Genentech's counterclaims are without merit and intend to defend against them vigorously. However, it is possible that there could be an adverse determination or judgment in this litigation that would materially harm our business by requiring us to seek a license, which may not be available, or precluding the manufacture, further development, or sale of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or VEGF Trap-Eye, or resulting in a damage award. In addition, irrespective of the outcome of this litigation, we have incurred and will likely continue to incur significant costs and expenses associated with this matter, which has negatively affected, and will likely continue to negatively affect, our results of operations. We have initiated patent-related actions against Genentech in Germany and the United Kingdom, and may initiate other actions in other countries outside the U.S., which could have similar or other adverse outcomes that would materially harm our business and which, irrespective of the outcomes, may also entail significant costs and expenses.</w:t>
      </w:r>
    </w:p>
    <w:p>
      <w:pPr>
        <w:spacing w:after="0" w:line="180" w:lineRule="exact"/>
        <w:rPr>
          <w:sz w:val="20"/>
          <w:szCs w:val="20"/>
          <w:color w:val="auto"/>
        </w:rPr>
      </w:pPr>
    </w:p>
    <w:p>
      <w:pPr>
        <w:jc w:val="both"/>
        <w:ind w:firstLine="214"/>
        <w:spacing w:after="0" w:line="258" w:lineRule="auto"/>
        <w:rPr>
          <w:sz w:val="20"/>
          <w:szCs w:val="20"/>
          <w:color w:val="auto"/>
        </w:rPr>
      </w:pPr>
      <w:r>
        <w:rPr>
          <w:rFonts w:ascii="Arial" w:cs="Arial" w:eastAsia="Arial" w:hAnsi="Arial"/>
          <w:sz w:val="13"/>
          <w:szCs w:val="13"/>
          <w:color w:val="auto"/>
        </w:rPr>
        <w:t>We are aware of patents and pending applications owned by Roche that claim antibodies to IL-6R and methods of treating rheumatoid arthritis with such antibodies. We are developing REGN88, an antibody to IL-6R,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178" w:lineRule="exact"/>
        <w:rPr>
          <w:sz w:val="20"/>
          <w:szCs w:val="20"/>
          <w:color w:val="auto"/>
        </w:rPr>
      </w:pPr>
    </w:p>
    <w:p>
      <w:pPr>
        <w:jc w:val="both"/>
        <w:ind w:firstLine="233"/>
        <w:spacing w:after="0" w:line="258" w:lineRule="auto"/>
        <w:rPr>
          <w:sz w:val="20"/>
          <w:szCs w:val="20"/>
          <w:color w:val="auto"/>
        </w:rPr>
      </w:pPr>
      <w:r>
        <w:rPr>
          <w:rFonts w:ascii="Arial" w:cs="Arial" w:eastAsia="Arial" w:hAnsi="Arial"/>
          <w:sz w:val="12"/>
          <w:szCs w:val="12"/>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w:t>
      </w:r>
      <w:r>
        <w:rPr>
          <w:rFonts w:ascii="Arial" w:cs="Arial" w:eastAsia="Arial" w:hAnsi="Arial"/>
          <w:sz w:val="16"/>
          <w:szCs w:val="16"/>
          <w:color w:val="auto"/>
          <w:vertAlign w:val="superscript"/>
        </w:rPr>
        <w:t>®</w:t>
      </w:r>
      <w:r>
        <w:rPr>
          <w:rFonts w:ascii="Arial" w:cs="Arial" w:eastAsia="Arial" w:hAnsi="Arial"/>
          <w:sz w:val="12"/>
          <w:szCs w:val="12"/>
          <w:color w:val="auto"/>
        </w:rPr>
        <w:t>, ZALTRAP</w:t>
      </w:r>
      <w:r>
        <w:rPr>
          <w:rFonts w:ascii="Arial" w:cs="Arial" w:eastAsia="Arial" w:hAnsi="Arial"/>
          <w:sz w:val="16"/>
          <w:szCs w:val="16"/>
          <w:color w:val="auto"/>
          <w:vertAlign w:val="superscript"/>
        </w:rPr>
        <w:t>TM</w:t>
      </w:r>
      <w:r>
        <w:rPr>
          <w:rFonts w:ascii="Arial" w:cs="Arial" w:eastAsia="Arial" w:hAnsi="Arial"/>
          <w:sz w:val="12"/>
          <w:szCs w:val="12"/>
          <w:color w:val="auto"/>
        </w:rPr>
        <w:t>, nor VEGF Trap-Eye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U.S.</w:t>
      </w:r>
    </w:p>
    <w:p>
      <w:pPr>
        <w:spacing w:after="0" w:line="179" w:lineRule="exact"/>
        <w:rPr>
          <w:sz w:val="20"/>
          <w:szCs w:val="20"/>
          <w:color w:val="auto"/>
        </w:rPr>
      </w:pPr>
    </w:p>
    <w:p>
      <w:pPr>
        <w:jc w:val="both"/>
        <w:ind w:firstLine="194"/>
        <w:spacing w:after="0" w:line="266" w:lineRule="auto"/>
        <w:rPr>
          <w:sz w:val="20"/>
          <w:szCs w:val="20"/>
          <w:color w:val="auto"/>
        </w:rPr>
      </w:pPr>
      <w:r>
        <w:rPr>
          <w:rFonts w:ascii="Arial" w:cs="Arial" w:eastAsia="Arial" w:hAnsi="Arial"/>
          <w:sz w:val="13"/>
          <w:szCs w:val="13"/>
          <w:color w:val="auto"/>
        </w:rPr>
        <w:t>Further, we are aware of a number of other third-party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73" w:lineRule="exact"/>
        <w:rPr>
          <w:sz w:val="20"/>
          <w:szCs w:val="20"/>
          <w:color w:val="auto"/>
        </w:rPr>
      </w:pPr>
    </w:p>
    <w:p>
      <w:pPr>
        <w:jc w:val="both"/>
        <w:ind w:firstLine="204"/>
        <w:spacing w:after="0" w:line="255" w:lineRule="auto"/>
        <w:rPr>
          <w:sz w:val="20"/>
          <w:szCs w:val="20"/>
          <w:color w:val="auto"/>
        </w:rPr>
      </w:pPr>
      <w:r>
        <w:rPr>
          <w:rFonts w:ascii="Arial" w:cs="Arial" w:eastAsia="Arial" w:hAnsi="Arial"/>
          <w:sz w:val="13"/>
          <w:szCs w:val="13"/>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180" w:lineRule="exact"/>
        <w:rPr>
          <w:sz w:val="20"/>
          <w:szCs w:val="20"/>
          <w:color w:val="auto"/>
        </w:rPr>
      </w:pPr>
    </w:p>
    <w:p>
      <w:pPr>
        <w:jc w:val="both"/>
        <w:ind w:firstLine="194"/>
        <w:spacing w:after="0" w:line="266" w:lineRule="auto"/>
        <w:rPr>
          <w:sz w:val="20"/>
          <w:szCs w:val="20"/>
          <w:color w:val="auto"/>
        </w:rPr>
      </w:pPr>
      <w:r>
        <w:rPr>
          <w:rFonts w:ascii="Arial" w:cs="Arial" w:eastAsia="Arial" w:hAnsi="Arial"/>
          <w:sz w:val="13"/>
          <w:szCs w:val="13"/>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auto"/>
        </w:rPr>
        <w:t>Risks Related to Manufacturing and Supply</w:t>
      </w:r>
    </w:p>
    <w:p>
      <w:pPr>
        <w:spacing w:after="0" w:line="185" w:lineRule="exact"/>
        <w:rPr>
          <w:sz w:val="20"/>
          <w:szCs w:val="20"/>
          <w:color w:val="auto"/>
        </w:rPr>
      </w:pPr>
    </w:p>
    <w:p>
      <w:pPr>
        <w:ind w:left="120" w:right="20"/>
        <w:spacing w:after="0" w:line="266" w:lineRule="auto"/>
        <w:rPr>
          <w:sz w:val="20"/>
          <w:szCs w:val="20"/>
          <w:color w:val="auto"/>
        </w:rPr>
      </w:pPr>
      <w:r>
        <w:rPr>
          <w:rFonts w:ascii="Arial" w:cs="Arial" w:eastAsia="Arial" w:hAnsi="Arial"/>
          <w:sz w:val="13"/>
          <w:szCs w:val="13"/>
          <w:b w:val="1"/>
          <w:bCs w:val="1"/>
          <w:i w:val="1"/>
          <w:iCs w:val="1"/>
          <w:color w:val="auto"/>
        </w:rPr>
        <w:t>We have limited manufacturing capacity, and we rely on contract manufacturers for fill and finish, which could result in our being unable to successfully commercialize our products if they receive regulatory approval and to continue to develop our clinical candidates.</w:t>
      </w:r>
    </w:p>
    <w:p>
      <w:pPr>
        <w:spacing w:after="0" w:line="173" w:lineRule="exact"/>
        <w:rPr>
          <w:sz w:val="20"/>
          <w:szCs w:val="20"/>
          <w:color w:val="auto"/>
        </w:rPr>
      </w:pPr>
    </w:p>
    <w:p>
      <w:pPr>
        <w:jc w:val="both"/>
        <w:ind w:firstLine="204"/>
        <w:spacing w:after="0" w:line="276" w:lineRule="auto"/>
        <w:rPr>
          <w:sz w:val="20"/>
          <w:szCs w:val="20"/>
          <w:color w:val="auto"/>
        </w:rPr>
      </w:pPr>
      <w:r>
        <w:rPr>
          <w:rFonts w:ascii="Arial" w:cs="Arial" w:eastAsia="Arial" w:hAnsi="Arial"/>
          <w:sz w:val="12"/>
          <w:szCs w:val="12"/>
          <w:color w:val="auto"/>
        </w:rPr>
        <w:t>Our manufacturing facility is likely to be inadequate to produce sufficient commercial quantities of all of our late-stage products if they receive regulatory approval. We intend to rely on our corporate collaborators, as well as contract manufacturers, to produce commercial quantities of drug material needed for commercialization of our products to the extent such quantities are not manufactured at our own facility. We rely entirely on third-party manufacturers for filling and finishing services. Generally, in order for third parties to perform any step in the manufacturing and supply chain, we must transfer technology to the third party which can be time consuming and may not be successfully accomplished without considerable cost and expense, or at all. We will have to depend on these third parties to perform effectively on a timely basis and to comply with regulatory requirements. If for any reason they are unable to do so, and as a result we are unable to manufacture and supply sufficient commercial quantities of our products on acceptable terms, or if we should encounter delays or other difficulties in our relationships with our corporate collaborators or third-party manufacturers or other vendors in our supply chain which adversely affect the timely manufacture and supply of our products, our business, financial condition, and results of operations may be materially harmed.</w:t>
      </w:r>
    </w:p>
    <w:p>
      <w:pPr>
        <w:spacing w:after="0" w:line="170" w:lineRule="exact"/>
        <w:rPr>
          <w:sz w:val="20"/>
          <w:szCs w:val="20"/>
          <w:color w:val="auto"/>
        </w:rPr>
      </w:pPr>
    </w:p>
    <w:p>
      <w:pPr>
        <w:jc w:val="both"/>
        <w:ind w:firstLine="233"/>
        <w:spacing w:after="0" w:line="252" w:lineRule="auto"/>
        <w:rPr>
          <w:sz w:val="20"/>
          <w:szCs w:val="20"/>
          <w:color w:val="auto"/>
        </w:rPr>
      </w:pPr>
      <w:r>
        <w:rPr>
          <w:rFonts w:ascii="Arial" w:cs="Arial" w:eastAsia="Arial" w:hAnsi="Arial"/>
          <w:sz w:val="12"/>
          <w:szCs w:val="12"/>
          <w:color w:val="auto"/>
        </w:rPr>
        <w:t>We also must expand our own manufacturing capacity to support the planned growth of our clinical pipeline. Moreover, we will need to expand our manufacturing capacity to supply commercial quantities of the active pharmaceutical ingredients for our product candidates if they are approved for marketing.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The FDA and analogous foreign regulatory authorities must determine that our manufacturing facilities comply, or continue to comply, with cGMP requirements for both clinical and commercial production and license them, or continue to license them, accordingly.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VEGF-Trap-Eye, ZALTRAP</w:t>
      </w:r>
      <w:r>
        <w:rPr>
          <w:rFonts w:ascii="Arial" w:cs="Arial" w:eastAsia="Arial" w:hAnsi="Arial"/>
          <w:sz w:val="16"/>
          <w:szCs w:val="16"/>
          <w:color w:val="auto"/>
          <w:vertAlign w:val="superscript"/>
        </w:rPr>
        <w:t>TM</w:t>
      </w:r>
      <w:r>
        <w:rPr>
          <w:rFonts w:ascii="Arial" w:cs="Arial" w:eastAsia="Arial" w:hAnsi="Arial"/>
          <w:sz w:val="12"/>
          <w:szCs w:val="12"/>
          <w:color w:val="auto"/>
        </w:rPr>
        <w:t>, or our other late-stage product candidates if they receive regulatory approval, and to continue to meet the requirements of our clinical programs. This would interfere with our efforts to successfully commercialize VEGF Trap-Eye, ZALTRAP</w:t>
      </w:r>
      <w:r>
        <w:rPr>
          <w:rFonts w:ascii="Arial" w:cs="Arial" w:eastAsia="Arial" w:hAnsi="Arial"/>
          <w:sz w:val="16"/>
          <w:szCs w:val="16"/>
          <w:color w:val="auto"/>
          <w:vertAlign w:val="superscript"/>
        </w:rPr>
        <w:t>TM</w:t>
      </w:r>
      <w:r>
        <w:rPr>
          <w:rFonts w:ascii="Arial" w:cs="Arial" w:eastAsia="Arial" w:hAnsi="Arial"/>
          <w:sz w:val="12"/>
          <w:szCs w:val="12"/>
          <w:color w:val="auto"/>
        </w:rPr>
        <w:t>, and our other late-stage product candidates if they receive regulatory approval and could also delay our clinical development programs. As a result, our business, financial condition, and results of operations may be materially harmed.</w:t>
      </w:r>
    </w:p>
    <w:p>
      <w:pPr>
        <w:spacing w:after="0" w:line="180" w:lineRule="exact"/>
        <w:rPr>
          <w:sz w:val="20"/>
          <w:szCs w:val="20"/>
          <w:color w:val="auto"/>
        </w:rPr>
      </w:pPr>
    </w:p>
    <w:p>
      <w:pPr>
        <w:jc w:val="both"/>
        <w:ind w:firstLine="204"/>
        <w:spacing w:after="0" w:line="229" w:lineRule="auto"/>
        <w:rPr>
          <w:sz w:val="20"/>
          <w:szCs w:val="20"/>
          <w:color w:val="auto"/>
        </w:rPr>
      </w:pPr>
      <w:r>
        <w:rPr>
          <w:rFonts w:ascii="Arial" w:cs="Arial" w:eastAsia="Arial" w:hAnsi="Arial"/>
          <w:sz w:val="13"/>
          <w:szCs w:val="13"/>
          <w:color w:val="auto"/>
        </w:rPr>
        <w:t>We may also be unable to obtain key raw materials and supplies for the manufacture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1"/>
          <w:szCs w:val="11"/>
          <w:b w:val="1"/>
          <w:bCs w:val="1"/>
          <w:i w:val="1"/>
          <w:iCs w:val="1"/>
          <w:color w:val="auto"/>
        </w:rPr>
        <w:t>Our ability to manufacture our products may be impaired if any of our manufacturing activities, or the activities of third parties involved in our manufacture and supply chain, are found to infringe third-party patents.</w:t>
      </w:r>
    </w:p>
    <w:p>
      <w:pPr>
        <w:spacing w:after="0" w:line="222" w:lineRule="exact"/>
        <w:rPr>
          <w:sz w:val="20"/>
          <w:szCs w:val="20"/>
          <w:color w:val="auto"/>
        </w:rPr>
      </w:pPr>
    </w:p>
    <w:p>
      <w:pPr>
        <w:jc w:val="both"/>
        <w:ind w:right="20" w:firstLine="252"/>
        <w:spacing w:after="0" w:line="233" w:lineRule="auto"/>
        <w:rPr>
          <w:sz w:val="20"/>
          <w:szCs w:val="20"/>
          <w:color w:val="auto"/>
        </w:rPr>
      </w:pPr>
      <w:r>
        <w:rPr>
          <w:rFonts w:ascii="Arial" w:cs="Arial" w:eastAsia="Arial" w:hAnsi="Arial"/>
          <w:sz w:val="13"/>
          <w:szCs w:val="13"/>
          <w:color w:val="auto"/>
        </w:rPr>
        <w:t>Our ability to manufacture ARCALYST</w:t>
      </w:r>
      <w:r>
        <w:rPr>
          <w:rFonts w:ascii="Arial" w:cs="Arial" w:eastAsia="Arial" w:hAnsi="Arial"/>
          <w:sz w:val="17"/>
          <w:szCs w:val="17"/>
          <w:color w:val="auto"/>
          <w:vertAlign w:val="superscript"/>
        </w:rPr>
        <w:t>®</w:t>
      </w:r>
      <w:r>
        <w:rPr>
          <w:rFonts w:ascii="Arial" w:cs="Arial" w:eastAsia="Arial" w:hAnsi="Arial"/>
          <w:sz w:val="13"/>
          <w:szCs w:val="13"/>
          <w:color w:val="auto"/>
        </w:rPr>
        <w:t>, and our late-stage product candidates, including VEGF Trap-Eye and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our Rensselaer, New York facilities, or to utilize third-party contract manufacturers to produce our products or perform fill/finish services, depends on our and their ability to operate without infringing the patents or other intellectual property rights of third parties.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which could materially harm our business, operations and prospects.</w:t>
      </w:r>
    </w:p>
    <w:p>
      <w:pPr>
        <w:spacing w:after="0" w:line="172" w:lineRule="exact"/>
        <w:rPr>
          <w:sz w:val="20"/>
          <w:szCs w:val="20"/>
          <w:color w:val="auto"/>
        </w:rPr>
      </w:pPr>
    </w:p>
    <w:p>
      <w:pPr>
        <w:ind w:left="120" w:right="20"/>
        <w:spacing w:after="0" w:line="266" w:lineRule="auto"/>
        <w:rPr>
          <w:sz w:val="20"/>
          <w:szCs w:val="20"/>
          <w:color w:val="auto"/>
        </w:rPr>
      </w:pPr>
      <w:r>
        <w:rPr>
          <w:rFonts w:ascii="Arial" w:cs="Arial" w:eastAsia="Arial" w:hAnsi="Arial"/>
          <w:sz w:val="13"/>
          <w:szCs w:val="13"/>
          <w:b w:val="1"/>
          <w:bCs w:val="1"/>
          <w:i w:val="1"/>
          <w:iCs w:val="1"/>
          <w:color w:val="auto"/>
        </w:rPr>
        <w:t>If any of our clinical programs are delayed or discontinued, we may face costs related to the unused capacity at our manufacturing facilities and those of our third-party contract manufacturers performing fill/finish services.</w:t>
      </w:r>
    </w:p>
    <w:p>
      <w:pPr>
        <w:spacing w:after="0" w:line="173" w:lineRule="exact"/>
        <w:rPr>
          <w:sz w:val="20"/>
          <w:szCs w:val="20"/>
          <w:color w:val="auto"/>
        </w:rPr>
      </w:pPr>
    </w:p>
    <w:p>
      <w:pPr>
        <w:jc w:val="both"/>
        <w:ind w:right="20" w:firstLine="194"/>
        <w:spacing w:after="0" w:line="258" w:lineRule="auto"/>
        <w:rPr>
          <w:sz w:val="20"/>
          <w:szCs w:val="20"/>
          <w:color w:val="auto"/>
        </w:rPr>
      </w:pPr>
      <w:r>
        <w:rPr>
          <w:rFonts w:ascii="Arial" w:cs="Arial" w:eastAsia="Arial" w:hAnsi="Arial"/>
          <w:sz w:val="13"/>
          <w:szCs w:val="13"/>
          <w:color w:val="auto"/>
        </w:rPr>
        <w:t>We have large-scale manufacturing operations in Rensselaer, New York. We use our facilities to produce bulk product for clinical and preclinical candidates for ourselves and our collaborations. If our clinical candidates are discontinued, or their clinical development is delayed, we may have to absorb one hundred percent of related overhead costs and inefficiencies, as well as similar costs of third-party contract manufacturers performing fill/finish services for 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79" w:right="199" w:bottom="1440" w:gutter="0" w:footer="0" w:header="0"/>
        </w:sectPr>
      </w:pPr>
    </w:p>
    <w:bookmarkStart w:id="46" w:name="page47"/>
    <w:bookmarkEnd w:id="46"/>
    <w:p>
      <w:pPr>
        <w:ind w:left="120"/>
        <w:spacing w:after="0"/>
        <w:rPr>
          <w:sz w:val="20"/>
          <w:szCs w:val="20"/>
          <w:color w:val="auto"/>
        </w:rPr>
      </w:pPr>
      <w:r>
        <w:rPr>
          <w:rFonts w:ascii="Arial" w:cs="Arial" w:eastAsia="Arial" w:hAnsi="Arial"/>
          <w:sz w:val="11"/>
          <w:szCs w:val="11"/>
          <w:b w:val="1"/>
          <w:bCs w:val="1"/>
          <w:i w:val="1"/>
          <w:iCs w:val="1"/>
          <w:color w:val="auto"/>
        </w:rPr>
        <w:t>Third-party supply or other failures, business interruptions, or natural disasters affecting our manufacturing facilities in Rensselaer, New York could adversely affect our ability to supply our products.</w:t>
      </w:r>
    </w:p>
    <w:p>
      <w:pPr>
        <w:spacing w:after="0" w:line="223" w:lineRule="exact"/>
        <w:rPr>
          <w:sz w:val="20"/>
          <w:szCs w:val="20"/>
          <w:color w:val="auto"/>
        </w:rPr>
      </w:pPr>
    </w:p>
    <w:p>
      <w:pPr>
        <w:jc w:val="both"/>
        <w:ind w:right="20" w:firstLine="252"/>
        <w:spacing w:after="0" w:line="266" w:lineRule="auto"/>
        <w:rPr>
          <w:sz w:val="20"/>
          <w:szCs w:val="20"/>
          <w:color w:val="auto"/>
        </w:rPr>
      </w:pPr>
      <w:r>
        <w:rPr>
          <w:rFonts w:ascii="Arial" w:cs="Arial" w:eastAsia="Arial" w:hAnsi="Arial"/>
          <w:sz w:val="13"/>
          <w:szCs w:val="13"/>
          <w:color w:val="auto"/>
        </w:rPr>
        <w:t>We manufacture all of our bulk drug materials at our manufacturing facilities in Rensselaer, New York. We would be unable to manufacture these materials if our Rensselaer facilities were to cease production due to regulatory requirements or action, business interruptions, labor shortages or disputes, contaminations, fire, natural disasters, or other problems at the facilities.</w:t>
      </w:r>
    </w:p>
    <w:p>
      <w:pPr>
        <w:spacing w:after="0" w:line="172" w:lineRule="exact"/>
        <w:rPr>
          <w:sz w:val="20"/>
          <w:szCs w:val="20"/>
          <w:color w:val="auto"/>
        </w:rPr>
      </w:pPr>
    </w:p>
    <w:p>
      <w:pPr>
        <w:jc w:val="both"/>
        <w:ind w:right="20" w:firstLine="243"/>
        <w:spacing w:after="0" w:line="217" w:lineRule="auto"/>
        <w:rPr>
          <w:sz w:val="20"/>
          <w:szCs w:val="20"/>
          <w:color w:val="auto"/>
        </w:rPr>
      </w:pPr>
      <w:r>
        <w:rPr>
          <w:rFonts w:ascii="Arial" w:cs="Arial" w:eastAsia="Arial" w:hAnsi="Arial"/>
          <w:sz w:val="13"/>
          <w:szCs w:val="13"/>
          <w:color w:val="auto"/>
        </w:rPr>
        <w:t>Certain raw materials necessary for the manufacture and formulation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of our product candidates, including VEGF Trap-Eye and ZALTRAP</w:t>
      </w:r>
      <w:r>
        <w:rPr>
          <w:rFonts w:ascii="Arial" w:cs="Arial" w:eastAsia="Arial" w:hAnsi="Arial"/>
          <w:sz w:val="17"/>
          <w:szCs w:val="17"/>
          <w:color w:val="auto"/>
          <w:vertAlign w:val="superscript"/>
        </w:rPr>
        <w:t>TM</w:t>
      </w:r>
      <w:r>
        <w:rPr>
          <w:rFonts w:ascii="Arial" w:cs="Arial" w:eastAsia="Arial" w:hAnsi="Arial"/>
          <w:sz w:val="13"/>
          <w:szCs w:val="13"/>
          <w:color w:val="auto"/>
        </w:rPr>
        <w:t>, are provided by single-source unaffiliated third-party suppliers. In addition, we rely on certain third parties to perform filling, finishing, distribution, laboratory testing, and other services related to the manufacture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our product candidates. We would be unable to obtain these raw materials or services for an indeterminate period of time if any of these third 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GMPs, business interruptions, or labor shortages or disputes. This, in turn, could materially and adversely affect our ability to manufacture or supply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or our product candidates for use in clinical trials or commercial supply, which could materially and adversely affect our business and future prospects.</w:t>
      </w:r>
    </w:p>
    <w:p>
      <w:pPr>
        <w:spacing w:after="0" w:line="191" w:lineRule="exact"/>
        <w:rPr>
          <w:sz w:val="20"/>
          <w:szCs w:val="20"/>
          <w:color w:val="auto"/>
        </w:rPr>
      </w:pPr>
    </w:p>
    <w:p>
      <w:pPr>
        <w:jc w:val="both"/>
        <w:ind w:right="20" w:firstLine="204"/>
        <w:spacing w:after="0" w:line="258" w:lineRule="auto"/>
        <w:rPr>
          <w:sz w:val="20"/>
          <w:szCs w:val="20"/>
          <w:color w:val="auto"/>
        </w:rPr>
      </w:pPr>
      <w:r>
        <w:rPr>
          <w:rFonts w:ascii="Arial" w:cs="Arial" w:eastAsia="Arial" w:hAnsi="Arial"/>
          <w:sz w:val="13"/>
          <w:szCs w:val="13"/>
          <w:color w:val="auto"/>
        </w:rPr>
        <w:t>Also, 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Commercialization of Products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1"/>
          <w:szCs w:val="11"/>
          <w:b w:val="1"/>
          <w:bCs w:val="1"/>
          <w:i w:val="1"/>
          <w:iCs w:val="1"/>
          <w:color w:val="auto"/>
        </w:rPr>
        <w:t>Even if we receive regulatory approval to market our products, we may be unsuccessful in commercializing them, which would materially harm our business, results of operations, and financial condition.</w:t>
      </w:r>
    </w:p>
    <w:p>
      <w:pPr>
        <w:spacing w:after="0" w:line="223" w:lineRule="exact"/>
        <w:rPr>
          <w:sz w:val="20"/>
          <w:szCs w:val="20"/>
          <w:color w:val="auto"/>
        </w:rPr>
      </w:pPr>
    </w:p>
    <w:p>
      <w:pPr>
        <w:jc w:val="both"/>
        <w:ind w:right="20" w:firstLine="243"/>
        <w:spacing w:after="0" w:line="255" w:lineRule="auto"/>
        <w:rPr>
          <w:sz w:val="20"/>
          <w:szCs w:val="20"/>
          <w:color w:val="auto"/>
        </w:rPr>
      </w:pPr>
      <w:r>
        <w:rPr>
          <w:rFonts w:ascii="Arial" w:cs="Arial" w:eastAsia="Arial" w:hAnsi="Arial"/>
          <w:sz w:val="13"/>
          <w:szCs w:val="13"/>
          <w:color w:val="auto"/>
        </w:rPr>
        <w:t>Even if clinical trials demonstrate the safety and effectiveness of any of our product candidates for a specific disease and the necessary regulatory approvals are obtained, the commercial success of any of our product candidates will depend upon, among other things, their acceptance by patients, the medical community, and third-party payers and on our and our collaborators' ability to successfully manufacture and commercialize those products. Even if we obtain regulatory approval for our product candidates, if they are not successfully commercialized, we will not be able to recover the significant investment we have made in developing such products and our business, results of operations, and financial condition would be severely harmed.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If we are unable to establish sales, marketing, and distribution capabilities, or to enter into agreements with third parties to do so, we will be unable to successfully market and sell our products.</w:t>
      </w:r>
    </w:p>
    <w:p>
      <w:pPr>
        <w:spacing w:after="0" w:line="210" w:lineRule="exact"/>
        <w:rPr>
          <w:sz w:val="20"/>
          <w:szCs w:val="20"/>
          <w:color w:val="auto"/>
        </w:rPr>
      </w:pPr>
    </w:p>
    <w:p>
      <w:pPr>
        <w:jc w:val="both"/>
        <w:ind w:firstLine="262"/>
        <w:spacing w:after="0" w:line="282" w:lineRule="auto"/>
        <w:rPr>
          <w:sz w:val="20"/>
          <w:szCs w:val="20"/>
          <w:color w:val="auto"/>
        </w:rPr>
      </w:pPr>
      <w:r>
        <w:rPr>
          <w:rFonts w:ascii="Arial" w:cs="Arial" w:eastAsia="Arial" w:hAnsi="Arial"/>
          <w:sz w:val="11"/>
          <w:szCs w:val="11"/>
          <w:color w:val="auto"/>
        </w:rPr>
        <w:t>We are selling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for the treatment of CAPS ourselves in the U.S., primarily through third-party service providers. We have no sales or distribution personnel in the U.S. and have only a small staff with commercial capabilities. If we are unable to obtain those capabilities, either by developing our own organizations or entering into agreements with service providers, even if our current or future product candidates receive marketing approval, we will not be able to successfully sell those products. In that event, we will not be able to generate significant revenue, even if our product candidates receive regulatory approval. We cannot guarantee that we will be able to hire the qualified sales and marketing personnel we need or that we will be able to enter into marketing or distribution agreements with third-party providers on acceptable terms, if at all.</w:t>
      </w:r>
    </w:p>
    <w:p>
      <w:pPr>
        <w:spacing w:after="0" w:line="168" w:lineRule="exact"/>
        <w:rPr>
          <w:sz w:val="20"/>
          <w:szCs w:val="20"/>
          <w:color w:val="auto"/>
        </w:rPr>
      </w:pPr>
    </w:p>
    <w:p>
      <w:pPr>
        <w:jc w:val="both"/>
        <w:ind w:right="20" w:firstLine="214"/>
        <w:spacing w:after="0" w:line="249" w:lineRule="auto"/>
        <w:rPr>
          <w:sz w:val="20"/>
          <w:szCs w:val="20"/>
          <w:color w:val="auto"/>
        </w:rPr>
      </w:pPr>
      <w:r>
        <w:rPr>
          <w:rFonts w:ascii="Arial" w:cs="Arial" w:eastAsia="Arial" w:hAnsi="Arial"/>
          <w:sz w:val="12"/>
          <w:szCs w:val="12"/>
          <w:color w:val="auto"/>
        </w:rPr>
        <w:t>We currently have no sales, marketing, commercial, or distribution capabilities outside the U.S. Under the terms of our collaboration agreement with sanofi-aventis, we will rely on sanofi-aventis for sales, marketing, and distribution of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in cancer indications, should it be approved in the future by regulatory authorities for marketing. Under the terms of our license and collaboration agreement with Bayer HealthCare, we will rely on Bayer HealthCare for sales, marketing, and distribution of VEGF Trap-Eye in countries outside the U.S. should it be approved for marketing in such countries.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83" w:right="199" w:bottom="1440" w:gutter="0" w:footer="0" w:header="0"/>
        </w:sectPr>
      </w:pPr>
    </w:p>
    <w:bookmarkStart w:id="47" w:name="page48"/>
    <w:bookmarkEnd w:id="47"/>
    <w:p>
      <w:pPr>
        <w:jc w:val="both"/>
        <w:ind w:firstLine="282"/>
        <w:spacing w:after="0" w:line="263" w:lineRule="auto"/>
        <w:rPr>
          <w:sz w:val="20"/>
          <w:szCs w:val="20"/>
          <w:color w:val="auto"/>
        </w:rPr>
      </w:pPr>
      <w:r>
        <w:rPr>
          <w:rFonts w:ascii="Arial" w:cs="Arial" w:eastAsia="Arial" w:hAnsi="Arial"/>
          <w:sz w:val="12"/>
          <w:szCs w:val="12"/>
          <w:color w:val="auto"/>
        </w:rPr>
        <w:t>We will have to rely on a third party or devote significant resources to develop our own sales, marketing, and distribution capabilities for our other product candidates, including VEGF Trap-Eye in the U.S. and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patients with gout initiating uric acid-lowering drug therapy if such products receive regulatory approval. Though we are currently actively pursuing establishing our own sales, marketing, and distribution organization in anticipation of receiving regulatory approval to market and sell in the U.S. VEGF Trap-Eye for the treatment of wet AMD, and in anticipation of filing for and receiving regulatory approval to market and sell in the U.S. VEGF Trap-Eye for the treatment of CRVO and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prevention of gout flares in patients initiating uric acid-lowering treatment, we may be unsuccessful in doing so.</w:t>
      </w:r>
    </w:p>
    <w:p>
      <w:pPr>
        <w:spacing w:after="0" w:line="110" w:lineRule="exact"/>
        <w:rPr>
          <w:sz w:val="20"/>
          <w:szCs w:val="20"/>
          <w:color w:val="auto"/>
        </w:rPr>
      </w:pPr>
    </w:p>
    <w:p>
      <w:pPr>
        <w:jc w:val="both"/>
        <w:ind w:firstLine="214"/>
        <w:spacing w:after="0" w:line="239" w:lineRule="auto"/>
        <w:rPr>
          <w:sz w:val="20"/>
          <w:szCs w:val="20"/>
          <w:color w:val="auto"/>
        </w:rPr>
      </w:pPr>
      <w:r>
        <w:rPr>
          <w:rFonts w:ascii="Arial" w:cs="Arial" w:eastAsia="Arial" w:hAnsi="Arial"/>
          <w:sz w:val="12"/>
          <w:szCs w:val="12"/>
          <w:color w:val="auto"/>
        </w:rPr>
        <w:t>We have no experience in sales, marketing, or distribution of products in substantial commercial quantities or in establishing and managing the required infrastructure to do so, including large-scale information technology systems and a large-scale distribution network, and we may be unable to establish such infrastructure on a timely basis. In building a sales force in anticipation of the possible approval and launch in the U.S. of VEGF Trap-Eye in wet AMD and other ophthalmologic indications for which it is currently in Phase 3 clinical trials and of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prevention of gout flares, we may be unable to successfully recruit and retain within the required time frame an adequate number of qualified sales representatives and may encounter difficulties in retaining third parties to provide sales, marketing, or distribution resources. Even if we hire the qualified sales and marketing personnel, and establish the required infrastructure we need to support our objectives, or enter into marketing and distribution agreements with third parties on acceptable terms, we may not do so in an efficient manner or on a timely basis. We may not be able to correctly judge the size and experience of the sales and marketing force and the scale of distribution capabilities necessary to successfully market and sell in the U.S. VEGF Trap-Eye,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prevention of gout flares, or any of our other product candidates, if they receive regulatory approval. Establishing and maintaining sales, marketing, and distribution capabilities are expensive and time-consuming. Our expenses associated with building up and maintaining the sales force and distribution capabilities may be disproportional, particularly in the near term, compared to the revenues we may be able to generate on sales in the U.S. of VEGF Trap-Eye or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prevention of gout flares. We cannot guarantee that we will be successful in commercializing VEGF Trap-Eye,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prevention of gout flares, or any of our other product candidates.</w:t>
      </w:r>
    </w:p>
    <w:p>
      <w:pPr>
        <w:spacing w:after="0" w:line="151" w:lineRule="exact"/>
        <w:rPr>
          <w:sz w:val="20"/>
          <w:szCs w:val="20"/>
          <w:color w:val="auto"/>
        </w:rPr>
      </w:pPr>
    </w:p>
    <w:p>
      <w:pPr>
        <w:ind w:left="120"/>
        <w:spacing w:after="0" w:line="266" w:lineRule="auto"/>
        <w:rPr>
          <w:sz w:val="20"/>
          <w:szCs w:val="20"/>
          <w:color w:val="auto"/>
        </w:rPr>
      </w:pPr>
      <w:r>
        <w:rPr>
          <w:rFonts w:ascii="Arial" w:cs="Arial" w:eastAsia="Arial" w:hAnsi="Arial"/>
          <w:sz w:val="13"/>
          <w:szCs w:val="13"/>
          <w:b w:val="1"/>
          <w:bCs w:val="1"/>
          <w:i w:val="1"/>
          <w:iCs w:val="1"/>
          <w:color w:val="auto"/>
        </w:rPr>
        <w:t>Even if our product candidates are approved for marketing, their commercial success is highly uncertain given their method of administration, and because our competitors have received approval for and may be marketing products with a similar mechanism of action or may enter the marketplace with better or lower cost drugs.</w:t>
      </w:r>
    </w:p>
    <w:p>
      <w:pPr>
        <w:spacing w:after="0" w:line="173" w:lineRule="exact"/>
        <w:rPr>
          <w:sz w:val="20"/>
          <w:szCs w:val="20"/>
          <w:color w:val="auto"/>
        </w:rPr>
      </w:pPr>
    </w:p>
    <w:p>
      <w:pPr>
        <w:jc w:val="both"/>
        <w:ind w:firstLine="223"/>
        <w:spacing w:after="0" w:line="266" w:lineRule="auto"/>
        <w:rPr>
          <w:sz w:val="20"/>
          <w:szCs w:val="20"/>
          <w:color w:val="auto"/>
        </w:rPr>
      </w:pPr>
      <w:r>
        <w:rPr>
          <w:rFonts w:ascii="Arial" w:cs="Arial" w:eastAsia="Arial" w:hAnsi="Arial"/>
          <w:sz w:val="13"/>
          <w:szCs w:val="13"/>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3" w:lineRule="exact"/>
        <w:rPr>
          <w:sz w:val="20"/>
          <w:szCs w:val="20"/>
          <w:color w:val="auto"/>
        </w:rPr>
      </w:pPr>
    </w:p>
    <w:p>
      <w:pPr>
        <w:jc w:val="both"/>
        <w:ind w:firstLine="223"/>
        <w:spacing w:after="0" w:line="255" w:lineRule="auto"/>
        <w:rPr>
          <w:sz w:val="20"/>
          <w:szCs w:val="20"/>
          <w:color w:val="auto"/>
        </w:rPr>
      </w:pPr>
      <w:r>
        <w:rPr>
          <w:rFonts w:ascii="Arial" w:cs="Arial" w:eastAsia="Arial" w:hAnsi="Arial"/>
          <w:sz w:val="13"/>
          <w:szCs w:val="13"/>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502" w:right="219" w:bottom="1440" w:gutter="0" w:footer="0" w:header="0"/>
        </w:sectPr>
      </w:pPr>
    </w:p>
    <w:bookmarkStart w:id="48" w:name="page49"/>
    <w:bookmarkEnd w:id="48"/>
    <w:p>
      <w:pPr>
        <w:jc w:val="both"/>
        <w:ind w:firstLine="223"/>
        <w:spacing w:after="0" w:line="224" w:lineRule="auto"/>
        <w:rPr>
          <w:sz w:val="20"/>
          <w:szCs w:val="20"/>
          <w:color w:val="auto"/>
        </w:rPr>
      </w:pPr>
      <w:r>
        <w:rPr>
          <w:rFonts w:ascii="Arial" w:cs="Arial" w:eastAsia="Arial" w:hAnsi="Arial"/>
          <w:sz w:val="12"/>
          <w:szCs w:val="12"/>
          <w:color w:val="auto"/>
        </w:rPr>
        <w:t>Genentech has an approved VEGF antagonist, Avastin</w:t>
      </w:r>
      <w:r>
        <w:rPr>
          <w:rFonts w:ascii="Arial" w:cs="Arial" w:eastAsia="Arial" w:hAnsi="Arial"/>
          <w:sz w:val="16"/>
          <w:szCs w:val="16"/>
          <w:color w:val="auto"/>
          <w:vertAlign w:val="superscript"/>
        </w:rPr>
        <w:t>®</w:t>
      </w:r>
      <w:r>
        <w:rPr>
          <w:rFonts w:ascii="Arial" w:cs="Arial" w:eastAsia="Arial" w:hAnsi="Arial"/>
          <w:sz w:val="12"/>
          <w:szCs w:val="12"/>
          <w:color w:val="auto"/>
        </w:rPr>
        <w:t>, on the market for treating certain cancers and many different pharmaceutical and biotechnology companies are working to develop competing VEGF antagonists, including Novartis, Amgen, Imclone LLC/Eli Lilly and Company, Pfizer, AstraZeneca, and GlaxoSmithKline. Many of these molecules are farther along in development than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and may offer competitive advantages over our molecule. Each of Pfizer, Onyx Pharmaceuticals, Inc. (together with its partner Bayer HealthCare), and GlaxoSmithKline are marketing and selling oral medications that target tumor cell growth and new vasculature formation that fuels the growth of tumors. The marketing approvals for Genentech’s VEGF antagonist, Avastin</w:t>
      </w:r>
      <w:r>
        <w:rPr>
          <w:rFonts w:ascii="Arial" w:cs="Arial" w:eastAsia="Arial" w:hAnsi="Arial"/>
          <w:sz w:val="16"/>
          <w:szCs w:val="16"/>
          <w:color w:val="auto"/>
          <w:vertAlign w:val="superscript"/>
        </w:rPr>
        <w:t>®</w:t>
      </w:r>
      <w:r>
        <w:rPr>
          <w:rFonts w:ascii="Arial" w:cs="Arial" w:eastAsia="Arial" w:hAnsi="Arial"/>
          <w:sz w:val="12"/>
          <w:szCs w:val="12"/>
          <w:color w:val="auto"/>
        </w:rPr>
        <w:t>, and their extensive, ongoing clinical development plan for Avastin</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in other cancer indications, make it more difficult for us to enroll patients in clinical trials to support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and to obtain regulatory approval of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in these cancer settings. This may delay or impair our ability to successfully develop and commercialize ZALTRAP</w:t>
      </w:r>
      <w:r>
        <w:rPr>
          <w:rFonts w:ascii="Arial" w:cs="Arial" w:eastAsia="Arial" w:hAnsi="Arial"/>
          <w:sz w:val="16"/>
          <w:szCs w:val="16"/>
          <w:color w:val="auto"/>
          <w:vertAlign w:val="superscript"/>
        </w:rPr>
        <w:t>TM</w:t>
      </w:r>
      <w:r>
        <w:rPr>
          <w:rFonts w:ascii="Arial" w:cs="Arial" w:eastAsia="Arial" w:hAnsi="Arial"/>
          <w:sz w:val="12"/>
          <w:szCs w:val="12"/>
          <w:color w:val="auto"/>
        </w:rPr>
        <w:t>. In addition, even if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is ever approved for sale for the treatment of certain cancers, it will be difficult for our drug to compete against Avastin</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192" w:lineRule="exact"/>
        <w:rPr>
          <w:sz w:val="20"/>
          <w:szCs w:val="20"/>
          <w:color w:val="auto"/>
        </w:rPr>
      </w:pPr>
    </w:p>
    <w:p>
      <w:pPr>
        <w:jc w:val="both"/>
        <w:ind w:firstLine="214"/>
        <w:spacing w:after="0" w:line="219" w:lineRule="auto"/>
        <w:rPr>
          <w:sz w:val="20"/>
          <w:szCs w:val="20"/>
          <w:color w:val="auto"/>
        </w:rPr>
      </w:pPr>
      <w:r>
        <w:rPr>
          <w:rFonts w:ascii="Arial" w:cs="Arial" w:eastAsia="Arial" w:hAnsi="Arial"/>
          <w:sz w:val="13"/>
          <w:szCs w:val="13"/>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wet AMD, DME, and other eye indications. Lucentis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approved by the FDA in June 2006 for the treatment of wet AMD and in June 2010 for the treatment of macular edema following RVO. Lucentis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siRNAs that modulate gene expression. In addition, ophthalmologists are using off-label, with success for the treatment of wet AMD, DME, and RVO, a third-party repackaged version of Genentech’s approved VEGF antagonist, Avastin</w:t>
      </w:r>
      <w:r>
        <w:rPr>
          <w:rFonts w:ascii="Arial" w:cs="Arial" w:eastAsia="Arial" w:hAnsi="Arial"/>
          <w:sz w:val="17"/>
          <w:szCs w:val="17"/>
          <w:color w:val="auto"/>
          <w:vertAlign w:val="superscript"/>
        </w:rPr>
        <w:t>®</w:t>
      </w:r>
      <w:r>
        <w:rPr>
          <w:rFonts w:ascii="Arial" w:cs="Arial" w:eastAsia="Arial" w:hAnsi="Arial"/>
          <w:sz w:val="13"/>
          <w:szCs w:val="13"/>
          <w:color w:val="auto"/>
        </w:rPr>
        <w:t>.</w:t>
      </w:r>
    </w:p>
    <w:p>
      <w:pPr>
        <w:spacing w:after="0" w:line="121" w:lineRule="exact"/>
        <w:rPr>
          <w:sz w:val="20"/>
          <w:szCs w:val="20"/>
          <w:color w:val="auto"/>
        </w:rPr>
      </w:pPr>
    </w:p>
    <w:p>
      <w:pPr>
        <w:jc w:val="both"/>
        <w:ind w:right="20" w:firstLine="194"/>
        <w:spacing w:after="0" w:line="219" w:lineRule="auto"/>
        <w:rPr>
          <w:sz w:val="20"/>
          <w:szCs w:val="20"/>
          <w:color w:val="auto"/>
        </w:rPr>
      </w:pPr>
      <w:r>
        <w:rPr>
          <w:rFonts w:ascii="Arial" w:cs="Arial" w:eastAsia="Arial" w:hAnsi="Arial"/>
          <w:sz w:val="12"/>
          <w:szCs w:val="12"/>
          <w:color w:val="auto"/>
        </w:rPr>
        <w:t>The NEI and others are conducting long-term, controlled clinical trials comparing Lucentis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to Avastin</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in the treatment of wet AMD. One-year data from the Comparison of Age-Related Macular Degeneration Treatments Trial (CATT), were reported in April 2011 and indicated that Avastin</w:t>
      </w:r>
      <w:r>
        <w:rPr>
          <w:rFonts w:ascii="Arial" w:cs="Arial" w:eastAsia="Arial" w:hAnsi="Arial"/>
          <w:sz w:val="16"/>
          <w:szCs w:val="16"/>
          <w:color w:val="auto"/>
          <w:vertAlign w:val="superscript"/>
        </w:rPr>
        <w:t>®</w:t>
      </w:r>
      <w:r>
        <w:rPr>
          <w:rFonts w:ascii="Arial" w:cs="Arial" w:eastAsia="Arial" w:hAnsi="Arial"/>
          <w:sz w:val="12"/>
          <w:szCs w:val="12"/>
          <w:color w:val="auto"/>
        </w:rPr>
        <w:t xml:space="preserve"> dosed monthly was non-inferior to Lucentis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dosed monthly in the primary efficacy endpoint of mean visual acuity gain at 52 weeks. Even if our BLA for VEGF Trap-Eye for the treatment of wet AMD which was filed in February 2011 is approved, it may be difficult for VEGF Trap-Eye in this or other eye indications for which it may be approved to compete against Lucentis</w:t>
      </w:r>
      <w:r>
        <w:rPr>
          <w:rFonts w:ascii="Arial" w:cs="Arial" w:eastAsia="Arial" w:hAnsi="Arial"/>
          <w:sz w:val="16"/>
          <w:szCs w:val="16"/>
          <w:color w:val="auto"/>
          <w:vertAlign w:val="superscript"/>
        </w:rPr>
        <w:t>®</w:t>
      </w:r>
      <w:r>
        <w:rPr>
          <w:rFonts w:ascii="Arial" w:cs="Arial" w:eastAsia="Arial" w:hAnsi="Arial"/>
          <w:sz w:val="12"/>
          <w:szCs w:val="12"/>
          <w:color w:val="auto"/>
        </w:rPr>
        <w:t>, because doctors and patients have had significant experience using this medicine. Moreover, the recently reported results of the CATT study, combined with the relatively low cost of Avastin</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in treating patients with wet AMD, may well exacerbate the competitive challenge which VEGF Trap-Eye will face in this or other eye indications for which it may be approved. In addition, while we believe that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would not be well tolerated if administered directly to the eye, if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is approved for the treatment of certain cancers, there is a risk that third parties will attempt to repackage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for use and sale for the treatment of wet AMD and other diseases of the eye, which would present a potential low-cost competitive threat to VEGF Trap-Eye if it is ever approved for wet AMD or other eye indications.</w:t>
      </w:r>
    </w:p>
    <w:p>
      <w:pPr>
        <w:spacing w:after="0" w:line="190" w:lineRule="exact"/>
        <w:rPr>
          <w:sz w:val="20"/>
          <w:szCs w:val="20"/>
          <w:color w:val="auto"/>
        </w:rPr>
      </w:pPr>
    </w:p>
    <w:p>
      <w:pPr>
        <w:jc w:val="both"/>
        <w:ind w:right="20" w:firstLine="223"/>
        <w:spacing w:after="0" w:line="219" w:lineRule="auto"/>
        <w:rPr>
          <w:sz w:val="20"/>
          <w:szCs w:val="20"/>
          <w:color w:val="auto"/>
        </w:rPr>
      </w:pPr>
      <w:r>
        <w:rPr>
          <w:rFonts w:ascii="Arial" w:cs="Arial" w:eastAsia="Arial" w:hAnsi="Arial"/>
          <w:sz w:val="13"/>
          <w:szCs w:val="13"/>
          <w:color w:val="auto"/>
        </w:rPr>
        <w:t>The availability of highly effective FDA approved TNF-antagonists such as Enbrel</w:t>
      </w:r>
      <w:r>
        <w:rPr>
          <w:rFonts w:ascii="Arial" w:cs="Arial" w:eastAsia="Arial" w:hAnsi="Arial"/>
          <w:sz w:val="17"/>
          <w:szCs w:val="17"/>
          <w:color w:val="auto"/>
          <w:vertAlign w:val="superscript"/>
        </w:rPr>
        <w:t>®</w:t>
      </w:r>
      <w:r>
        <w:rPr>
          <w:rFonts w:ascii="Arial" w:cs="Arial" w:eastAsia="Arial" w:hAnsi="Arial"/>
          <w:sz w:val="13"/>
          <w:szCs w:val="13"/>
          <w:color w:val="auto"/>
        </w:rPr>
        <w:t>, Remicade</w:t>
      </w:r>
      <w:r>
        <w:rPr>
          <w:rFonts w:ascii="Arial" w:cs="Arial" w:eastAsia="Arial" w:hAnsi="Arial"/>
          <w:sz w:val="17"/>
          <w:szCs w:val="17"/>
          <w:color w:val="auto"/>
          <w:vertAlign w:val="superscript"/>
        </w:rPr>
        <w:t>®</w:t>
      </w:r>
      <w:r>
        <w:rPr>
          <w:rFonts w:ascii="Arial" w:cs="Arial" w:eastAsia="Arial" w:hAnsi="Arial"/>
          <w:sz w:val="13"/>
          <w:szCs w:val="13"/>
          <w:color w:val="auto"/>
        </w:rPr>
        <w:t>, Humira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(adalimumab), a registered trademark of Abbott Laboratories, Simponi</w:t>
      </w:r>
      <w:r>
        <w:rPr>
          <w:rFonts w:ascii="Arial" w:cs="Arial" w:eastAsia="Arial" w:hAnsi="Arial"/>
          <w:sz w:val="17"/>
          <w:szCs w:val="17"/>
          <w:color w:val="auto"/>
          <w:vertAlign w:val="superscript"/>
        </w:rPr>
        <w:t>®</w:t>
      </w:r>
      <w:r>
        <w:rPr>
          <w:rFonts w:ascii="Arial" w:cs="Arial" w:eastAsia="Arial" w:hAnsi="Arial"/>
          <w:sz w:val="13"/>
          <w:szCs w:val="13"/>
          <w:color w:val="auto"/>
        </w:rPr>
        <w:t xml:space="preserve"> (golimumab), a registered trademark of Centocor, the IL-1 receptor antagonist Kineret</w:t>
      </w:r>
      <w:r>
        <w:rPr>
          <w:rFonts w:ascii="Arial" w:cs="Arial" w:eastAsia="Arial" w:hAnsi="Arial"/>
          <w:sz w:val="17"/>
          <w:szCs w:val="17"/>
          <w:color w:val="auto"/>
          <w:vertAlign w:val="superscript"/>
        </w:rPr>
        <w:t>®</w:t>
      </w:r>
      <w:r>
        <w:rPr>
          <w:rFonts w:ascii="Arial" w:cs="Arial" w:eastAsia="Arial" w:hAnsi="Arial"/>
          <w:sz w:val="13"/>
          <w:szCs w:val="13"/>
          <w:color w:val="auto"/>
        </w:rPr>
        <w:t>, Ilaris</w:t>
      </w:r>
      <w:r>
        <w:rPr>
          <w:rFonts w:ascii="Arial" w:cs="Arial" w:eastAsia="Arial" w:hAnsi="Arial"/>
          <w:sz w:val="17"/>
          <w:szCs w:val="17"/>
          <w:color w:val="auto"/>
          <w:vertAlign w:val="superscript"/>
        </w:rPr>
        <w:t>®</w:t>
      </w:r>
      <w:r>
        <w:rPr>
          <w:rFonts w:ascii="Arial" w:cs="Arial" w:eastAsia="Arial" w:hAnsi="Arial"/>
          <w:sz w:val="13"/>
          <w:szCs w:val="13"/>
          <w:color w:val="auto"/>
        </w:rPr>
        <w:t>, and other marketed therapies makes it more difficult to successfully develop and commercialize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other indications, and this is one of the reasons we discontinued the development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adult rheumatoid arthritis. In addition, even if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ever approved for sale in indications where TNF-antagonists are approved, it will be difficult for our drug to compete against these FDA approved TNF-antagonists because doctors and patients have had significant experience using these effective medicines. Moreover, in such indications these approved therapeutics may offer competitive advantages over ARCALYST</w:t>
      </w:r>
      <w:r>
        <w:rPr>
          <w:rFonts w:ascii="Arial" w:cs="Arial" w:eastAsia="Arial" w:hAnsi="Arial"/>
          <w:sz w:val="17"/>
          <w:szCs w:val="17"/>
          <w:color w:val="auto"/>
          <w:vertAlign w:val="superscript"/>
        </w:rPr>
        <w:t>®</w:t>
      </w:r>
      <w:r>
        <w:rPr>
          <w:rFonts w:ascii="Arial" w:cs="Arial" w:eastAsia="Arial" w:hAnsi="Arial"/>
          <w:sz w:val="13"/>
          <w:szCs w:val="13"/>
          <w:color w:val="auto"/>
        </w:rPr>
        <w:t>, such as requiring fewer injections.</w:t>
      </w:r>
    </w:p>
    <w:p>
      <w:pPr>
        <w:spacing w:after="0" w:line="122" w:lineRule="exact"/>
        <w:rPr>
          <w:sz w:val="20"/>
          <w:szCs w:val="20"/>
          <w:color w:val="auto"/>
        </w:rPr>
      </w:pPr>
    </w:p>
    <w:p>
      <w:pPr>
        <w:jc w:val="both"/>
        <w:ind w:right="20" w:firstLine="214"/>
        <w:spacing w:after="0" w:line="294" w:lineRule="auto"/>
        <w:rPr>
          <w:sz w:val="20"/>
          <w:szCs w:val="20"/>
          <w:color w:val="auto"/>
        </w:rPr>
      </w:pPr>
      <w:r>
        <w:rPr>
          <w:rFonts w:ascii="Arial" w:cs="Arial" w:eastAsia="Arial" w:hAnsi="Arial"/>
          <w:sz w:val="11"/>
          <w:szCs w:val="11"/>
          <w:color w:val="auto"/>
        </w:rPr>
        <w:t>There are both small molecules and antibodies in development by other companies that are designed to block the synthesis of IL-1 or inhibit the signaling of IL-1. For example, Eli Lilly, Xoma Ltd. (in collaboration with Servier), and Novartis are each developing antibodies to IL-1 and both Amgen and MedImmune are developing antibodies to the IL-1 receptor. In 2009, Novartis received regulatory approval in the U.S. and Europe for canakinumab, a fully human anti-interleukin-IL1ß antibody, for the treatment of CAPS. Canakinumab is also in development for atherosclerosis and a number of other inflammatory diseases. Novartis’ IL-1 antibody and these other drug candidates could offer competitive advantages over ARCALYST</w:t>
      </w:r>
      <w:r>
        <w:rPr>
          <w:rFonts w:ascii="Arial" w:cs="Arial" w:eastAsia="Arial" w:hAnsi="Arial"/>
          <w:sz w:val="15"/>
          <w:szCs w:val="15"/>
          <w:color w:val="auto"/>
          <w:vertAlign w:val="superscript"/>
        </w:rPr>
        <w:t>®</w:t>
      </w:r>
      <w:r>
        <w:rPr>
          <w:rFonts w:ascii="Arial" w:cs="Arial" w:eastAsia="Arial" w:hAnsi="Arial"/>
          <w:sz w:val="11"/>
          <w:szCs w:val="11"/>
          <w:color w:val="auto"/>
        </w:rPr>
        <w:t>. For example, canakinumab is dosed once every eight weeks compared to the once-weekly dosing regimen for ARCALYST</w:t>
      </w:r>
      <w:r>
        <w:rPr>
          <w:rFonts w:ascii="Arial" w:cs="Arial" w:eastAsia="Arial" w:hAnsi="Arial"/>
          <w:sz w:val="15"/>
          <w:szCs w:val="15"/>
          <w:color w:val="auto"/>
          <w:vertAlign w:val="superscript"/>
        </w:rPr>
        <w:t>®</w:t>
      </w:r>
      <w:r>
        <w:rPr>
          <w:rFonts w:ascii="Arial" w:cs="Arial" w:eastAsia="Arial" w:hAnsi="Arial"/>
          <w:sz w:val="11"/>
          <w:szCs w:val="11"/>
          <w:color w:val="auto"/>
        </w:rPr>
        <w:t>. The successful development and/or commercialization of these competing molecules could adversely affect sales of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for CAPS and delay or impair our ability to commercialize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for indications other than CAPS.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1" w:right="199" w:bottom="1440" w:gutter="0" w:footer="0" w:header="0"/>
        </w:sectPr>
      </w:pPr>
    </w:p>
    <w:bookmarkStart w:id="49" w:name="page50"/>
    <w:bookmarkEnd w:id="49"/>
    <w:p>
      <w:pPr>
        <w:jc w:val="both"/>
        <w:ind w:right="20" w:firstLine="204"/>
        <w:spacing w:after="0" w:line="212" w:lineRule="auto"/>
        <w:rPr>
          <w:sz w:val="20"/>
          <w:szCs w:val="20"/>
          <w:color w:val="auto"/>
        </w:rPr>
      </w:pPr>
      <w:r>
        <w:rPr>
          <w:rFonts w:ascii="Arial" w:cs="Arial" w:eastAsia="Arial" w:hAnsi="Arial"/>
          <w:sz w:val="13"/>
          <w:szCs w:val="13"/>
          <w:color w:val="auto"/>
        </w:rPr>
        <w:t>We are developing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therapy and plan to submit a BLA for U.S. regulatory approval in mid-2011. In January 2011, Novartis announced that the results of two Phase 3 studies with canakinumab focused on reducing pain and preventing recurrent attacks or “flares” in patients with hard-to-treat gout were positive. Novartis has also reported that regulatory filings for the use of canakinumab in gouty arthritis have been completed in the European Union in 2010 and in the U.S. in the first quarter of 2011, based on the results of these two Phase 3 studies. Canakinumab is dosed less frequently for the treatment of CAPS and may be perceived as offering competitive advantages over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gout by some physicians, which would make it difficult for us to successfully commercialize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that disease.</w:t>
      </w:r>
    </w:p>
    <w:p>
      <w:pPr>
        <w:spacing w:after="0" w:line="190" w:lineRule="exact"/>
        <w:rPr>
          <w:sz w:val="20"/>
          <w:szCs w:val="20"/>
          <w:color w:val="auto"/>
        </w:rPr>
      </w:pPr>
    </w:p>
    <w:p>
      <w:pPr>
        <w:jc w:val="both"/>
        <w:ind w:right="20" w:firstLine="214"/>
        <w:spacing w:after="0" w:line="286" w:lineRule="auto"/>
        <w:rPr>
          <w:sz w:val="20"/>
          <w:szCs w:val="20"/>
          <w:color w:val="auto"/>
        </w:rPr>
      </w:pPr>
      <w:r>
        <w:rPr>
          <w:rFonts w:ascii="Arial" w:cs="Arial" w:eastAsia="Arial" w:hAnsi="Arial"/>
          <w:sz w:val="13"/>
          <w:szCs w:val="13"/>
          <w:color w:val="auto"/>
        </w:rPr>
        <w:t>Currently, inexpensive, oral therapies such as analgesics and other Nonsteroidal anti-inflammatory drugs (NSAIDS), are used as the standard of care to treat the symptoms of gout diseases. These established, inexpensive, orally delivered drugs will make it difficult for us to successfully commercialize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these diseases.</w:t>
      </w:r>
    </w:p>
    <w:p>
      <w:pPr>
        <w:spacing w:after="0" w:line="93" w:lineRule="exact"/>
        <w:rPr>
          <w:sz w:val="20"/>
          <w:szCs w:val="20"/>
          <w:color w:val="auto"/>
        </w:rPr>
      </w:pPr>
    </w:p>
    <w:p>
      <w:pPr>
        <w:jc w:val="both"/>
        <w:ind w:right="20" w:firstLine="243"/>
        <w:spacing w:after="0" w:line="220" w:lineRule="auto"/>
        <w:rPr>
          <w:sz w:val="20"/>
          <w:szCs w:val="20"/>
          <w:color w:val="auto"/>
        </w:rPr>
      </w:pPr>
      <w:r>
        <w:rPr>
          <w:rFonts w:ascii="Arial" w:cs="Arial" w:eastAsia="Arial" w:hAnsi="Arial"/>
          <w:sz w:val="13"/>
          <w:szCs w:val="13"/>
          <w:color w:val="auto"/>
        </w:rPr>
        <w:t xml:space="preserve">Our early-stage clinical candidates in development are all fully human monoclonal antibodies, which were generated using our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technology. Our antibody generation technologies and early-stage clinical candidates face competition from many pharmaceutical and biotechnology companies using various technologies.</w:t>
      </w:r>
    </w:p>
    <w:p>
      <w:pPr>
        <w:spacing w:after="0" w:line="190" w:lineRule="exact"/>
        <w:rPr>
          <w:sz w:val="20"/>
          <w:szCs w:val="20"/>
          <w:color w:val="auto"/>
        </w:rPr>
      </w:pPr>
    </w:p>
    <w:p>
      <w:pPr>
        <w:jc w:val="both"/>
        <w:ind w:right="20" w:firstLine="214"/>
        <w:spacing w:after="0" w:line="309" w:lineRule="auto"/>
        <w:rPr>
          <w:sz w:val="20"/>
          <w:szCs w:val="20"/>
          <w:color w:val="auto"/>
        </w:rPr>
      </w:pPr>
      <w:r>
        <w:rPr>
          <w:rFonts w:ascii="Arial" w:cs="Arial" w:eastAsia="Arial" w:hAnsi="Arial"/>
          <w:sz w:val="12"/>
          <w:szCs w:val="12"/>
          <w:color w:val="auto"/>
        </w:rPr>
        <w:t>Numerous other companies are developing therapeutic antibody products. Companies such as Pfizer, Johnson &amp; Johnson, AstraZeneca, Amgen, Biogen Idec, Novartis, Genentech/Roche, Bristol-Myers Squib, Abbott, and GlaxoSmithKline have generated therapeutic products that are currently in development or on the market that are derived from recombinant DNA that comprise human antibody sequences.</w:t>
      </w:r>
    </w:p>
    <w:p>
      <w:pPr>
        <w:spacing w:after="0" w:line="149" w:lineRule="exact"/>
        <w:rPr>
          <w:sz w:val="20"/>
          <w:szCs w:val="20"/>
          <w:color w:val="auto"/>
        </w:rPr>
      </w:pPr>
    </w:p>
    <w:p>
      <w:pPr>
        <w:jc w:val="both"/>
        <w:ind w:right="20" w:firstLine="194"/>
        <w:spacing w:after="0" w:line="276" w:lineRule="auto"/>
        <w:rPr>
          <w:sz w:val="20"/>
          <w:szCs w:val="20"/>
          <w:color w:val="auto"/>
        </w:rPr>
      </w:pPr>
      <w:r>
        <w:rPr>
          <w:rFonts w:ascii="Arial" w:cs="Arial" w:eastAsia="Arial" w:hAnsi="Arial"/>
          <w:sz w:val="12"/>
          <w:szCs w:val="12"/>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Genentech/Roche is marketing an antibody against IL-6R (tocilizumab) for the treatment of rheumatoid arthritis, and several other companies, including Centocor, and Bristol-Myers Squibb, have antibodies against IL-6 in clinical development for this disease. GlaxoSmithKline, in partnership with OncoMed Pharmaceuticals, has a Dll4 antibody in clinical development for the treatment of solid tumors. Aerovance has two formulations of a biologic directed against IL-4 in clinical development. Amgen previously had an antibody against IL-4R in clinical development for the treatment of asthma. We believe that several companies, including Amgen and Pfizer, have development programs for antibodies against PCSK9. Amgen, Pfizer, and AstraZeneca have development programs underway for antibodies against ANG2.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operations or future prospects.</w:t>
      </w:r>
    </w:p>
    <w:p>
      <w:pPr>
        <w:spacing w:after="0" w:line="151" w:lineRule="exact"/>
        <w:rPr>
          <w:sz w:val="20"/>
          <w:szCs w:val="20"/>
          <w:color w:val="auto"/>
        </w:rPr>
      </w:pPr>
    </w:p>
    <w:p>
      <w:pPr>
        <w:ind w:left="120" w:right="20"/>
        <w:spacing w:after="0" w:line="286" w:lineRule="auto"/>
        <w:rPr>
          <w:sz w:val="20"/>
          <w:szCs w:val="20"/>
          <w:color w:val="auto"/>
        </w:rPr>
      </w:pPr>
      <w:r>
        <w:rPr>
          <w:rFonts w:ascii="Arial" w:cs="Arial" w:eastAsia="Arial" w:hAnsi="Arial"/>
          <w:sz w:val="13"/>
          <w:szCs w:val="13"/>
          <w:b w:val="1"/>
          <w:bCs w:val="1"/>
          <w:i w:val="1"/>
          <w:iCs w:val="1"/>
          <w:color w:val="auto"/>
        </w:rPr>
        <w:t>The successful commercialization of our product candidates will depend on obtaining coverage and reimbursement for use of these products from third-party payers and these payers may not agree to cover or reimburse for use of our products, and we may be unable to profitably commercialize ARCALYST</w:t>
      </w:r>
      <w:r>
        <w:rPr>
          <w:rFonts w:ascii="Arial" w:cs="Arial" w:eastAsia="Arial" w:hAnsi="Arial"/>
          <w:sz w:val="17"/>
          <w:szCs w:val="17"/>
          <w:b w:val="1"/>
          <w:bCs w:val="1"/>
          <w:color w:val="auto"/>
          <w:vertAlign w:val="superscript"/>
        </w:rPr>
        <w:t>®</w:t>
      </w:r>
      <w:r>
        <w:rPr>
          <w:rFonts w:ascii="Arial" w:cs="Arial" w:eastAsia="Arial" w:hAnsi="Arial"/>
          <w:sz w:val="13"/>
          <w:szCs w:val="13"/>
          <w:b w:val="1"/>
          <w:bCs w:val="1"/>
          <w:i w:val="1"/>
          <w:iCs w:val="1"/>
          <w:color w:val="auto"/>
        </w:rPr>
        <w:t xml:space="preserve"> for CAPS.</w:t>
      </w:r>
    </w:p>
    <w:p>
      <w:pPr>
        <w:spacing w:after="0" w:line="93" w:lineRule="exact"/>
        <w:rPr>
          <w:sz w:val="20"/>
          <w:szCs w:val="20"/>
          <w:color w:val="auto"/>
        </w:rPr>
      </w:pPr>
    </w:p>
    <w:p>
      <w:pPr>
        <w:jc w:val="both"/>
        <w:ind w:firstLine="223"/>
        <w:spacing w:after="0" w:line="262" w:lineRule="auto"/>
        <w:rPr>
          <w:sz w:val="20"/>
          <w:szCs w:val="20"/>
          <w:color w:val="auto"/>
        </w:rPr>
      </w:pPr>
      <w:r>
        <w:rPr>
          <w:rFonts w:ascii="Arial" w:cs="Arial" w:eastAsia="Arial" w:hAnsi="Arial"/>
          <w:sz w:val="12"/>
          <w:szCs w:val="12"/>
          <w:color w:val="auto"/>
        </w:rPr>
        <w:t>Our product candidates, if commercialized, may be significantly more expensive than traditional drug treatments. For example, we are developing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for the prevention of gout flares in patients initiating uric acid-lowering drug therapy. Patients suffering from this gout indication are currently treated with inexpensive therapies, including NSAIDS. These existing treatment options are likely to be considerably less expensive and may be preferable to a biologic medication for some patients. Our future revenues and profitability will be adversely affected if U.S.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177" w:lineRule="exact"/>
        <w:rPr>
          <w:sz w:val="20"/>
          <w:szCs w:val="20"/>
          <w:color w:val="auto"/>
        </w:rPr>
      </w:pPr>
    </w:p>
    <w:p>
      <w:pPr>
        <w:jc w:val="both"/>
        <w:ind w:right="20" w:firstLine="204"/>
        <w:spacing w:after="0" w:line="220" w:lineRule="auto"/>
        <w:rPr>
          <w:sz w:val="20"/>
          <w:szCs w:val="20"/>
          <w:color w:val="auto"/>
        </w:rPr>
      </w:pPr>
      <w:r>
        <w:rPr>
          <w:rFonts w:ascii="Arial" w:cs="Arial" w:eastAsia="Arial" w:hAnsi="Arial"/>
          <w:sz w:val="13"/>
          <w:szCs w:val="13"/>
          <w:color w:val="auto"/>
        </w:rPr>
        <w:t>We market and sell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the U.S. for the treatment of a group of rare genetic disorders called CAPS. We have received European Union marketing authorization for rilonacept for the treatment of CAPS. There may be too few patients with CAPS to profitably commercialize ARCALYST</w:t>
      </w:r>
      <w:r>
        <w:rPr>
          <w:rFonts w:ascii="Arial" w:cs="Arial" w:eastAsia="Arial" w:hAnsi="Arial"/>
          <w:sz w:val="17"/>
          <w:szCs w:val="17"/>
          <w:color w:val="auto"/>
          <w:vertAlign w:val="superscript"/>
        </w:rPr>
        <w:t>®</w:t>
      </w:r>
      <w:r>
        <w:rPr>
          <w:rFonts w:ascii="Arial" w:cs="Arial" w:eastAsia="Arial" w:hAnsi="Arial"/>
          <w:sz w:val="13"/>
          <w:szCs w:val="13"/>
          <w:color w:val="auto"/>
        </w:rPr>
        <w:t>. Physicians may not prescribe ARCALYST</w:t>
      </w:r>
      <w:r>
        <w:rPr>
          <w:rFonts w:ascii="Arial" w:cs="Arial" w:eastAsia="Arial" w:hAnsi="Arial"/>
          <w:sz w:val="17"/>
          <w:szCs w:val="17"/>
          <w:color w:val="auto"/>
          <w:vertAlign w:val="superscript"/>
        </w:rPr>
        <w:t>®</w:t>
      </w:r>
      <w:r>
        <w:rPr>
          <w:rFonts w:ascii="Arial" w:cs="Arial" w:eastAsia="Arial" w:hAnsi="Arial"/>
          <w:sz w:val="13"/>
          <w:szCs w:val="13"/>
          <w:color w:val="auto"/>
        </w:rPr>
        <w:t>, and CAPS patients may not be able to afford ARCALYST</w:t>
      </w:r>
      <w:r>
        <w:rPr>
          <w:rFonts w:ascii="Arial" w:cs="Arial" w:eastAsia="Arial" w:hAnsi="Arial"/>
          <w:sz w:val="17"/>
          <w:szCs w:val="17"/>
          <w:color w:val="auto"/>
          <w:vertAlign w:val="superscript"/>
        </w:rPr>
        <w:t>®</w:t>
      </w:r>
      <w:r>
        <w:rPr>
          <w:rFonts w:ascii="Arial" w:cs="Arial" w:eastAsia="Arial" w:hAnsi="Arial"/>
          <w:sz w:val="13"/>
          <w:szCs w:val="13"/>
          <w:color w:val="auto"/>
        </w:rPr>
        <w:t>, if third-party payers do not agree to reimburse the cost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therapy and this would adversely affect our ability to commercialize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profitably.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1" w:right="199" w:bottom="1440" w:gutter="0" w:footer="0" w:header="0"/>
        </w:sectPr>
      </w:pPr>
    </w:p>
    <w:bookmarkStart w:id="50" w:name="page51"/>
    <w:bookmarkEnd w:id="50"/>
    <w:p>
      <w:pPr>
        <w:jc w:val="both"/>
        <w:ind w:right="20" w:firstLine="214"/>
        <w:spacing w:after="0" w:line="307" w:lineRule="auto"/>
        <w:rPr>
          <w:sz w:val="20"/>
          <w:szCs w:val="20"/>
          <w:color w:val="auto"/>
        </w:rPr>
      </w:pPr>
      <w:r>
        <w:rPr>
          <w:rFonts w:ascii="Arial" w:cs="Arial" w:eastAsia="Arial" w:hAnsi="Arial"/>
          <w:sz w:val="11"/>
          <w:szCs w:val="11"/>
          <w:color w:val="auto"/>
        </w:rPr>
        <w:t>In addition to potential restrictions on coverage, the amount of reimbursement for our products may also reduce our profitability. 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U.S. This legislation imposes cost containment measures that are likely to adversely affect the amount of reimbursement for our future products. The full effects of this legislation are unknown at this time and will not be known until regulations and guidance are issued by the Centers for Medicare and Medicaid Services and other federal and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154" w:lineRule="exact"/>
        <w:rPr>
          <w:sz w:val="20"/>
          <w:szCs w:val="20"/>
          <w:color w:val="auto"/>
        </w:rPr>
      </w:pPr>
    </w:p>
    <w:p>
      <w:pPr>
        <w:jc w:val="both"/>
        <w:ind w:right="20" w:firstLine="194"/>
        <w:spacing w:after="0" w:line="229" w:lineRule="auto"/>
        <w:rPr>
          <w:sz w:val="20"/>
          <w:szCs w:val="20"/>
          <w:color w:val="auto"/>
        </w:rPr>
      </w:pPr>
      <w:r>
        <w:rPr>
          <w:rFonts w:ascii="Arial" w:cs="Arial" w:eastAsia="Arial" w:hAnsi="Arial"/>
          <w:sz w:val="13"/>
          <w:szCs w:val="13"/>
          <w:color w:val="auto"/>
        </w:rPr>
        <w:t>Since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our product candidates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negative effect on our ability to achieve profitability.</w:t>
      </w:r>
    </w:p>
    <w:p>
      <w:pPr>
        <w:spacing w:after="0" w:line="189" w:lineRule="exact"/>
        <w:rPr>
          <w:sz w:val="20"/>
          <w:szCs w:val="20"/>
          <w:color w:val="auto"/>
        </w:rPr>
      </w:pPr>
    </w:p>
    <w:p>
      <w:pPr>
        <w:jc w:val="both"/>
        <w:ind w:firstLine="214"/>
        <w:spacing w:after="0" w:line="310" w:lineRule="auto"/>
        <w:rPr>
          <w:sz w:val="20"/>
          <w:szCs w:val="20"/>
          <w:color w:val="auto"/>
        </w:rPr>
      </w:pPr>
      <w:r>
        <w:rPr>
          <w:rFonts w:ascii="Arial" w:cs="Arial" w:eastAsia="Arial" w:hAnsi="Arial"/>
          <w:sz w:val="11"/>
          <w:szCs w:val="11"/>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 or delayed.</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and Litigation Risks</w:t>
      </w:r>
    </w:p>
    <w:p>
      <w:pPr>
        <w:spacing w:after="0" w:line="185" w:lineRule="exact"/>
        <w:rPr>
          <w:sz w:val="20"/>
          <w:szCs w:val="20"/>
          <w:color w:val="auto"/>
        </w:rPr>
      </w:pPr>
    </w:p>
    <w:p>
      <w:pPr>
        <w:ind w:left="120" w:right="20"/>
        <w:spacing w:after="0" w:line="266" w:lineRule="auto"/>
        <w:rPr>
          <w:sz w:val="20"/>
          <w:szCs w:val="20"/>
          <w:color w:val="auto"/>
        </w:rPr>
      </w:pPr>
      <w:r>
        <w:rPr>
          <w:rFonts w:ascii="Arial" w:cs="Arial" w:eastAsia="Arial" w:hAnsi="Arial"/>
          <w:sz w:val="13"/>
          <w:szCs w:val="13"/>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and/or in their commercial launch if they obtain regulatory approval, and a reduction in sales.</w:t>
      </w:r>
    </w:p>
    <w:p>
      <w:pPr>
        <w:spacing w:after="0" w:line="173" w:lineRule="exact"/>
        <w:rPr>
          <w:sz w:val="20"/>
          <w:szCs w:val="20"/>
          <w:color w:val="auto"/>
        </w:rPr>
      </w:pPr>
    </w:p>
    <w:p>
      <w:pPr>
        <w:jc w:val="both"/>
        <w:ind w:right="20" w:firstLine="204"/>
        <w:spacing w:after="0" w:line="288" w:lineRule="auto"/>
        <w:rPr>
          <w:sz w:val="20"/>
          <w:szCs w:val="20"/>
          <w:color w:val="auto"/>
        </w:rPr>
      </w:pPr>
      <w:r>
        <w:rPr>
          <w:rFonts w:ascii="Arial" w:cs="Arial" w:eastAsia="Arial" w:hAnsi="Arial"/>
          <w:sz w:val="11"/>
          <w:szCs w:val="11"/>
          <w:color w:val="auto"/>
        </w:rPr>
        <w:t>We and our third-party providers are required to maintain compliance with cGMP, and are subject to inspections by the FDA or comparable agencies in other jurisdictions to confirm such compliance. Changes of suppliers or modifications of methods of manufacturing may require amending our application(s) to the FDA and acceptance of the change by the FDA prior to release of product(s). Because we produce multiple product candidates at our facility in Rensselaer, New York, including ARCALYST</w:t>
      </w:r>
      <w:r>
        <w:rPr>
          <w:rFonts w:ascii="Arial" w:cs="Arial" w:eastAsia="Arial" w:hAnsi="Arial"/>
          <w:sz w:val="15"/>
          <w:szCs w:val="15"/>
          <w:color w:val="auto"/>
          <w:vertAlign w:val="superscript"/>
        </w:rPr>
        <w:t>®</w:t>
      </w:r>
      <w:r>
        <w:rPr>
          <w:rFonts w:ascii="Arial" w:cs="Arial" w:eastAsia="Arial" w:hAnsi="Arial"/>
          <w:sz w:val="11"/>
          <w:szCs w:val="11"/>
          <w:color w:val="auto"/>
        </w:rPr>
        <w:t>, VEGF Trap-Eye, and ZALTRAP</w:t>
      </w:r>
      <w:r>
        <w:rPr>
          <w:rFonts w:ascii="Arial" w:cs="Arial" w:eastAsia="Arial" w:hAnsi="Arial"/>
          <w:sz w:val="15"/>
          <w:szCs w:val="15"/>
          <w:color w:val="auto"/>
          <w:vertAlign w:val="superscript"/>
        </w:rPr>
        <w:t>TM</w:t>
      </w:r>
      <w:r>
        <w:rPr>
          <w:rFonts w:ascii="Arial" w:cs="Arial" w:eastAsia="Arial" w:hAnsi="Arial"/>
          <w:sz w:val="11"/>
          <w:szCs w:val="11"/>
          <w:color w:val="auto"/>
        </w:rPr>
        <w: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Any delay, interruption or other issues that arise in the manufacture, fill/finish, packaging, or storage of any drug products or product candidates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and prospects. Any finding of non-compliance could also increase our costs, cause us to delay the development of our product candidates, and cause us to lose revenue from our marketed product, which could be seriously detrimental to our business and financial condition.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502" w:right="199" w:bottom="1440" w:gutter="0" w:footer="0" w:header="0"/>
        </w:sectPr>
      </w:pPr>
    </w:p>
    <w:bookmarkStart w:id="51" w:name="page52"/>
    <w:bookmarkEnd w:id="51"/>
    <w:p>
      <w:pPr>
        <w:ind w:left="120"/>
        <w:spacing w:after="0"/>
        <w:rPr>
          <w:sz w:val="20"/>
          <w:szCs w:val="20"/>
          <w:color w:val="auto"/>
        </w:rPr>
      </w:pPr>
      <w:r>
        <w:rPr>
          <w:rFonts w:ascii="Arial" w:cs="Arial" w:eastAsia="Arial" w:hAnsi="Arial"/>
          <w:sz w:val="13"/>
          <w:szCs w:val="13"/>
          <w:b w:val="1"/>
          <w:bCs w:val="1"/>
          <w:i w:val="1"/>
          <w:iCs w:val="1"/>
          <w:color w:val="auto"/>
        </w:rPr>
        <w:t>If the testing or use of our products harms people, we could be subject to costly and damaging product liability claims.</w:t>
      </w:r>
    </w:p>
    <w:p>
      <w:pPr>
        <w:spacing w:after="0" w:line="200" w:lineRule="exact"/>
        <w:rPr>
          <w:sz w:val="20"/>
          <w:szCs w:val="20"/>
          <w:color w:val="auto"/>
        </w:rPr>
      </w:pPr>
    </w:p>
    <w:p>
      <w:pPr>
        <w:jc w:val="both"/>
        <w:ind w:right="20" w:firstLine="204"/>
        <w:spacing w:after="0" w:line="281" w:lineRule="auto"/>
        <w:rPr>
          <w:sz w:val="20"/>
          <w:szCs w:val="20"/>
          <w:color w:val="auto"/>
        </w:rPr>
      </w:pPr>
      <w:r>
        <w:rPr>
          <w:rFonts w:ascii="Arial" w:cs="Arial" w:eastAsia="Arial" w:hAnsi="Arial"/>
          <w:sz w:val="11"/>
          <w:szCs w:val="11"/>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 ARCALYST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for the treatment of CAPS, that they have been injured by a side effect associated with the drug. We may face product liability claims and be found responsible even if injury arises from the acts or omissions of our third-party fill/finish or other providers.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If we market and sell approved products in the future, in a way that violates federal or state fraud and abuse laws, we may be subject to civil or criminal penalties.</w:t>
      </w:r>
    </w:p>
    <w:p>
      <w:pPr>
        <w:spacing w:after="0" w:line="200" w:lineRule="exact"/>
        <w:rPr>
          <w:sz w:val="20"/>
          <w:szCs w:val="20"/>
          <w:color w:val="auto"/>
        </w:rPr>
      </w:pPr>
    </w:p>
    <w:p>
      <w:pPr>
        <w:jc w:val="both"/>
        <w:ind w:right="20" w:firstLine="204"/>
        <w:spacing w:after="0" w:line="255" w:lineRule="auto"/>
        <w:rPr>
          <w:sz w:val="20"/>
          <w:szCs w:val="20"/>
          <w:color w:val="auto"/>
        </w:rPr>
      </w:pPr>
      <w:r>
        <w:rPr>
          <w:rFonts w:ascii="Arial" w:cs="Arial" w:eastAsia="Arial" w:hAnsi="Arial"/>
          <w:sz w:val="13"/>
          <w:szCs w:val="13"/>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180" w:lineRule="exact"/>
        <w:rPr>
          <w:sz w:val="20"/>
          <w:szCs w:val="20"/>
          <w:color w:val="auto"/>
        </w:rPr>
      </w:pPr>
    </w:p>
    <w:p>
      <w:pPr>
        <w:jc w:val="both"/>
        <w:ind w:right="20" w:firstLine="214"/>
        <w:spacing w:after="0" w:line="316" w:lineRule="auto"/>
        <w:rPr>
          <w:sz w:val="20"/>
          <w:szCs w:val="20"/>
          <w:color w:val="auto"/>
        </w:rPr>
      </w:pPr>
      <w:r>
        <w:rPr>
          <w:rFonts w:ascii="Arial" w:cs="Arial" w:eastAsia="Arial" w:hAnsi="Arial"/>
          <w:sz w:val="11"/>
          <w:szCs w:val="11"/>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w:t>
      </w:r>
    </w:p>
    <w:p>
      <w:pPr>
        <w:spacing w:after="0" w:line="149" w:lineRule="exact"/>
        <w:rPr>
          <w:sz w:val="20"/>
          <w:szCs w:val="20"/>
          <w:color w:val="auto"/>
        </w:rPr>
      </w:pPr>
    </w:p>
    <w:p>
      <w:pPr>
        <w:jc w:val="both"/>
        <w:ind w:right="20" w:firstLine="223"/>
        <w:spacing w:after="0" w:line="258" w:lineRule="auto"/>
        <w:rPr>
          <w:sz w:val="20"/>
          <w:szCs w:val="20"/>
          <w:color w:val="auto"/>
        </w:rPr>
      </w:pPr>
      <w:r>
        <w:rPr>
          <w:rFonts w:ascii="Arial" w:cs="Arial" w:eastAsia="Arial" w:hAnsi="Arial"/>
          <w:sz w:val="13"/>
          <w:szCs w:val="13"/>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78" w:lineRule="exact"/>
        <w:rPr>
          <w:sz w:val="20"/>
          <w:szCs w:val="20"/>
          <w:color w:val="auto"/>
        </w:rPr>
      </w:pPr>
    </w:p>
    <w:p>
      <w:pPr>
        <w:jc w:val="both"/>
        <w:ind w:right="20" w:firstLine="233"/>
        <w:spacing w:after="0" w:line="359" w:lineRule="auto"/>
        <w:rPr>
          <w:sz w:val="20"/>
          <w:szCs w:val="20"/>
          <w:color w:val="auto"/>
        </w:rPr>
      </w:pPr>
      <w:r>
        <w:rPr>
          <w:rFonts w:ascii="Arial" w:cs="Arial" w:eastAsia="Arial" w:hAnsi="Arial"/>
          <w:sz w:val="11"/>
          <w:szCs w:val="11"/>
          <w:color w:val="auto"/>
        </w:rPr>
        <w:t>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126" w:lineRule="exact"/>
        <w:rPr>
          <w:sz w:val="20"/>
          <w:szCs w:val="20"/>
          <w:color w:val="auto"/>
        </w:rPr>
      </w:pPr>
    </w:p>
    <w:p>
      <w:pPr>
        <w:jc w:val="both"/>
        <w:ind w:firstLine="282"/>
        <w:spacing w:after="0" w:line="310" w:lineRule="auto"/>
        <w:rPr>
          <w:sz w:val="20"/>
          <w:szCs w:val="20"/>
          <w:color w:val="auto"/>
        </w:rPr>
      </w:pPr>
      <w:r>
        <w:rPr>
          <w:rFonts w:ascii="Arial" w:cs="Arial" w:eastAsia="Arial" w:hAnsi="Arial"/>
          <w:sz w:val="11"/>
          <w:szCs w:val="11"/>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In addition, as part of the federal Patient Protection and Affordable Care Act, or PPACA, pharmaceutical companies will be required to file reports with the federal government regarding payments made to healthcare professionals. Many of these requirements are new and uncertain, and the penalties for failure to comply with these requirements are unclear. Nonetheless, if we are found not to be in full compliance with these laws, we could face enforcement actions, fines, and other penalties, and could receive adverse publicity, which would harm our business and financial results and condition.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83" w:right="199" w:bottom="1440" w:gutter="0" w:footer="0" w:header="0"/>
        </w:sectPr>
      </w:pPr>
    </w:p>
    <w:bookmarkStart w:id="52" w:name="page53"/>
    <w:bookmarkEnd w:id="52"/>
    <w:p>
      <w:pPr>
        <w:ind w:left="120" w:right="20"/>
        <w:spacing w:after="0" w:line="266" w:lineRule="auto"/>
        <w:rPr>
          <w:sz w:val="20"/>
          <w:szCs w:val="20"/>
          <w:color w:val="auto"/>
        </w:rPr>
      </w:pPr>
      <w:r>
        <w:rPr>
          <w:rFonts w:ascii="Arial" w:cs="Arial" w:eastAsia="Arial" w:hAnsi="Arial"/>
          <w:sz w:val="13"/>
          <w:szCs w:val="13"/>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173" w:lineRule="exact"/>
        <w:rPr>
          <w:sz w:val="20"/>
          <w:szCs w:val="20"/>
          <w:color w:val="auto"/>
        </w:rPr>
      </w:pPr>
    </w:p>
    <w:p>
      <w:pPr>
        <w:jc w:val="both"/>
        <w:ind w:firstLine="194"/>
        <w:spacing w:after="0" w:line="255" w:lineRule="auto"/>
        <w:rPr>
          <w:sz w:val="20"/>
          <w:szCs w:val="20"/>
          <w:color w:val="auto"/>
        </w:rPr>
      </w:pPr>
      <w:r>
        <w:rPr>
          <w:rFonts w:ascii="Arial" w:cs="Arial" w:eastAsia="Arial" w:hAnsi="Arial"/>
          <w:sz w:val="13"/>
          <w:szCs w:val="13"/>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1"/>
          <w:szCs w:val="11"/>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223" w:lineRule="exact"/>
        <w:rPr>
          <w:sz w:val="20"/>
          <w:szCs w:val="20"/>
          <w:color w:val="auto"/>
        </w:rPr>
      </w:pPr>
    </w:p>
    <w:p>
      <w:pPr>
        <w:jc w:val="both"/>
        <w:ind w:right="20" w:firstLine="233"/>
        <w:spacing w:after="0" w:line="277" w:lineRule="auto"/>
        <w:rPr>
          <w:sz w:val="20"/>
          <w:szCs w:val="20"/>
          <w:color w:val="auto"/>
        </w:rPr>
      </w:pPr>
      <w:r>
        <w:rPr>
          <w:rFonts w:ascii="Arial" w:cs="Arial" w:eastAsia="Arial" w:hAnsi="Arial"/>
          <w:sz w:val="12"/>
          <w:szCs w:val="12"/>
          <w:color w:val="auto"/>
        </w:rPr>
        <w:t>We are subject to changing rules and regulations of various federal and state governmental authorities as well as the stock exchange on which our Common Stock is listed. These entities, including the Public Company Accounting Oversight Board (PCAOB),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such as shareholder approval of executive compensation (so-called “say on pay”) and proxy access. On January 25, 2011, the SEC adopted final rules concerning “say on pay”. Our efforts to comply with these requirements and regulations have resulted in, and are likely to continue to result in, an increase in expenses and a diversion of management’s time from other business activities.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In future years, if we are unable to conclude that our internal control over financial reporting is effective, the market value of our Common Stock could be adversely affected.</w:t>
      </w:r>
    </w:p>
    <w:p>
      <w:pPr>
        <w:spacing w:after="0" w:line="200" w:lineRule="exact"/>
        <w:rPr>
          <w:sz w:val="20"/>
          <w:szCs w:val="20"/>
          <w:color w:val="auto"/>
        </w:rPr>
      </w:pPr>
    </w:p>
    <w:p>
      <w:pPr>
        <w:jc w:val="both"/>
        <w:ind w:right="20" w:firstLine="194"/>
        <w:spacing w:after="0" w:line="276" w:lineRule="auto"/>
        <w:rPr>
          <w:sz w:val="20"/>
          <w:szCs w:val="20"/>
          <w:color w:val="auto"/>
        </w:rPr>
      </w:pPr>
      <w:r>
        <w:rPr>
          <w:rFonts w:ascii="Arial" w:cs="Arial" w:eastAsia="Arial" w:hAnsi="Arial"/>
          <w:sz w:val="12"/>
          <w:szCs w:val="12"/>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2010, which report is included in our Annual Report on Form 10-K.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Changes in laws and regulations affecting the healthcare industry could adversely affect our business.</w:t>
      </w:r>
    </w:p>
    <w:p>
      <w:pPr>
        <w:spacing w:after="0" w:line="200" w:lineRule="exact"/>
        <w:rPr>
          <w:sz w:val="20"/>
          <w:szCs w:val="20"/>
          <w:color w:val="auto"/>
        </w:rPr>
      </w:pPr>
    </w:p>
    <w:p>
      <w:pPr>
        <w:jc w:val="both"/>
        <w:ind w:right="20" w:firstLine="204"/>
        <w:spacing w:after="0" w:line="266" w:lineRule="auto"/>
        <w:rPr>
          <w:sz w:val="20"/>
          <w:szCs w:val="20"/>
          <w:color w:val="auto"/>
        </w:rPr>
      </w:pPr>
      <w:r>
        <w:rPr>
          <w:rFonts w:ascii="Arial" w:cs="Arial" w:eastAsia="Arial" w:hAnsi="Arial"/>
          <w:sz w:val="13"/>
          <w:szCs w:val="13"/>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-66040</wp:posOffset>
            </wp:positionV>
            <wp:extent cx="50165" cy="501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right="20"/>
        <w:spacing w:after="0" w:line="258" w:lineRule="auto"/>
        <w:rPr>
          <w:sz w:val="20"/>
          <w:szCs w:val="20"/>
          <w:color w:val="auto"/>
        </w:rPr>
      </w:pPr>
      <w:r>
        <w:rPr>
          <w:rFonts w:ascii="Arial" w:cs="Arial" w:eastAsia="Arial" w:hAnsi="Arial"/>
          <w:sz w:val="13"/>
          <w:szCs w:val="13"/>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-178435</wp:posOffset>
            </wp:positionV>
            <wp:extent cx="50165"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83" w:right="199" w:bottom="1440" w:gutter="0" w:footer="0" w:header="0"/>
        </w:sectPr>
      </w:pPr>
    </w:p>
    <w:bookmarkStart w:id="53" w:name="page54"/>
    <w:bookmarkEnd w:id="53"/>
    <w:p>
      <w:pPr>
        <w:ind w:left="380" w:right="440"/>
        <w:spacing w:after="0" w:line="266" w:lineRule="auto"/>
        <w:rPr>
          <w:sz w:val="20"/>
          <w:szCs w:val="20"/>
          <w:color w:val="auto"/>
        </w:rPr>
      </w:pPr>
      <w:r>
        <w:rPr>
          <w:rFonts w:ascii="Arial" w:cs="Arial" w:eastAsia="Arial" w:hAnsi="Arial"/>
          <w:sz w:val="13"/>
          <w:szCs w:val="13"/>
          <w:color w:val="auto"/>
        </w:rPr>
        <w:t>changes in FDA and foreign regulations that may require additional safety monitoring prior to or after the introduction of new products to market, which could materially increase our costs of doing business; and changes in FDA and foreign cGMPs that make it more difficult for us to manufacture our marketed product and clinical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-181610</wp:posOffset>
            </wp:positionV>
            <wp:extent cx="50165" cy="50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-83185</wp:posOffset>
            </wp:positionV>
            <wp:extent cx="50165" cy="501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115" w:lineRule="exact"/>
        <w:rPr>
          <w:sz w:val="20"/>
          <w:szCs w:val="20"/>
          <w:color w:val="auto"/>
        </w:rPr>
      </w:pPr>
    </w:p>
    <w:p>
      <w:pPr>
        <w:jc w:val="both"/>
        <w:ind w:right="20" w:firstLine="194"/>
        <w:spacing w:after="0" w:line="309" w:lineRule="auto"/>
        <w:rPr>
          <w:sz w:val="20"/>
          <w:szCs w:val="20"/>
          <w:color w:val="auto"/>
        </w:rPr>
      </w:pPr>
      <w:r>
        <w:rPr>
          <w:rFonts w:ascii="Arial" w:cs="Arial" w:eastAsia="Arial" w:hAnsi="Arial"/>
          <w:sz w:val="12"/>
          <w:szCs w:val="12"/>
          <w:color w:val="auto"/>
        </w:rPr>
        <w:t>The PPACA potential regulations easing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Reliance on Third Parties</w:t>
      </w:r>
    </w:p>
    <w:p>
      <w:pPr>
        <w:spacing w:after="0" w:line="185" w:lineRule="exact"/>
        <w:rPr>
          <w:sz w:val="20"/>
          <w:szCs w:val="20"/>
          <w:color w:val="auto"/>
        </w:rPr>
      </w:pPr>
    </w:p>
    <w:p>
      <w:pPr>
        <w:ind w:left="120" w:right="20"/>
        <w:spacing w:after="0" w:line="266" w:lineRule="auto"/>
        <w:rPr>
          <w:sz w:val="20"/>
          <w:szCs w:val="20"/>
          <w:color w:val="auto"/>
        </w:rPr>
      </w:pPr>
      <w:r>
        <w:rPr>
          <w:rFonts w:ascii="Arial" w:cs="Arial" w:eastAsia="Arial" w:hAnsi="Arial"/>
          <w:sz w:val="13"/>
          <w:szCs w:val="13"/>
          <w:b w:val="1"/>
          <w:bCs w:val="1"/>
          <w:i w:val="1"/>
          <w:iCs w:val="1"/>
          <w:color w:val="auto"/>
        </w:rPr>
        <w:t>If our antibody collaboration with sanofi-aventis is terminated, our business operations and financial condition, and our ability to discover, develop, manufacture, and commercialize our pipeline of product candidates in the time expected, or at all, would be materially harmed.</w:t>
      </w:r>
    </w:p>
    <w:p>
      <w:pPr>
        <w:spacing w:after="0" w:line="173" w:lineRule="exact"/>
        <w:rPr>
          <w:sz w:val="20"/>
          <w:szCs w:val="20"/>
          <w:color w:val="auto"/>
        </w:rPr>
      </w:pPr>
    </w:p>
    <w:p>
      <w:pPr>
        <w:jc w:val="both"/>
        <w:ind w:right="20" w:firstLine="194"/>
        <w:spacing w:after="0" w:line="274" w:lineRule="auto"/>
        <w:rPr>
          <w:sz w:val="20"/>
          <w:szCs w:val="20"/>
          <w:color w:val="auto"/>
        </w:rPr>
      </w:pPr>
      <w:r>
        <w:rPr>
          <w:rFonts w:ascii="Arial" w:cs="Arial" w:eastAsia="Arial" w:hAnsi="Arial"/>
          <w:sz w:val="12"/>
          <w:szCs w:val="12"/>
          <w:color w:val="auto"/>
        </w:rPr>
        <w:t>We rely heavily on funding from sanofi-aventis to support our target discovery and antibody research and development programs. Sanofi-aventis has committed to pay up to $1.28 billion between 2010 and 2017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REGN727, REGN88, REGN668, REGN421, REGN910, and REGN475, we rely on sanofi-aventis to lead much of the clinical development efforts and assist with obtaining regulatory approval, particularly outside the U.S.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3"/>
          <w:szCs w:val="13"/>
          <w:b w:val="1"/>
          <w:bCs w:val="1"/>
          <w:i w:val="1"/>
          <w:iCs w:val="1"/>
          <w:color w:val="auto"/>
        </w:rPr>
        <w:t>If our collaboration with sanofi-aventis for ZALTRAP</w:t>
      </w:r>
      <w:r>
        <w:rPr>
          <w:rFonts w:ascii="Arial" w:cs="Arial" w:eastAsia="Arial" w:hAnsi="Arial"/>
          <w:sz w:val="17"/>
          <w:szCs w:val="17"/>
          <w:b w:val="1"/>
          <w:bCs w:val="1"/>
          <w:i w:val="1"/>
          <w:iCs w:val="1"/>
          <w:color w:val="auto"/>
          <w:vertAlign w:val="superscript"/>
        </w:rPr>
        <w:t>TM</w:t>
      </w:r>
      <w:r>
        <w:rPr>
          <w:rFonts w:ascii="Arial" w:cs="Arial" w:eastAsia="Arial" w:hAnsi="Arial"/>
          <w:sz w:val="13"/>
          <w:szCs w:val="13"/>
          <w:b w:val="1"/>
          <w:bCs w:val="1"/>
          <w:i w:val="1"/>
          <w:iCs w:val="1"/>
          <w:color w:val="auto"/>
        </w:rPr>
        <w:t xml:space="preserve"> is terminated, or sanofi-aventis materially breaches its obligations thereunder, our business operations and financial condition, and our ability to develop, manufacture, and commercialize ZALTRAP</w:t>
      </w:r>
      <w:r>
        <w:rPr>
          <w:rFonts w:ascii="Arial" w:cs="Arial" w:eastAsia="Arial" w:hAnsi="Arial"/>
          <w:sz w:val="17"/>
          <w:szCs w:val="17"/>
          <w:b w:val="1"/>
          <w:bCs w:val="1"/>
          <w:i w:val="1"/>
          <w:iCs w:val="1"/>
          <w:color w:val="auto"/>
          <w:vertAlign w:val="superscript"/>
        </w:rPr>
        <w:t>TM</w:t>
      </w:r>
      <w:r>
        <w:rPr>
          <w:rFonts w:ascii="Arial" w:cs="Arial" w:eastAsia="Arial" w:hAnsi="Arial"/>
          <w:sz w:val="13"/>
          <w:szCs w:val="13"/>
          <w:b w:val="1"/>
          <w:bCs w:val="1"/>
          <w:i w:val="1"/>
          <w:iCs w:val="1"/>
          <w:color w:val="auto"/>
        </w:rPr>
        <w:t xml:space="preserve"> in the time expected, or at all, would be materially harmed.</w:t>
      </w:r>
    </w:p>
    <w:p>
      <w:pPr>
        <w:spacing w:after="0" w:line="122" w:lineRule="exact"/>
        <w:rPr>
          <w:sz w:val="20"/>
          <w:szCs w:val="20"/>
          <w:color w:val="auto"/>
        </w:rPr>
      </w:pPr>
    </w:p>
    <w:p>
      <w:pPr>
        <w:jc w:val="both"/>
        <w:ind w:firstLine="214"/>
        <w:spacing w:after="0" w:line="228" w:lineRule="auto"/>
        <w:rPr>
          <w:sz w:val="20"/>
          <w:szCs w:val="20"/>
          <w:color w:val="auto"/>
        </w:rPr>
      </w:pPr>
      <w:r>
        <w:rPr>
          <w:rFonts w:ascii="Arial" w:cs="Arial" w:eastAsia="Arial" w:hAnsi="Arial"/>
          <w:sz w:val="12"/>
          <w:szCs w:val="12"/>
          <w:color w:val="auto"/>
        </w:rPr>
        <w:t>We rely heavily on sanofi-aventis to lead much of the development of ZALTRAP</w:t>
      </w:r>
      <w:r>
        <w:rPr>
          <w:rFonts w:ascii="Arial" w:cs="Arial" w:eastAsia="Arial" w:hAnsi="Arial"/>
          <w:sz w:val="16"/>
          <w:szCs w:val="16"/>
          <w:color w:val="auto"/>
          <w:vertAlign w:val="superscript"/>
        </w:rPr>
        <w:t>TM</w:t>
      </w:r>
      <w:r>
        <w:rPr>
          <w:rFonts w:ascii="Arial" w:cs="Arial" w:eastAsia="Arial" w:hAnsi="Arial"/>
          <w:sz w:val="12"/>
          <w:szCs w:val="12"/>
          <w:color w:val="auto"/>
        </w:rPr>
        <w:t>. Sanofi-aventis funds all of the development expenses incurred by both companies in connection with the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program. If the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program continues, we will rely on sanofi-aventis to assist with funding the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program, provide commercial manufacturing capacity, enroll and monitor clinical trials, obtain regulatory approval, particularly outside the U.S., and lead the commercialization of ZALTRAP</w:t>
      </w:r>
      <w:r>
        <w:rPr>
          <w:rFonts w:ascii="Arial" w:cs="Arial" w:eastAsia="Arial" w:hAnsi="Arial"/>
          <w:sz w:val="16"/>
          <w:szCs w:val="16"/>
          <w:color w:val="auto"/>
          <w:vertAlign w:val="superscript"/>
        </w:rPr>
        <w:t>TM</w:t>
      </w:r>
      <w:r>
        <w:rPr>
          <w:rFonts w:ascii="Arial" w:cs="Arial" w:eastAsia="Arial" w:hAnsi="Arial"/>
          <w:sz w:val="12"/>
          <w:szCs w:val="12"/>
          <w:color w:val="auto"/>
        </w:rPr>
        <w:t>. While we cannot assure you that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will ever be successfully developed and commercialized, if sanofi-aventis does not perform its obligations in a timely manner, or at all, our ability to develop, manufacture, and commercialize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and result in substantial additional costs to us. We have limited commercial capabilities and would have to develop or outsource these capabilities. Termination of the sanofi-aventis collaboration agreement for ZALTRAP</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would create substantial new and additional risks to the successful development and commercialization of ZALTRAP</w:t>
      </w:r>
      <w:r>
        <w:rPr>
          <w:rFonts w:ascii="Arial" w:cs="Arial" w:eastAsia="Arial" w:hAnsi="Arial"/>
          <w:sz w:val="16"/>
          <w:szCs w:val="16"/>
          <w:color w:val="auto"/>
          <w:vertAlign w:val="superscript"/>
        </w:rPr>
        <w:t>TM</w:t>
      </w:r>
      <w:r>
        <w:rPr>
          <w:rFonts w:ascii="Arial" w:cs="Arial" w:eastAsia="Arial" w:hAnsi="Arial"/>
          <w:sz w:val="12"/>
          <w:szCs w:val="12"/>
          <w:color w:val="auto"/>
        </w:rPr>
        <w: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609" w:right="199" w:bottom="1440" w:gutter="0" w:footer="0" w:header="0"/>
        </w:sectPr>
      </w:pPr>
    </w:p>
    <w:bookmarkStart w:id="54" w:name="page55"/>
    <w:bookmarkEnd w:id="54"/>
    <w:p>
      <w:pPr>
        <w:ind w:left="120" w:right="20"/>
        <w:spacing w:after="0" w:line="266" w:lineRule="auto"/>
        <w:rPr>
          <w:sz w:val="20"/>
          <w:szCs w:val="20"/>
          <w:color w:val="auto"/>
        </w:rPr>
      </w:pPr>
      <w:r>
        <w:rPr>
          <w:rFonts w:ascii="Arial" w:cs="Arial" w:eastAsia="Arial" w:hAnsi="Arial"/>
          <w:sz w:val="13"/>
          <w:szCs w:val="13"/>
          <w:b w:val="1"/>
          <w:bCs w:val="1"/>
          <w:i w:val="1"/>
          <w:iCs w:val="1"/>
          <w:color w:val="auto"/>
        </w:rPr>
        <w:t>If our collaboration with Bayer HealthCare for VEGF Trap-Eye is terminated, or Bayer HealthCare materially breaches its obligations thereunder, our business operations and financial condition, and our ability to continue to develop VEGF Trap-Eye and commercialize VEGF Trap-Eye in the time expected, or at all, would be materially harmed.</w:t>
      </w:r>
    </w:p>
    <w:p>
      <w:pPr>
        <w:spacing w:after="0" w:line="173" w:lineRule="exact"/>
        <w:rPr>
          <w:sz w:val="20"/>
          <w:szCs w:val="20"/>
          <w:color w:val="auto"/>
        </w:rPr>
      </w:pPr>
    </w:p>
    <w:p>
      <w:pPr>
        <w:jc w:val="both"/>
        <w:ind w:right="20" w:firstLine="204"/>
        <w:spacing w:after="0" w:line="274" w:lineRule="auto"/>
        <w:rPr>
          <w:sz w:val="20"/>
          <w:szCs w:val="20"/>
          <w:color w:val="auto"/>
        </w:rPr>
      </w:pPr>
      <w:r>
        <w:rPr>
          <w:rFonts w:ascii="Arial" w:cs="Arial" w:eastAsia="Arial" w:hAnsi="Arial"/>
          <w:sz w:val="12"/>
          <w:szCs w:val="12"/>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As the VEGF Trap-Eye program continues, we will continue to rely on Bayer HealthCare to assist with funding the VEGF Trap-Eye development program, lead the development of VEGF Trap-Eye outside the U.S., obtain regulatory approval outside the U.S., and provide all sales, marketing, and commercial support for the product outside the U.S. In particular, Bayer HealthCare has responsibility for selling VEGF Trap-Eye outside the U.S. using its sales force. While we cannot assure you that VEGF Trap-Eye will ever receive regulatory approval in or outside the U.S. or be successfully commercialized, if Bayer HealthCare does not perform its obligations in a timely manner, or at all, our ability to develop, manufacture, and commercialize VEGF Trap-Eye outside the U.S.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U.S. and result in substantial additional costs to us. We currently have limited commercial capabilities and would have to develop or outsource these capabilities outside the U.S. Termination of the Bayer HealthCare collaboration agreement would create substantial new and additional risks to the successful development and commercialization of VEGF Trap-Eye.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1"/>
          <w:szCs w:val="11"/>
          <w:b w:val="1"/>
          <w:bCs w:val="1"/>
          <w:i w:val="1"/>
          <w:iCs w:val="1"/>
          <w:color w:val="auto"/>
        </w:rPr>
        <w:t>Our collaborators and service providers may fail to perform adequately in their efforts to support the development, manufacture, and commercialization of our drug candidates and sales of ARCALYST</w:t>
      </w:r>
      <w:r>
        <w:rPr>
          <w:rFonts w:ascii="Arial" w:cs="Arial" w:eastAsia="Arial" w:hAnsi="Arial"/>
          <w:sz w:val="15"/>
          <w:szCs w:val="15"/>
          <w:b w:val="1"/>
          <w:bCs w:val="1"/>
          <w:color w:val="auto"/>
          <w:vertAlign w:val="superscript"/>
        </w:rPr>
        <w:t>®</w:t>
      </w:r>
      <w:r>
        <w:rPr>
          <w:rFonts w:ascii="Arial" w:cs="Arial" w:eastAsia="Arial" w:hAnsi="Arial"/>
          <w:sz w:val="11"/>
          <w:szCs w:val="11"/>
          <w:b w:val="1"/>
          <w:bCs w:val="1"/>
          <w:i w:val="1"/>
          <w:iCs w:val="1"/>
          <w:color w:val="auto"/>
        </w:rPr>
        <w:t xml:space="preserve"> for CAPS.</w:t>
      </w:r>
    </w:p>
    <w:p>
      <w:pPr>
        <w:spacing w:after="0" w:line="182" w:lineRule="exact"/>
        <w:rPr>
          <w:sz w:val="20"/>
          <w:szCs w:val="20"/>
          <w:color w:val="auto"/>
        </w:rPr>
      </w:pPr>
    </w:p>
    <w:p>
      <w:pPr>
        <w:jc w:val="both"/>
        <w:ind w:right="20" w:firstLine="204"/>
        <w:spacing w:after="0" w:line="283" w:lineRule="auto"/>
        <w:rPr>
          <w:sz w:val="20"/>
          <w:szCs w:val="20"/>
          <w:color w:val="auto"/>
        </w:rPr>
      </w:pPr>
      <w:r>
        <w:rPr>
          <w:rFonts w:ascii="Arial" w:cs="Arial" w:eastAsia="Arial" w:hAnsi="Arial"/>
          <w:sz w:val="12"/>
          <w:szCs w:val="12"/>
          <w:color w:val="auto"/>
        </w:rPr>
        <w:t>We depend upon third-party collaborators, including sanofi-aventis, Bayer HealthCare, and service providers such as CROs, outside testing laboratories, clinical investigator sites, and third-party manufacturers and product packagers and labelers, to assist us in the manufacture and preclinical and clinical development of our product candidates. If any of our existing collaborators or service providers breaches or terminates its agreement with us or does not perform its development or manufacturing services under an agreement in a timely manner or in compliance with applicable GMPs, Good Laboratory Practices (GLPs), or GCP Standards, we could experience additional costs, delays, and difficulties in the manufacture or development of, or in obtaining approval by regulatory authorities for our, product candidates.</w:t>
      </w:r>
    </w:p>
    <w:p>
      <w:pPr>
        <w:spacing w:after="0" w:line="163" w:lineRule="exact"/>
        <w:rPr>
          <w:sz w:val="20"/>
          <w:szCs w:val="20"/>
          <w:color w:val="auto"/>
        </w:rPr>
      </w:pPr>
    </w:p>
    <w:p>
      <w:pPr>
        <w:jc w:val="both"/>
        <w:ind w:right="20" w:firstLine="223"/>
        <w:spacing w:after="0" w:line="193" w:lineRule="auto"/>
        <w:rPr>
          <w:sz w:val="20"/>
          <w:szCs w:val="20"/>
          <w:color w:val="auto"/>
        </w:rPr>
      </w:pPr>
      <w:r>
        <w:rPr>
          <w:rFonts w:ascii="Arial" w:cs="Arial" w:eastAsia="Arial" w:hAnsi="Arial"/>
          <w:sz w:val="13"/>
          <w:szCs w:val="13"/>
          <w:color w:val="auto"/>
        </w:rPr>
        <w:t>We rely on third-party service providers to support the distribution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many other related activities in connection with the commercialization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CAPS. We cannot be certain that these third parties will perform adequately. If these service providers do not perform their services adequately, our sales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CAPS will suffer and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that indication may never become profitable.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Related to Employees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1" w:lineRule="exact"/>
        <w:rPr>
          <w:sz w:val="20"/>
          <w:szCs w:val="20"/>
          <w:color w:val="auto"/>
        </w:rPr>
      </w:pPr>
    </w:p>
    <w:p>
      <w:pPr>
        <w:jc w:val="both"/>
        <w:ind w:firstLine="204"/>
        <w:spacing w:after="0" w:line="277" w:lineRule="auto"/>
        <w:rPr>
          <w:sz w:val="20"/>
          <w:szCs w:val="20"/>
          <w:color w:val="auto"/>
        </w:rPr>
      </w:pPr>
      <w:r>
        <w:rPr>
          <w:rFonts w:ascii="Arial" w:cs="Arial" w:eastAsia="Arial" w:hAnsi="Arial"/>
          <w:sz w:val="12"/>
          <w:szCs w:val="12"/>
          <w:color w:val="auto"/>
        </w:rPr>
        <w:t>We are highly dependent on certain of our executive officers and other key members of our senior management team.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As we prepare for commercialization in the U.S. of our late-stage product candidates should they receive regulatory approval, we will also be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83" w:right="19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color w:val="auto"/>
        </w:rPr>
        <w:t>Risks Related to Our Common Stock</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Our stock price is extremely volatile.</w:t>
      </w:r>
    </w:p>
    <w:p>
      <w:pPr>
        <w:spacing w:after="0" w:line="200" w:lineRule="exact"/>
        <w:rPr>
          <w:sz w:val="20"/>
          <w:szCs w:val="20"/>
          <w:color w:val="auto"/>
        </w:rPr>
      </w:pPr>
    </w:p>
    <w:p>
      <w:pPr>
        <w:jc w:val="both"/>
        <w:ind w:firstLine="194"/>
        <w:spacing w:after="0" w:line="266" w:lineRule="auto"/>
        <w:rPr>
          <w:sz w:val="20"/>
          <w:szCs w:val="20"/>
          <w:color w:val="auto"/>
        </w:rPr>
      </w:pPr>
      <w:r>
        <w:rPr>
          <w:rFonts w:ascii="Arial" w:cs="Arial" w:eastAsia="Arial" w:hAnsi="Arial"/>
          <w:sz w:val="13"/>
          <w:szCs w:val="13"/>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05" w:lineRule="exact"/>
        <w:rPr>
          <w:sz w:val="20"/>
          <w:szCs w:val="20"/>
          <w:color w:val="auto"/>
        </w:rPr>
      </w:pPr>
    </w:p>
    <w:p>
      <w:pPr>
        <w:ind w:left="380" w:right="1540"/>
        <w:spacing w:after="0" w:line="252" w:lineRule="auto"/>
        <w:rPr>
          <w:sz w:val="20"/>
          <w:szCs w:val="20"/>
          <w:color w:val="auto"/>
        </w:rPr>
      </w:pPr>
      <w:r>
        <w:rPr>
          <w:rFonts w:ascii="Arial" w:cs="Arial" w:eastAsia="Arial" w:hAnsi="Arial"/>
          <w:sz w:val="13"/>
          <w:szCs w:val="13"/>
          <w:color w:val="auto"/>
        </w:rPr>
        <w:t>announcement of actions by the FDA or foreign regulatory authorities regarding our currently pending or future application(s) for regulatory approval of our late-stage product candidate(s); announcement of submission of an application for regulatory approval of one or more of our late-stage product candidates; 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-270510</wp:posOffset>
            </wp:positionV>
            <wp:extent cx="50165" cy="501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-171450</wp:posOffset>
            </wp:positionV>
            <wp:extent cx="50165" cy="501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-73025</wp:posOffset>
            </wp:positionV>
            <wp:extent cx="50165" cy="501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announcement of technological innovations or product candidates by us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third-party claims that our products or technologies infringe their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line="203" w:lineRule="auto"/>
        <w:rPr>
          <w:sz w:val="20"/>
          <w:szCs w:val="20"/>
          <w:color w:val="auto"/>
        </w:rPr>
      </w:pPr>
      <w:r>
        <w:rPr>
          <w:rFonts w:ascii="Arial" w:cs="Arial" w:eastAsia="Arial" w:hAnsi="Arial"/>
          <w:sz w:val="13"/>
          <w:szCs w:val="13"/>
          <w:color w:val="auto"/>
        </w:rPr>
        <w:t>public concern as to the safety or effectiveness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or any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-75565</wp:posOffset>
            </wp:positionV>
            <wp:extent cx="50165" cy="501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-72390</wp:posOffset>
            </wp:positionV>
            <wp:extent cx="50165" cy="501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136" w:lineRule="exact"/>
        <w:rPr>
          <w:sz w:val="20"/>
          <w:szCs w:val="20"/>
          <w:color w:val="auto"/>
        </w:rPr>
      </w:pPr>
    </w:p>
    <w:p>
      <w:pPr>
        <w:jc w:val="both"/>
        <w:ind w:firstLine="194"/>
        <w:spacing w:after="0" w:line="266" w:lineRule="auto"/>
        <w:rPr>
          <w:sz w:val="20"/>
          <w:szCs w:val="20"/>
          <w:color w:val="auto"/>
        </w:rPr>
      </w:pPr>
      <w:r>
        <w:rPr>
          <w:rFonts w:ascii="Arial" w:cs="Arial" w:eastAsia="Arial" w:hAnsi="Arial"/>
          <w:sz w:val="13"/>
          <w:szCs w:val="13"/>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Future sales of our Common Stock by our significant shareholders or us may depress our stock price and impair our ability to raise funds in new share offerings.</w:t>
      </w:r>
    </w:p>
    <w:p>
      <w:pPr>
        <w:spacing w:after="0" w:line="200" w:lineRule="exact"/>
        <w:rPr>
          <w:sz w:val="20"/>
          <w:szCs w:val="20"/>
          <w:color w:val="auto"/>
        </w:rPr>
      </w:pPr>
    </w:p>
    <w:p>
      <w:pPr>
        <w:jc w:val="both"/>
        <w:ind w:firstLine="233"/>
        <w:spacing w:after="0" w:line="274" w:lineRule="auto"/>
        <w:rPr>
          <w:sz w:val="20"/>
          <w:szCs w:val="20"/>
          <w:color w:val="auto"/>
        </w:rPr>
      </w:pPr>
      <w:r>
        <w:rPr>
          <w:rFonts w:ascii="Arial" w:cs="Arial" w:eastAsia="Arial" w:hAnsi="Arial"/>
          <w:sz w:val="12"/>
          <w:szCs w:val="12"/>
          <w:color w:val="auto"/>
        </w:rPr>
        <w:t>A small number of our shareholders beneficially own a substantial amount of our Common Stock. As of April 13, 2011, our five largest shareholders plus Leonard S. Schleifer, M.D, Ph.D., our Chief Executive Officer, beneficially owned 55.0% of our outstanding shares of Common Stock, assuming, in the case of our Chief Executive Officer, the conversion of his Class A Stock into Common Stock and the exercise of all options held by him which are exercisable within 60 days of April 13, 2011. In September 2003, sanofi-aventis (then Aventis Pharmaceuticals Inc.) purchased 2,799,552 newly issued, unregistered shares of our Common Stock, and in December 2007 sanofi-aventis purchased an additional 12 million newly issued, unregistered shares of our Common Stock. Under our investor agreement, as amended, with sanofi-aventis, these shares may not be sold until December 20, 2017 except under limited circumstances and subject to earlier termination of these restrictions upon the occurrence of certain events. In addition, in October 2010, sanofi-aventis purchased an additional 1,017,401 shares of Common Stock in our underwritten public offering. As of April 13, 2011, sanofi-aventis beneficially owned 15,816,953 shares of our Common Stock, representing approximately 17.8% of the shares of Common Stock then outstanding.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479" w:right="219" w:bottom="1440" w:gutter="0" w:footer="0" w:header="0"/>
        </w:sectPr>
      </w:pPr>
    </w:p>
    <w:bookmarkStart w:id="56" w:name="page57"/>
    <w:bookmarkEnd w:id="56"/>
    <w:p>
      <w:pPr>
        <w:ind w:left="120"/>
        <w:spacing w:after="0"/>
        <w:rPr>
          <w:sz w:val="20"/>
          <w:szCs w:val="20"/>
          <w:color w:val="auto"/>
        </w:rPr>
      </w:pPr>
      <w:r>
        <w:rPr>
          <w:rFonts w:ascii="Arial" w:cs="Arial" w:eastAsia="Arial" w:hAnsi="Arial"/>
          <w:sz w:val="13"/>
          <w:szCs w:val="13"/>
          <w:b w:val="1"/>
          <w:bCs w:val="1"/>
          <w:i w:val="1"/>
          <w:iCs w:val="1"/>
          <w:color w:val="auto"/>
        </w:rPr>
        <w:t>Our existing shareholders may be able to exert significant influence over matters requiring shareholder approval.</w:t>
      </w:r>
    </w:p>
    <w:p>
      <w:pPr>
        <w:spacing w:after="0" w:line="200" w:lineRule="exact"/>
        <w:rPr>
          <w:sz w:val="20"/>
          <w:szCs w:val="20"/>
          <w:color w:val="auto"/>
        </w:rPr>
      </w:pPr>
    </w:p>
    <w:p>
      <w:pPr>
        <w:jc w:val="both"/>
        <w:ind w:right="20" w:firstLine="204"/>
        <w:spacing w:after="0" w:line="316" w:lineRule="auto"/>
        <w:rPr>
          <w:sz w:val="20"/>
          <w:szCs w:val="20"/>
          <w:color w:val="auto"/>
        </w:rPr>
      </w:pPr>
      <w:r>
        <w:rPr>
          <w:rFonts w:ascii="Arial" w:cs="Arial" w:eastAsia="Arial" w:hAnsi="Arial"/>
          <w:sz w:val="11"/>
          <w:szCs w:val="11"/>
          <w:color w:val="auto"/>
        </w:rPr>
        <w:t>Holders of Class A Stock, who are generally the shareholders who purchased their stock from us before our initial public offering, are entitled to ten votes per share, while holders of Common Stock are entitled to one vote per share. As of April 13, 2011, holders of Class A Stock held 19.5% of the combined voting power of all shares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13, 2011:</w:t>
      </w:r>
    </w:p>
    <w:p>
      <w:pPr>
        <w:spacing w:after="0" w:line="130" w:lineRule="exact"/>
        <w:rPr>
          <w:sz w:val="20"/>
          <w:szCs w:val="20"/>
          <w:color w:val="auto"/>
        </w:rPr>
      </w:pPr>
    </w:p>
    <w:p>
      <w:pPr>
        <w:jc w:val="both"/>
        <w:ind w:left="380" w:right="20"/>
        <w:spacing w:after="0" w:line="280" w:lineRule="auto"/>
        <w:rPr>
          <w:sz w:val="20"/>
          <w:szCs w:val="20"/>
          <w:color w:val="auto"/>
        </w:rPr>
      </w:pPr>
      <w:r>
        <w:rPr>
          <w:rFonts w:ascii="Arial" w:cs="Arial" w:eastAsia="Arial" w:hAnsi="Arial"/>
          <w:sz w:val="13"/>
          <w:szCs w:val="13"/>
          <w:color w:val="auto"/>
        </w:rPr>
        <w:t>our current executive officers and directors beneficially owned 12.1% of our outstanding shares of Common Stock, assuming conversion of their Class A Stock into Common Stock and the exercise of all options held by such persons which are exercisable within 60 days of April 13, 2011, and 25.8% of the combined voting power of our outstanding shares of Common Stock and Class A Stock, assuming the exercise of all options held by such persons which are exercisable within 60 days of April 13, 2011;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-309880</wp:posOffset>
            </wp:positionV>
            <wp:extent cx="56515" cy="56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380" w:right="20"/>
        <w:spacing w:after="0" w:line="363" w:lineRule="auto"/>
        <w:rPr>
          <w:sz w:val="20"/>
          <w:szCs w:val="20"/>
          <w:color w:val="auto"/>
        </w:rPr>
      </w:pPr>
      <w:r>
        <w:rPr>
          <w:rFonts w:ascii="Arial" w:cs="Arial" w:eastAsia="Arial" w:hAnsi="Arial"/>
          <w:sz w:val="11"/>
          <w:szCs w:val="11"/>
          <w:color w:val="auto"/>
        </w:rPr>
        <w:t>our five largest shareholders plus Leonard S. Schleifer, M.D., Ph.D. our Chief Executive Officer, beneficially owned 55.0% of our outstanding shares of Common Stock, assuming, in the case of our Chief Executive Officer, the conversion of his Class A Stock into Common Stock and the exercise of all options held by him which are exercisable within 60 days of April 13, 2011. In addition, these six shareholders held 59.2% of the combined voting power of our outstanding shares of Common Stock and Class A Stock, assuming the exercise of all options held by our Chief Executive Officer which are exercisable within 60 days of April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-341630</wp:posOffset>
            </wp:positionV>
            <wp:extent cx="56515" cy="56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86" w:lineRule="exact"/>
        <w:rPr>
          <w:sz w:val="20"/>
          <w:szCs w:val="20"/>
          <w:color w:val="auto"/>
        </w:rPr>
      </w:pPr>
    </w:p>
    <w:p>
      <w:pPr>
        <w:jc w:val="both"/>
        <w:ind w:firstLine="233"/>
        <w:spacing w:after="0" w:line="258" w:lineRule="auto"/>
        <w:rPr>
          <w:sz w:val="20"/>
          <w:szCs w:val="20"/>
          <w:color w:val="auto"/>
        </w:rPr>
      </w:pPr>
      <w:r>
        <w:rPr>
          <w:rFonts w:ascii="Arial" w:cs="Arial" w:eastAsia="Arial" w:hAnsi="Arial"/>
          <w:sz w:val="13"/>
          <w:szCs w:val="13"/>
          <w:color w:val="auto"/>
        </w:rPr>
        <w:t>Pursuant to an investor agreement, as amended,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58" w:lineRule="exact"/>
        <w:rPr>
          <w:sz w:val="20"/>
          <w:szCs w:val="20"/>
          <w:color w:val="auto"/>
        </w:rPr>
      </w:pPr>
    </w:p>
    <w:p>
      <w:pPr>
        <w:ind w:left="120" w:right="20"/>
        <w:spacing w:after="0" w:line="266" w:lineRule="auto"/>
        <w:rPr>
          <w:sz w:val="20"/>
          <w:szCs w:val="20"/>
          <w:color w:val="auto"/>
        </w:rPr>
      </w:pPr>
      <w:r>
        <w:rPr>
          <w:rFonts w:ascii="Arial" w:cs="Arial" w:eastAsia="Arial" w:hAnsi="Arial"/>
          <w:sz w:val="13"/>
          <w:szCs w:val="13"/>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173" w:lineRule="exact"/>
        <w:rPr>
          <w:sz w:val="20"/>
          <w:szCs w:val="20"/>
          <w:color w:val="auto"/>
        </w:rPr>
      </w:pPr>
    </w:p>
    <w:p>
      <w:pPr>
        <w:jc w:val="both"/>
        <w:ind w:right="20" w:firstLine="223"/>
        <w:spacing w:after="0" w:line="289" w:lineRule="auto"/>
        <w:rPr>
          <w:sz w:val="20"/>
          <w:szCs w:val="20"/>
          <w:color w:val="auto"/>
        </w:rPr>
      </w:pPr>
      <w:r>
        <w:rPr>
          <w:rFonts w:ascii="Arial" w:cs="Arial" w:eastAsia="Arial" w:hAnsi="Arial"/>
          <w:sz w:val="12"/>
          <w:szCs w:val="12"/>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4" w:lineRule="exact"/>
        <w:rPr>
          <w:sz w:val="20"/>
          <w:szCs w:val="20"/>
          <w:color w:val="auto"/>
        </w:rPr>
      </w:pPr>
    </w:p>
    <w:p>
      <w:pPr>
        <w:ind w:left="380"/>
        <w:spacing w:after="0" w:line="253" w:lineRule="auto"/>
        <w:rPr>
          <w:sz w:val="20"/>
          <w:szCs w:val="20"/>
          <w:color w:val="auto"/>
        </w:rPr>
      </w:pPr>
      <w:r>
        <w:rPr>
          <w:rFonts w:ascii="Arial" w:cs="Arial" w:eastAsia="Arial" w:hAnsi="Arial"/>
          <w:sz w:val="13"/>
          <w:szCs w:val="13"/>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-171450</wp:posOffset>
            </wp:positionV>
            <wp:extent cx="50165" cy="50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-69215</wp:posOffset>
            </wp:positionV>
            <wp:extent cx="50165" cy="501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right="20"/>
        <w:spacing w:after="0" w:line="249" w:lineRule="auto"/>
        <w:rPr>
          <w:sz w:val="20"/>
          <w:szCs w:val="20"/>
          <w:color w:val="auto"/>
        </w:rPr>
      </w:pPr>
      <w:r>
        <w:rPr>
          <w:rFonts w:ascii="Arial" w:cs="Arial" w:eastAsia="Arial" w:hAnsi="Arial"/>
          <w:sz w:val="13"/>
          <w:szCs w:val="13"/>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-171450</wp:posOffset>
            </wp:positionV>
            <wp:extent cx="50165" cy="501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ind w:left="380" w:right="20"/>
        <w:spacing w:after="0" w:line="258" w:lineRule="auto"/>
        <w:rPr>
          <w:sz w:val="20"/>
          <w:szCs w:val="20"/>
          <w:color w:val="auto"/>
        </w:rPr>
      </w:pPr>
      <w:r>
        <w:rPr>
          <w:rFonts w:ascii="Arial" w:cs="Arial" w:eastAsia="Arial" w:hAnsi="Arial"/>
          <w:sz w:val="13"/>
          <w:szCs w:val="13"/>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-178435</wp:posOffset>
            </wp:positionV>
            <wp:extent cx="50165" cy="501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483" w:right="199" w:bottom="1440" w:gutter="0" w:footer="0" w:header="0"/>
        </w:sectPr>
      </w:pPr>
    </w:p>
    <w:bookmarkStart w:id="57" w:name="page58"/>
    <w:bookmarkEnd w:id="57"/>
    <w:p>
      <w:pPr>
        <w:ind w:left="380"/>
        <w:spacing w:after="0"/>
        <w:rPr>
          <w:sz w:val="20"/>
          <w:szCs w:val="20"/>
          <w:color w:val="auto"/>
        </w:rPr>
      </w:pPr>
      <w:r>
        <w:rPr>
          <w:rFonts w:ascii="Arial" w:cs="Arial" w:eastAsia="Arial" w:hAnsi="Arial"/>
          <w:sz w:val="13"/>
          <w:szCs w:val="13"/>
          <w:color w:val="auto"/>
        </w:rPr>
        <w:t>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-66040</wp:posOffset>
            </wp:positionV>
            <wp:extent cx="50165" cy="501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jc w:val="both"/>
        <w:ind w:left="380"/>
        <w:spacing w:after="0" w:line="253" w:lineRule="auto"/>
        <w:rPr>
          <w:sz w:val="20"/>
          <w:szCs w:val="20"/>
          <w:color w:val="auto"/>
        </w:rPr>
      </w:pPr>
      <w:r>
        <w:rPr>
          <w:rFonts w:ascii="Arial" w:cs="Arial" w:eastAsia="Arial" w:hAnsi="Arial"/>
          <w:sz w:val="13"/>
          <w:szCs w:val="13"/>
          <w:color w:val="auto"/>
        </w:rPr>
        <w:t xml:space="preserve">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w:t>
      </w:r>
      <w:r>
        <w:rPr>
          <w:rFonts w:ascii="Arial" w:cs="Arial" w:eastAsia="Arial" w:hAnsi="Arial"/>
          <w:sz w:val="13"/>
          <w:szCs w:val="13"/>
          <w:i w:val="1"/>
          <w:iCs w:val="1"/>
          <w:color w:val="auto"/>
        </w:rPr>
        <w:t>“Our existing shareholders may be able to exert significant</w:t>
      </w:r>
      <w:r>
        <w:rPr>
          <w:rFonts w:ascii="Arial" w:cs="Arial" w:eastAsia="Arial" w:hAnsi="Arial"/>
          <w:sz w:val="13"/>
          <w:szCs w:val="13"/>
          <w:color w:val="auto"/>
        </w:rPr>
        <w:t xml:space="preserve"> </w:t>
      </w:r>
      <w:r>
        <w:rPr>
          <w:rFonts w:ascii="Arial" w:cs="Arial" w:eastAsia="Arial" w:hAnsi="Arial"/>
          <w:sz w:val="13"/>
          <w:szCs w:val="13"/>
          <w:i w:val="1"/>
          <w:iCs w:val="1"/>
          <w:color w:val="auto"/>
        </w:rPr>
        <w:t>influence over matters requiring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-274955</wp:posOffset>
            </wp:positionV>
            <wp:extent cx="50165" cy="501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165" cy="50165"/>
                    </a:xfrm>
                    <a:prstGeom prst="rect">
                      <a:avLst/>
                    </a:prstGeom>
                    <a:noFill/>
                  </pic:spPr>
                </pic:pic>
              </a:graphicData>
            </a:graphic>
          </wp:anchor>
        </w:drawing>
      </w:r>
    </w:p>
    <w:p>
      <w:pPr>
        <w:spacing w:after="0" w:line="122" w:lineRule="exact"/>
        <w:rPr>
          <w:sz w:val="20"/>
          <w:szCs w:val="20"/>
          <w:color w:val="auto"/>
        </w:rPr>
      </w:pPr>
    </w:p>
    <w:p>
      <w:pPr>
        <w:jc w:val="both"/>
        <w:ind w:right="20" w:firstLine="243"/>
        <w:spacing w:after="0" w:line="229" w:lineRule="auto"/>
        <w:rPr>
          <w:sz w:val="20"/>
          <w:szCs w:val="20"/>
          <w:color w:val="auto"/>
        </w:rPr>
      </w:pPr>
      <w:r>
        <w:rPr>
          <w:rFonts w:ascii="Arial" w:cs="Arial" w:eastAsia="Arial" w:hAnsi="Arial"/>
          <w:sz w:val="13"/>
          <w:szCs w:val="13"/>
          <w:color w:val="auto"/>
        </w:rPr>
        <w:t>Until the later of the fifth anniversaries of the expiration or earlier termination of our antibody collaboration agreements with sanofi-aventis or our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collaboration with sanofi-aventis, sanofi-aventis will be bound by certain “standstill” provisions, as amended, which contractually prohibit sanofi-aventis from acquiring more than certain specified percentages of our Class A Stock and Common Stock (taken together) or otherwise seeking to obtain control of the Company.</w:t>
      </w:r>
    </w:p>
    <w:p>
      <w:pPr>
        <w:spacing w:after="0" w:line="189" w:lineRule="exact"/>
        <w:rPr>
          <w:sz w:val="20"/>
          <w:szCs w:val="20"/>
          <w:color w:val="auto"/>
        </w:rPr>
      </w:pPr>
    </w:p>
    <w:p>
      <w:pPr>
        <w:jc w:val="both"/>
        <w:ind w:right="20" w:firstLine="223"/>
        <w:spacing w:after="0" w:line="258" w:lineRule="auto"/>
        <w:rPr>
          <w:sz w:val="20"/>
          <w:szCs w:val="20"/>
          <w:color w:val="auto"/>
        </w:rPr>
      </w:pPr>
      <w:r>
        <w:rPr>
          <w:rFonts w:ascii="Arial" w:cs="Arial" w:eastAsia="Arial" w:hAnsi="Arial"/>
          <w:sz w:val="13"/>
          <w:szCs w:val="13"/>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 These contractual provisions may also have the effect of deterring, delaying, or preventing an acquisition or other change in control.</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EXHIBITS</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40" w:type="dxa"/>
            <w:vAlign w:val="bottom"/>
          </w:tcPr>
          <w:p>
            <w:pPr>
              <w:spacing w:after="0"/>
              <w:rPr>
                <w:sz w:val="14"/>
                <w:szCs w:val="14"/>
                <w:color w:val="auto"/>
              </w:rPr>
            </w:pPr>
          </w:p>
        </w:tc>
      </w:tr>
      <w:tr>
        <w:trPr>
          <w:trHeight w:val="146"/>
        </w:trPr>
        <w:tc>
          <w:tcPr>
            <w:tcW w:w="66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Number</w:t>
            </w:r>
          </w:p>
        </w:tc>
        <w:tc>
          <w:tcPr>
            <w:tcW w:w="1048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Description</w:t>
            </w:r>
          </w:p>
        </w:tc>
      </w:tr>
      <w:tr>
        <w:trPr>
          <w:trHeight w:val="29"/>
        </w:trPr>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840" w:type="dxa"/>
            <w:vAlign w:val="bottom"/>
          </w:tcPr>
          <w:p>
            <w:pPr>
              <w:spacing w:after="0"/>
              <w:rPr>
                <w:sz w:val="2"/>
                <w:szCs w:val="2"/>
                <w:color w:val="auto"/>
              </w:rPr>
            </w:pPr>
          </w:p>
        </w:tc>
      </w:tr>
      <w:tr>
        <w:trPr>
          <w:trHeight w:val="184"/>
        </w:trPr>
        <w:tc>
          <w:tcPr>
            <w:tcW w:w="440" w:type="dxa"/>
            <w:vAlign w:val="bottom"/>
            <w:shd w:val="clear" w:color="auto" w:fill="C0C0C0"/>
          </w:tcPr>
          <w:p>
            <w:pPr>
              <w:spacing w:after="0"/>
              <w:rPr>
                <w:sz w:val="20"/>
                <w:szCs w:val="20"/>
                <w:color w:val="auto"/>
              </w:rPr>
            </w:pPr>
            <w:r>
              <w:rPr>
                <w:rFonts w:ascii="Arial" w:cs="Arial" w:eastAsia="Arial" w:hAnsi="Arial"/>
                <w:sz w:val="13"/>
                <w:szCs w:val="13"/>
                <w:color w:val="auto"/>
              </w:rPr>
              <w:t>31.1</w:t>
            </w:r>
          </w:p>
        </w:tc>
        <w:tc>
          <w:tcPr>
            <w:tcW w:w="220" w:type="dxa"/>
            <w:vAlign w:val="bottom"/>
            <w:shd w:val="clear" w:color="auto" w:fill="C0C0C0"/>
          </w:tcPr>
          <w:p>
            <w:pPr>
              <w:spacing w:after="0"/>
              <w:rPr>
                <w:sz w:val="16"/>
                <w:szCs w:val="16"/>
                <w:color w:val="auto"/>
              </w:rPr>
            </w:pPr>
          </w:p>
        </w:tc>
        <w:tc>
          <w:tcPr>
            <w:tcW w:w="10480" w:type="dxa"/>
            <w:vAlign w:val="bottom"/>
            <w:gridSpan w:val="3"/>
            <w:shd w:val="clear" w:color="auto" w:fill="C0C0C0"/>
          </w:tcPr>
          <w:p>
            <w:pPr>
              <w:spacing w:after="0"/>
              <w:rPr>
                <w:sz w:val="20"/>
                <w:szCs w:val="20"/>
                <w:color w:val="auto"/>
              </w:rPr>
            </w:pPr>
            <w:r>
              <w:rPr>
                <w:rFonts w:ascii="Arial" w:cs="Arial" w:eastAsia="Arial" w:hAnsi="Arial"/>
                <w:sz w:val="13"/>
                <w:szCs w:val="13"/>
                <w:color w:val="auto"/>
              </w:rPr>
              <w:t>-  Certification of CEO pursuant to Rule 13a-14(a) under the Securities Exchange Act of 1934.</w:t>
            </w:r>
          </w:p>
        </w:tc>
      </w:tr>
      <w:tr>
        <w:trPr>
          <w:trHeight w:val="169"/>
        </w:trPr>
        <w:tc>
          <w:tcPr>
            <w:tcW w:w="440" w:type="dxa"/>
            <w:vAlign w:val="bottom"/>
          </w:tcPr>
          <w:p>
            <w:pPr>
              <w:spacing w:after="0"/>
              <w:rPr>
                <w:sz w:val="20"/>
                <w:szCs w:val="20"/>
                <w:color w:val="auto"/>
              </w:rPr>
            </w:pPr>
            <w:r>
              <w:rPr>
                <w:rFonts w:ascii="Arial" w:cs="Arial" w:eastAsia="Arial" w:hAnsi="Arial"/>
                <w:sz w:val="13"/>
                <w:szCs w:val="13"/>
                <w:color w:val="auto"/>
              </w:rPr>
              <w:t>31.2</w:t>
            </w:r>
          </w:p>
        </w:tc>
        <w:tc>
          <w:tcPr>
            <w:tcW w:w="220" w:type="dxa"/>
            <w:vAlign w:val="bottom"/>
          </w:tcPr>
          <w:p>
            <w:pPr>
              <w:spacing w:after="0"/>
              <w:rPr>
                <w:sz w:val="14"/>
                <w:szCs w:val="14"/>
                <w:color w:val="auto"/>
              </w:rPr>
            </w:pPr>
          </w:p>
        </w:tc>
        <w:tc>
          <w:tcPr>
            <w:tcW w:w="10480" w:type="dxa"/>
            <w:vAlign w:val="bottom"/>
            <w:gridSpan w:val="3"/>
          </w:tcPr>
          <w:p>
            <w:pPr>
              <w:spacing w:after="0"/>
              <w:rPr>
                <w:sz w:val="20"/>
                <w:szCs w:val="20"/>
                <w:color w:val="auto"/>
              </w:rPr>
            </w:pPr>
            <w:r>
              <w:rPr>
                <w:rFonts w:ascii="Arial" w:cs="Arial" w:eastAsia="Arial" w:hAnsi="Arial"/>
                <w:sz w:val="13"/>
                <w:szCs w:val="13"/>
                <w:color w:val="auto"/>
              </w:rPr>
              <w:t>-  Certification of CFO pursuant to Rule 13a-14(a) under the Securities Exchange Act of 1934.</w:t>
            </w:r>
          </w:p>
        </w:tc>
      </w:tr>
      <w:tr>
        <w:trPr>
          <w:trHeight w:val="180"/>
        </w:trPr>
        <w:tc>
          <w:tcPr>
            <w:tcW w:w="440" w:type="dxa"/>
            <w:vAlign w:val="bottom"/>
            <w:shd w:val="clear" w:color="auto" w:fill="C0C0C0"/>
          </w:tcPr>
          <w:p>
            <w:pPr>
              <w:spacing w:after="0"/>
              <w:rPr>
                <w:sz w:val="20"/>
                <w:szCs w:val="20"/>
                <w:color w:val="auto"/>
              </w:rPr>
            </w:pPr>
            <w:r>
              <w:rPr>
                <w:rFonts w:ascii="Arial" w:cs="Arial" w:eastAsia="Arial" w:hAnsi="Arial"/>
                <w:sz w:val="13"/>
                <w:szCs w:val="13"/>
                <w:color w:val="auto"/>
              </w:rPr>
              <w:t>32</w:t>
            </w:r>
          </w:p>
        </w:tc>
        <w:tc>
          <w:tcPr>
            <w:tcW w:w="220" w:type="dxa"/>
            <w:vAlign w:val="bottom"/>
            <w:shd w:val="clear" w:color="auto" w:fill="C0C0C0"/>
          </w:tcPr>
          <w:p>
            <w:pPr>
              <w:spacing w:after="0"/>
              <w:rPr>
                <w:sz w:val="15"/>
                <w:szCs w:val="15"/>
                <w:color w:val="auto"/>
              </w:rPr>
            </w:pPr>
          </w:p>
        </w:tc>
        <w:tc>
          <w:tcPr>
            <w:tcW w:w="10480" w:type="dxa"/>
            <w:vAlign w:val="bottom"/>
            <w:gridSpan w:val="3"/>
            <w:shd w:val="clear" w:color="auto" w:fill="C0C0C0"/>
          </w:tcPr>
          <w:p>
            <w:pPr>
              <w:spacing w:after="0"/>
              <w:rPr>
                <w:sz w:val="20"/>
                <w:szCs w:val="20"/>
                <w:color w:val="auto"/>
              </w:rPr>
            </w:pPr>
            <w:r>
              <w:rPr>
                <w:rFonts w:ascii="Arial" w:cs="Arial" w:eastAsia="Arial" w:hAnsi="Arial"/>
                <w:sz w:val="13"/>
                <w:szCs w:val="13"/>
                <w:color w:val="auto"/>
              </w:rPr>
              <w:t>-  Certification of CEO and CFO pursuant to 18 U.S.C. Section 1350.</w:t>
            </w:r>
          </w:p>
        </w:tc>
      </w:tr>
      <w:tr>
        <w:trPr>
          <w:trHeight w:val="169"/>
        </w:trPr>
        <w:tc>
          <w:tcPr>
            <w:tcW w:w="440" w:type="dxa"/>
            <w:vAlign w:val="bottom"/>
          </w:tcPr>
          <w:p>
            <w:pPr>
              <w:spacing w:after="0"/>
              <w:rPr>
                <w:sz w:val="20"/>
                <w:szCs w:val="20"/>
                <w:color w:val="auto"/>
              </w:rPr>
            </w:pPr>
            <w:r>
              <w:rPr>
                <w:rFonts w:ascii="Arial" w:cs="Arial" w:eastAsia="Arial" w:hAnsi="Arial"/>
                <w:sz w:val="13"/>
                <w:szCs w:val="13"/>
                <w:color w:val="auto"/>
              </w:rPr>
              <w:t>101</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10380" w:type="dxa"/>
            <w:vAlign w:val="bottom"/>
            <w:gridSpan w:val="2"/>
          </w:tcPr>
          <w:p>
            <w:pPr>
              <w:ind w:left="40"/>
              <w:spacing w:after="0"/>
              <w:rPr>
                <w:sz w:val="20"/>
                <w:szCs w:val="20"/>
                <w:color w:val="auto"/>
              </w:rPr>
            </w:pPr>
            <w:r>
              <w:rPr>
                <w:rFonts w:ascii="Arial" w:cs="Arial" w:eastAsia="Arial" w:hAnsi="Arial"/>
                <w:sz w:val="13"/>
                <w:szCs w:val="13"/>
                <w:color w:val="auto"/>
              </w:rPr>
              <w:t>Interactive Data File</w:t>
            </w:r>
          </w:p>
        </w:tc>
      </w:tr>
      <w:tr>
        <w:trPr>
          <w:trHeight w:val="180"/>
        </w:trPr>
        <w:tc>
          <w:tcPr>
            <w:tcW w:w="66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101.INS</w:t>
            </w:r>
          </w:p>
        </w:tc>
        <w:tc>
          <w:tcPr>
            <w:tcW w:w="100" w:type="dxa"/>
            <w:vAlign w:val="bottom"/>
            <w:shd w:val="clear" w:color="auto" w:fill="C0C0C0"/>
          </w:tcPr>
          <w:p>
            <w:pPr>
              <w:spacing w:after="0"/>
              <w:rPr>
                <w:sz w:val="20"/>
                <w:szCs w:val="20"/>
                <w:color w:val="auto"/>
              </w:rPr>
            </w:pPr>
            <w:r>
              <w:rPr>
                <w:rFonts w:ascii="Arial" w:cs="Arial" w:eastAsia="Arial" w:hAnsi="Arial"/>
                <w:sz w:val="13"/>
                <w:szCs w:val="13"/>
                <w:color w:val="auto"/>
              </w:rPr>
              <w:t>-</w:t>
            </w:r>
          </w:p>
        </w:tc>
        <w:tc>
          <w:tcPr>
            <w:tcW w:w="10380" w:type="dxa"/>
            <w:vAlign w:val="bottom"/>
            <w:gridSpan w:val="2"/>
            <w:shd w:val="clear" w:color="auto" w:fill="C0C0C0"/>
          </w:tcPr>
          <w:p>
            <w:pPr>
              <w:ind w:left="40"/>
              <w:spacing w:after="0"/>
              <w:rPr>
                <w:sz w:val="20"/>
                <w:szCs w:val="20"/>
                <w:color w:val="auto"/>
              </w:rPr>
            </w:pPr>
            <w:r>
              <w:rPr>
                <w:rFonts w:ascii="Arial" w:cs="Arial" w:eastAsia="Arial" w:hAnsi="Arial"/>
                <w:sz w:val="13"/>
                <w:szCs w:val="13"/>
                <w:color w:val="auto"/>
              </w:rPr>
              <w:t>XBRL Instance Document</w:t>
            </w:r>
          </w:p>
        </w:tc>
      </w:tr>
      <w:tr>
        <w:trPr>
          <w:trHeight w:val="169"/>
        </w:trPr>
        <w:tc>
          <w:tcPr>
            <w:tcW w:w="660" w:type="dxa"/>
            <w:vAlign w:val="bottom"/>
            <w:gridSpan w:val="2"/>
          </w:tcPr>
          <w:p>
            <w:pPr>
              <w:spacing w:after="0"/>
              <w:rPr>
                <w:sz w:val="20"/>
                <w:szCs w:val="20"/>
                <w:color w:val="auto"/>
              </w:rPr>
            </w:pPr>
            <w:r>
              <w:rPr>
                <w:rFonts w:ascii="Arial" w:cs="Arial" w:eastAsia="Arial" w:hAnsi="Arial"/>
                <w:sz w:val="13"/>
                <w:szCs w:val="13"/>
                <w:color w:val="auto"/>
              </w:rPr>
              <w:t>101.SCH</w:t>
            </w:r>
          </w:p>
        </w:tc>
        <w:tc>
          <w:tcPr>
            <w:tcW w:w="10480" w:type="dxa"/>
            <w:vAlign w:val="bottom"/>
            <w:gridSpan w:val="3"/>
          </w:tcPr>
          <w:p>
            <w:pPr>
              <w:spacing w:after="0"/>
              <w:rPr>
                <w:sz w:val="20"/>
                <w:szCs w:val="20"/>
                <w:color w:val="auto"/>
              </w:rPr>
            </w:pPr>
            <w:r>
              <w:rPr>
                <w:rFonts w:ascii="Arial" w:cs="Arial" w:eastAsia="Arial" w:hAnsi="Arial"/>
                <w:sz w:val="13"/>
                <w:szCs w:val="13"/>
                <w:color w:val="auto"/>
              </w:rPr>
              <w:t>-  XBRL Taxonomy Extension Schema</w:t>
            </w:r>
          </w:p>
        </w:tc>
      </w:tr>
      <w:tr>
        <w:trPr>
          <w:trHeight w:val="180"/>
        </w:trPr>
        <w:tc>
          <w:tcPr>
            <w:tcW w:w="66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101.CAL</w:t>
            </w:r>
          </w:p>
        </w:tc>
        <w:tc>
          <w:tcPr>
            <w:tcW w:w="10480" w:type="dxa"/>
            <w:vAlign w:val="bottom"/>
            <w:gridSpan w:val="3"/>
            <w:shd w:val="clear" w:color="auto" w:fill="C0C0C0"/>
          </w:tcPr>
          <w:p>
            <w:pPr>
              <w:spacing w:after="0"/>
              <w:rPr>
                <w:sz w:val="20"/>
                <w:szCs w:val="20"/>
                <w:color w:val="auto"/>
              </w:rPr>
            </w:pPr>
            <w:r>
              <w:rPr>
                <w:rFonts w:ascii="Arial" w:cs="Arial" w:eastAsia="Arial" w:hAnsi="Arial"/>
                <w:sz w:val="13"/>
                <w:szCs w:val="13"/>
                <w:color w:val="auto"/>
              </w:rPr>
              <w:t>-  XBRL Taxonomy Extension Calculation Linkbase</w:t>
            </w:r>
          </w:p>
        </w:tc>
      </w:tr>
      <w:tr>
        <w:trPr>
          <w:trHeight w:val="169"/>
        </w:trPr>
        <w:tc>
          <w:tcPr>
            <w:tcW w:w="660" w:type="dxa"/>
            <w:vAlign w:val="bottom"/>
            <w:gridSpan w:val="2"/>
          </w:tcPr>
          <w:p>
            <w:pPr>
              <w:spacing w:after="0"/>
              <w:rPr>
                <w:sz w:val="20"/>
                <w:szCs w:val="20"/>
                <w:color w:val="auto"/>
              </w:rPr>
            </w:pPr>
            <w:r>
              <w:rPr>
                <w:rFonts w:ascii="Arial" w:cs="Arial" w:eastAsia="Arial" w:hAnsi="Arial"/>
                <w:sz w:val="13"/>
                <w:szCs w:val="13"/>
                <w:color w:val="auto"/>
              </w:rPr>
              <w:t>101.LAB</w:t>
            </w:r>
          </w:p>
        </w:tc>
        <w:tc>
          <w:tcPr>
            <w:tcW w:w="10480" w:type="dxa"/>
            <w:vAlign w:val="bottom"/>
            <w:gridSpan w:val="3"/>
          </w:tcPr>
          <w:p>
            <w:pPr>
              <w:spacing w:after="0"/>
              <w:rPr>
                <w:sz w:val="20"/>
                <w:szCs w:val="20"/>
                <w:color w:val="auto"/>
              </w:rPr>
            </w:pPr>
            <w:r>
              <w:rPr>
                <w:rFonts w:ascii="Arial" w:cs="Arial" w:eastAsia="Arial" w:hAnsi="Arial"/>
                <w:sz w:val="13"/>
                <w:szCs w:val="13"/>
                <w:color w:val="auto"/>
              </w:rPr>
              <w:t>-  XBRL Taxonomy Extension Label Linkbase</w:t>
            </w:r>
          </w:p>
        </w:tc>
      </w:tr>
      <w:tr>
        <w:trPr>
          <w:trHeight w:val="180"/>
        </w:trPr>
        <w:tc>
          <w:tcPr>
            <w:tcW w:w="66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101.PRE</w:t>
            </w:r>
          </w:p>
        </w:tc>
        <w:tc>
          <w:tcPr>
            <w:tcW w:w="10480" w:type="dxa"/>
            <w:vAlign w:val="bottom"/>
            <w:gridSpan w:val="3"/>
            <w:shd w:val="clear" w:color="auto" w:fill="C0C0C0"/>
          </w:tcPr>
          <w:p>
            <w:pPr>
              <w:spacing w:after="0"/>
              <w:rPr>
                <w:sz w:val="20"/>
                <w:szCs w:val="20"/>
                <w:color w:val="auto"/>
              </w:rPr>
            </w:pPr>
            <w:r>
              <w:rPr>
                <w:rFonts w:ascii="Arial" w:cs="Arial" w:eastAsia="Arial" w:hAnsi="Arial"/>
                <w:sz w:val="13"/>
                <w:szCs w:val="13"/>
                <w:color w:val="auto"/>
              </w:rPr>
              <w:t>-  XBRL Taxonomy Extension Presentation Linkbase</w:t>
            </w:r>
          </w:p>
        </w:tc>
      </w:tr>
      <w:tr>
        <w:trPr>
          <w:trHeight w:val="164"/>
        </w:trPr>
        <w:tc>
          <w:tcPr>
            <w:tcW w:w="660" w:type="dxa"/>
            <w:vAlign w:val="bottom"/>
            <w:gridSpan w:val="2"/>
          </w:tcPr>
          <w:p>
            <w:pPr>
              <w:spacing w:after="0"/>
              <w:rPr>
                <w:sz w:val="20"/>
                <w:szCs w:val="20"/>
                <w:color w:val="auto"/>
              </w:rPr>
            </w:pPr>
            <w:r>
              <w:rPr>
                <w:rFonts w:ascii="Arial" w:cs="Arial" w:eastAsia="Arial" w:hAnsi="Arial"/>
                <w:sz w:val="13"/>
                <w:szCs w:val="13"/>
                <w:color w:val="auto"/>
              </w:rPr>
              <w:t>101.DEF</w:t>
            </w:r>
          </w:p>
        </w:tc>
        <w:tc>
          <w:tcPr>
            <w:tcW w:w="10480" w:type="dxa"/>
            <w:vAlign w:val="bottom"/>
            <w:gridSpan w:val="3"/>
          </w:tcPr>
          <w:p>
            <w:pPr>
              <w:spacing w:after="0"/>
              <w:rPr>
                <w:sz w:val="20"/>
                <w:szCs w:val="20"/>
                <w:color w:val="auto"/>
              </w:rPr>
            </w:pPr>
            <w:r>
              <w:rPr>
                <w:rFonts w:ascii="Arial" w:cs="Arial" w:eastAsia="Arial" w:hAnsi="Arial"/>
                <w:sz w:val="13"/>
                <w:szCs w:val="13"/>
                <w:color w:val="auto"/>
              </w:rPr>
              <w:t>-  XBRL Taxonomy Extension Definition Document</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0"/>
          </w:cols>
          <w:pgMar w:left="220" w:top="609" w:right="199" w:bottom="1440" w:gutter="0" w:footer="0" w:header="0"/>
        </w:sectPr>
      </w:pPr>
    </w:p>
    <w:bookmarkStart w:id="58" w:name="page59"/>
    <w:bookmarkEnd w:id="58"/>
    <w:p>
      <w:pPr>
        <w:ind w:left="5360"/>
        <w:spacing w:after="0"/>
        <w:rPr>
          <w:sz w:val="20"/>
          <w:szCs w:val="20"/>
          <w:color w:val="auto"/>
        </w:rPr>
      </w:pPr>
      <w:r>
        <w:rPr>
          <w:rFonts w:ascii="Arial" w:cs="Arial" w:eastAsia="Arial" w:hAnsi="Arial"/>
          <w:sz w:val="13"/>
          <w:szCs w:val="13"/>
          <w:b w:val="1"/>
          <w:bCs w:val="1"/>
          <w:u w:val="single" w:color="auto"/>
          <w:color w:val="auto"/>
        </w:rPr>
        <w:t>SIGNATURE</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REGENERON PHARMACEUTICALS, INC.</w:t>
      </w:r>
    </w:p>
    <w:p>
      <w:pPr>
        <w:spacing w:after="0" w:line="200" w:lineRule="exact"/>
        <w:rPr>
          <w:sz w:val="20"/>
          <w:szCs w:val="20"/>
          <w:color w:val="auto"/>
        </w:rPr>
      </w:pPr>
    </w:p>
    <w:p>
      <w:pPr>
        <w:spacing w:after="0"/>
        <w:tabs>
          <w:tab w:leader="none" w:pos="5780" w:val="left"/>
        </w:tabs>
        <w:rPr>
          <w:sz w:val="20"/>
          <w:szCs w:val="20"/>
          <w:color w:val="auto"/>
        </w:rPr>
      </w:pPr>
      <w:r>
        <w:rPr>
          <w:rFonts w:ascii="Arial" w:cs="Arial" w:eastAsia="Arial" w:hAnsi="Arial"/>
          <w:sz w:val="13"/>
          <w:szCs w:val="13"/>
          <w:color w:val="auto"/>
        </w:rPr>
        <w:t>Date: May 3, 2011</w:t>
      </w:r>
      <w:r>
        <w:rPr>
          <w:sz w:val="20"/>
          <w:szCs w:val="20"/>
          <w:color w:val="auto"/>
        </w:rPr>
        <w:tab/>
      </w:r>
      <w:r>
        <w:rPr>
          <w:rFonts w:ascii="Arial" w:cs="Arial" w:eastAsia="Arial" w:hAnsi="Arial"/>
          <w:sz w:val="12"/>
          <w:szCs w:val="12"/>
          <w:color w:val="auto"/>
        </w:rPr>
        <w:t xml:space="preserve">By: </w:t>
      </w:r>
      <w:r>
        <w:rPr>
          <w:rFonts w:ascii="Arial" w:cs="Arial" w:eastAsia="Arial" w:hAnsi="Arial"/>
          <w:sz w:val="12"/>
          <w:szCs w:val="12"/>
          <w:u w:val="single" w:color="auto"/>
          <w:color w:val="auto"/>
        </w:rPr>
        <w:t>/s/ M</w:t>
      </w:r>
      <w:r>
        <w:rPr>
          <w:rFonts w:ascii="Arial" w:cs="Arial" w:eastAsia="Arial" w:hAnsi="Arial"/>
          <w:sz w:val="8"/>
          <w:szCs w:val="8"/>
          <w:u w:val="single" w:color="auto"/>
          <w:color w:val="auto"/>
        </w:rPr>
        <w:t>URRAY</w:t>
      </w:r>
      <w:r>
        <w:rPr>
          <w:rFonts w:ascii="Arial" w:cs="Arial" w:eastAsia="Arial" w:hAnsi="Arial"/>
          <w:sz w:val="12"/>
          <w:szCs w:val="12"/>
          <w:color w:val="auto"/>
        </w:rPr>
        <w:t xml:space="preserve"> </w:t>
      </w:r>
      <w:r>
        <w:rPr>
          <w:rFonts w:ascii="Arial" w:cs="Arial" w:eastAsia="Arial" w:hAnsi="Arial"/>
          <w:sz w:val="12"/>
          <w:szCs w:val="12"/>
          <w:u w:val="single" w:color="auto"/>
          <w:color w:val="auto"/>
        </w:rPr>
        <w:t>A. G</w:t>
      </w:r>
      <w:r>
        <w:rPr>
          <w:rFonts w:ascii="Arial" w:cs="Arial" w:eastAsia="Arial" w:hAnsi="Arial"/>
          <w:sz w:val="8"/>
          <w:szCs w:val="8"/>
          <w:u w:val="single" w:color="auto"/>
          <w:color w:val="auto"/>
        </w:rPr>
        <w:t>OLDBERG</w:t>
      </w:r>
    </w:p>
    <w:p>
      <w:pPr>
        <w:spacing w:after="0" w:line="210"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Murray A. Goldberg</w:t>
      </w:r>
    </w:p>
    <w:p>
      <w:pPr>
        <w:spacing w:after="0" w:line="25"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Senior Vice President, Finance &amp; Administration,</w:t>
      </w:r>
    </w:p>
    <w:p>
      <w:pPr>
        <w:spacing w:after="0" w:line="25"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Chief Financial Officer, Treasurer, and</w:t>
      </w:r>
    </w:p>
    <w:p>
      <w:pPr>
        <w:spacing w:after="0" w:line="25"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Assistant Secretary</w:t>
      </w:r>
    </w:p>
    <w:p>
      <w:pPr>
        <w:spacing w:after="0" w:line="25"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(Principal Financial Officer and</w:t>
      </w:r>
    </w:p>
    <w:p>
      <w:pPr>
        <w:spacing w:after="0" w:line="25"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Duly Authorized Officer)</w:t>
      </w:r>
    </w:p>
    <w:p>
      <w:pPr>
        <w:spacing w:after="0" w:line="190"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303770"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0239"/>
          </w:cols>
          <w:pgMar w:left="220" w:top="479" w:right="1440" w:bottom="1440" w:gutter="0" w:footer="0" w:header="0"/>
        </w:sectPr>
      </w:pPr>
    </w:p>
    <w:bookmarkStart w:id="59" w:name="page60"/>
    <w:bookmarkEnd w:id="59"/>
    <w:p>
      <w:pPr>
        <w:ind w:left="10842"/>
        <w:spacing w:after="0"/>
        <w:rPr>
          <w:sz w:val="20"/>
          <w:szCs w:val="20"/>
          <w:color w:val="auto"/>
        </w:rPr>
      </w:pPr>
      <w:r>
        <w:rPr>
          <w:rFonts w:ascii="Arial" w:cs="Arial" w:eastAsia="Arial" w:hAnsi="Arial"/>
          <w:sz w:val="12"/>
          <w:szCs w:val="12"/>
          <w:color w:val="auto"/>
        </w:rPr>
        <w:t>Exhibit 31.1</w:t>
      </w:r>
    </w:p>
    <w:p>
      <w:pPr>
        <w:spacing w:after="0" w:line="188" w:lineRule="exact"/>
        <w:rPr>
          <w:sz w:val="20"/>
          <w:szCs w:val="20"/>
          <w:color w:val="auto"/>
        </w:rPr>
      </w:pPr>
    </w:p>
    <w:p>
      <w:pPr>
        <w:jc w:val="center"/>
        <w:ind w:right="38"/>
        <w:spacing w:after="0"/>
        <w:rPr>
          <w:sz w:val="20"/>
          <w:szCs w:val="20"/>
          <w:color w:val="auto"/>
        </w:rPr>
      </w:pPr>
      <w:r>
        <w:rPr>
          <w:rFonts w:ascii="Arial" w:cs="Arial" w:eastAsia="Arial" w:hAnsi="Arial"/>
          <w:sz w:val="13"/>
          <w:szCs w:val="13"/>
          <w:b w:val="1"/>
          <w:bCs w:val="1"/>
          <w:color w:val="auto"/>
        </w:rPr>
        <w:t>Certification of CEO Pursuant to</w:t>
      </w:r>
    </w:p>
    <w:p>
      <w:pPr>
        <w:spacing w:after="0" w:line="15" w:lineRule="exact"/>
        <w:rPr>
          <w:sz w:val="20"/>
          <w:szCs w:val="20"/>
          <w:color w:val="auto"/>
        </w:rPr>
      </w:pPr>
    </w:p>
    <w:p>
      <w:pPr>
        <w:jc w:val="center"/>
        <w:ind w:right="38"/>
        <w:spacing w:after="0"/>
        <w:rPr>
          <w:sz w:val="20"/>
          <w:szCs w:val="20"/>
          <w:color w:val="auto"/>
        </w:rPr>
      </w:pPr>
      <w:r>
        <w:rPr>
          <w:rFonts w:ascii="Arial" w:cs="Arial" w:eastAsia="Arial" w:hAnsi="Arial"/>
          <w:sz w:val="13"/>
          <w:szCs w:val="13"/>
          <w:b w:val="1"/>
          <w:bCs w:val="1"/>
          <w:color w:val="auto"/>
        </w:rPr>
        <w:t>Rule 13a-14(a) under the Securities Exchange Act</w:t>
      </w:r>
    </w:p>
    <w:p>
      <w:pPr>
        <w:spacing w:after="0" w:line="6" w:lineRule="exact"/>
        <w:rPr>
          <w:sz w:val="20"/>
          <w:szCs w:val="20"/>
          <w:color w:val="auto"/>
        </w:rPr>
      </w:pPr>
    </w:p>
    <w:p>
      <w:pPr>
        <w:jc w:val="center"/>
        <w:ind w:right="38"/>
        <w:spacing w:after="0"/>
        <w:rPr>
          <w:sz w:val="20"/>
          <w:szCs w:val="20"/>
          <w:color w:val="auto"/>
        </w:rPr>
      </w:pPr>
      <w:r>
        <w:rPr>
          <w:rFonts w:ascii="Arial" w:cs="Arial" w:eastAsia="Arial" w:hAnsi="Arial"/>
          <w:sz w:val="13"/>
          <w:szCs w:val="13"/>
          <w:b w:val="1"/>
          <w:bCs w:val="1"/>
          <w:color w:val="auto"/>
        </w:rPr>
        <w:t>of 1934, as Adopted Pursuant to</w:t>
      </w:r>
    </w:p>
    <w:p>
      <w:pPr>
        <w:spacing w:after="0" w:line="6"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3"/>
          <w:szCs w:val="13"/>
          <w:color w:val="auto"/>
        </w:rPr>
        <w:t>I, Leonard S. Schleifer, certify that:</w:t>
      </w:r>
    </w:p>
    <w:p>
      <w:pPr>
        <w:spacing w:after="0" w:line="181" w:lineRule="exact"/>
        <w:rPr>
          <w:sz w:val="20"/>
          <w:szCs w:val="20"/>
          <w:color w:val="auto"/>
        </w:rPr>
      </w:pPr>
    </w:p>
    <w:p>
      <w:pPr>
        <w:ind w:left="282" w:hanging="282"/>
        <w:spacing w:after="0"/>
        <w:tabs>
          <w:tab w:leader="none" w:pos="282" w:val="left"/>
        </w:tabs>
        <w:numPr>
          <w:ilvl w:val="0"/>
          <w:numId w:val="4"/>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Regeneron Pharmaceuticals, Inc.;</w:t>
      </w:r>
    </w:p>
    <w:p>
      <w:pPr>
        <w:spacing w:after="0" w:line="180" w:lineRule="exact"/>
        <w:rPr>
          <w:rFonts w:ascii="Arial" w:cs="Arial" w:eastAsia="Arial" w:hAnsi="Arial"/>
          <w:sz w:val="13"/>
          <w:szCs w:val="13"/>
          <w:color w:val="auto"/>
        </w:rPr>
      </w:pPr>
    </w:p>
    <w:p>
      <w:pPr>
        <w:ind w:left="282" w:right="560" w:hanging="282"/>
        <w:spacing w:after="0" w:line="266" w:lineRule="auto"/>
        <w:tabs>
          <w:tab w:leader="none" w:pos="282"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3"/>
          <w:szCs w:val="13"/>
          <w:color w:val="auto"/>
        </w:rPr>
      </w:pPr>
    </w:p>
    <w:p>
      <w:pPr>
        <w:ind w:left="282" w:hanging="282"/>
        <w:spacing w:after="0" w:line="266" w:lineRule="auto"/>
        <w:tabs>
          <w:tab w:leader="none" w:pos="282"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3"/>
          <w:szCs w:val="13"/>
          <w:color w:val="auto"/>
        </w:rPr>
      </w:pPr>
    </w:p>
    <w:p>
      <w:pPr>
        <w:ind w:left="282" w:right="340" w:hanging="282"/>
        <w:spacing w:after="0" w:line="266" w:lineRule="auto"/>
        <w:tabs>
          <w:tab w:leader="none" w:pos="282"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3"/>
          <w:szCs w:val="13"/>
          <w:color w:val="auto"/>
        </w:rPr>
      </w:pPr>
    </w:p>
    <w:p>
      <w:pPr>
        <w:ind w:left="822" w:right="80" w:hanging="310"/>
        <w:spacing w:after="0" w:line="266" w:lineRule="auto"/>
        <w:tabs>
          <w:tab w:leader="none" w:pos="822" w:val="left"/>
        </w:tabs>
        <w:numPr>
          <w:ilvl w:val="1"/>
          <w:numId w:val="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3"/>
          <w:szCs w:val="13"/>
          <w:color w:val="auto"/>
        </w:rPr>
      </w:pPr>
    </w:p>
    <w:p>
      <w:pPr>
        <w:ind w:left="822" w:right="140" w:hanging="310"/>
        <w:spacing w:after="0" w:line="266" w:lineRule="auto"/>
        <w:tabs>
          <w:tab w:leader="none" w:pos="822" w:val="left"/>
        </w:tabs>
        <w:numPr>
          <w:ilvl w:val="1"/>
          <w:numId w:val="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3"/>
          <w:szCs w:val="13"/>
          <w:color w:val="auto"/>
        </w:rPr>
      </w:pPr>
    </w:p>
    <w:p>
      <w:pPr>
        <w:ind w:left="822" w:right="40" w:hanging="310"/>
        <w:spacing w:after="0" w:line="266" w:lineRule="auto"/>
        <w:tabs>
          <w:tab w:leader="none" w:pos="822" w:val="left"/>
        </w:tabs>
        <w:numPr>
          <w:ilvl w:val="1"/>
          <w:numId w:val="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3"/>
          <w:szCs w:val="13"/>
          <w:color w:val="auto"/>
        </w:rPr>
      </w:pPr>
    </w:p>
    <w:p>
      <w:pPr>
        <w:ind w:left="822" w:right="100" w:hanging="310"/>
        <w:spacing w:after="0" w:line="266" w:lineRule="auto"/>
        <w:tabs>
          <w:tab w:leader="none" w:pos="822" w:val="left"/>
        </w:tabs>
        <w:numPr>
          <w:ilvl w:val="1"/>
          <w:numId w:val="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3"/>
          <w:szCs w:val="13"/>
          <w:color w:val="auto"/>
        </w:rPr>
      </w:pPr>
    </w:p>
    <w:p>
      <w:pPr>
        <w:ind w:left="282" w:right="120" w:hanging="282"/>
        <w:spacing w:after="0" w:line="266" w:lineRule="auto"/>
        <w:tabs>
          <w:tab w:leader="none" w:pos="282"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3"/>
          <w:szCs w:val="13"/>
          <w:color w:val="auto"/>
        </w:rPr>
      </w:pPr>
    </w:p>
    <w:p>
      <w:pPr>
        <w:ind w:left="822" w:right="80" w:hanging="310"/>
        <w:spacing w:after="0" w:line="266" w:lineRule="auto"/>
        <w:tabs>
          <w:tab w:leader="none" w:pos="822" w:val="left"/>
        </w:tabs>
        <w:numPr>
          <w:ilvl w:val="1"/>
          <w:numId w:val="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3"/>
          <w:szCs w:val="13"/>
          <w:color w:val="auto"/>
        </w:rPr>
      </w:pPr>
    </w:p>
    <w:p>
      <w:pPr>
        <w:ind w:left="822" w:hanging="310"/>
        <w:spacing w:after="0"/>
        <w:tabs>
          <w:tab w:leader="none" w:pos="822" w:val="left"/>
        </w:tabs>
        <w:numPr>
          <w:ilvl w:val="1"/>
          <w:numId w:val="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
        <w:spacing w:after="0"/>
        <w:tabs>
          <w:tab w:leader="none" w:pos="5782" w:val="left"/>
        </w:tabs>
        <w:rPr>
          <w:sz w:val="20"/>
          <w:szCs w:val="20"/>
          <w:color w:val="auto"/>
        </w:rPr>
      </w:pPr>
      <w:r>
        <w:rPr>
          <w:rFonts w:ascii="Arial" w:cs="Arial" w:eastAsia="Arial" w:hAnsi="Arial"/>
          <w:sz w:val="13"/>
          <w:szCs w:val="13"/>
          <w:color w:val="auto"/>
        </w:rPr>
        <w:t>Date: May 3, 2011</w:t>
      </w:r>
      <w:r>
        <w:rPr>
          <w:sz w:val="20"/>
          <w:szCs w:val="20"/>
          <w:color w:val="auto"/>
        </w:rPr>
        <w:tab/>
      </w:r>
      <w:r>
        <w:rPr>
          <w:rFonts w:ascii="Arial" w:cs="Arial" w:eastAsia="Arial" w:hAnsi="Arial"/>
          <w:sz w:val="12"/>
          <w:szCs w:val="12"/>
          <w:u w:val="single" w:color="auto"/>
          <w:color w:val="auto"/>
        </w:rPr>
        <w:t>/s/ L</w:t>
      </w:r>
      <w:r>
        <w:rPr>
          <w:rFonts w:ascii="Arial" w:cs="Arial" w:eastAsia="Arial" w:hAnsi="Arial"/>
          <w:sz w:val="8"/>
          <w:szCs w:val="8"/>
          <w:u w:val="single" w:color="auto"/>
          <w:color w:val="auto"/>
        </w:rPr>
        <w:t>EONARD</w:t>
      </w:r>
      <w:r>
        <w:rPr>
          <w:rFonts w:ascii="Arial" w:cs="Arial" w:eastAsia="Arial" w:hAnsi="Arial"/>
          <w:sz w:val="12"/>
          <w:szCs w:val="12"/>
          <w:u w:val="single" w:color="auto"/>
          <w:color w:val="auto"/>
        </w:rPr>
        <w:t xml:space="preserve"> S. S</w:t>
      </w:r>
      <w:r>
        <w:rPr>
          <w:rFonts w:ascii="Arial" w:cs="Arial" w:eastAsia="Arial" w:hAnsi="Arial"/>
          <w:sz w:val="8"/>
          <w:szCs w:val="8"/>
          <w:u w:val="single" w:color="auto"/>
          <w:color w:val="auto"/>
        </w:rPr>
        <w:t>CHLEIFER</w:t>
      </w:r>
    </w:p>
    <w:p>
      <w:pPr>
        <w:spacing w:after="0" w:line="35" w:lineRule="exact"/>
        <w:rPr>
          <w:sz w:val="20"/>
          <w:szCs w:val="20"/>
          <w:color w:val="auto"/>
        </w:rPr>
      </w:pPr>
    </w:p>
    <w:p>
      <w:pPr>
        <w:ind w:left="5802"/>
        <w:spacing w:after="0"/>
        <w:rPr>
          <w:sz w:val="20"/>
          <w:szCs w:val="20"/>
          <w:color w:val="auto"/>
        </w:rPr>
      </w:pPr>
      <w:r>
        <w:rPr>
          <w:rFonts w:ascii="Arial" w:cs="Arial" w:eastAsia="Arial" w:hAnsi="Arial"/>
          <w:sz w:val="13"/>
          <w:szCs w:val="13"/>
          <w:color w:val="auto"/>
        </w:rPr>
        <w:t>Leonard S. Schleifer, M.D., Ph.D.</w:t>
      </w:r>
    </w:p>
    <w:p>
      <w:pPr>
        <w:spacing w:after="0" w:line="25" w:lineRule="exact"/>
        <w:rPr>
          <w:sz w:val="20"/>
          <w:szCs w:val="20"/>
          <w:color w:val="auto"/>
        </w:rPr>
      </w:pPr>
    </w:p>
    <w:p>
      <w:pPr>
        <w:ind w:left="5802"/>
        <w:spacing w:after="0"/>
        <w:rPr>
          <w:sz w:val="20"/>
          <w:szCs w:val="20"/>
          <w:color w:val="auto"/>
        </w:rPr>
      </w:pPr>
      <w:r>
        <w:rPr>
          <w:rFonts w:ascii="Arial" w:cs="Arial" w:eastAsia="Arial" w:hAnsi="Arial"/>
          <w:sz w:val="13"/>
          <w:szCs w:val="13"/>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730377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2"/>
          </w:cols>
          <w:pgMar w:left="218" w:top="308" w:right="199" w:bottom="1440" w:gutter="0" w:footer="0" w:header="0"/>
        </w:sectPr>
      </w:pPr>
    </w:p>
    <w:bookmarkStart w:id="60" w:name="page61"/>
    <w:bookmarkEnd w:id="60"/>
    <w:p>
      <w:pPr>
        <w:ind w:left="10842"/>
        <w:spacing w:after="0"/>
        <w:rPr>
          <w:sz w:val="20"/>
          <w:szCs w:val="20"/>
          <w:color w:val="auto"/>
        </w:rPr>
      </w:pPr>
      <w:r>
        <w:rPr>
          <w:rFonts w:ascii="Arial" w:cs="Arial" w:eastAsia="Arial" w:hAnsi="Arial"/>
          <w:sz w:val="12"/>
          <w:szCs w:val="12"/>
          <w:color w:val="auto"/>
        </w:rPr>
        <w:t>Exhibit 31.2</w:t>
      </w:r>
    </w:p>
    <w:p>
      <w:pPr>
        <w:spacing w:after="0" w:line="188" w:lineRule="exact"/>
        <w:rPr>
          <w:sz w:val="20"/>
          <w:szCs w:val="20"/>
          <w:color w:val="auto"/>
        </w:rPr>
      </w:pPr>
    </w:p>
    <w:p>
      <w:pPr>
        <w:jc w:val="center"/>
        <w:ind w:right="38"/>
        <w:spacing w:after="0"/>
        <w:rPr>
          <w:sz w:val="20"/>
          <w:szCs w:val="20"/>
          <w:color w:val="auto"/>
        </w:rPr>
      </w:pPr>
      <w:r>
        <w:rPr>
          <w:rFonts w:ascii="Arial" w:cs="Arial" w:eastAsia="Arial" w:hAnsi="Arial"/>
          <w:sz w:val="13"/>
          <w:szCs w:val="13"/>
          <w:b w:val="1"/>
          <w:bCs w:val="1"/>
          <w:color w:val="auto"/>
        </w:rPr>
        <w:t>Certification of CFO Pursuant to</w:t>
      </w:r>
    </w:p>
    <w:p>
      <w:pPr>
        <w:spacing w:after="0" w:line="15" w:lineRule="exact"/>
        <w:rPr>
          <w:sz w:val="20"/>
          <w:szCs w:val="20"/>
          <w:color w:val="auto"/>
        </w:rPr>
      </w:pPr>
    </w:p>
    <w:p>
      <w:pPr>
        <w:jc w:val="center"/>
        <w:ind w:right="38"/>
        <w:spacing w:after="0"/>
        <w:rPr>
          <w:sz w:val="20"/>
          <w:szCs w:val="20"/>
          <w:color w:val="auto"/>
        </w:rPr>
      </w:pPr>
      <w:r>
        <w:rPr>
          <w:rFonts w:ascii="Arial" w:cs="Arial" w:eastAsia="Arial" w:hAnsi="Arial"/>
          <w:sz w:val="13"/>
          <w:szCs w:val="13"/>
          <w:b w:val="1"/>
          <w:bCs w:val="1"/>
          <w:color w:val="auto"/>
        </w:rPr>
        <w:t>Rule 13a-14(a) under the Securities Exchange Act</w:t>
      </w:r>
    </w:p>
    <w:p>
      <w:pPr>
        <w:spacing w:after="0" w:line="6" w:lineRule="exact"/>
        <w:rPr>
          <w:sz w:val="20"/>
          <w:szCs w:val="20"/>
          <w:color w:val="auto"/>
        </w:rPr>
      </w:pPr>
    </w:p>
    <w:p>
      <w:pPr>
        <w:jc w:val="center"/>
        <w:ind w:right="38"/>
        <w:spacing w:after="0"/>
        <w:rPr>
          <w:sz w:val="20"/>
          <w:szCs w:val="20"/>
          <w:color w:val="auto"/>
        </w:rPr>
      </w:pPr>
      <w:r>
        <w:rPr>
          <w:rFonts w:ascii="Arial" w:cs="Arial" w:eastAsia="Arial" w:hAnsi="Arial"/>
          <w:sz w:val="13"/>
          <w:szCs w:val="13"/>
          <w:b w:val="1"/>
          <w:bCs w:val="1"/>
          <w:color w:val="auto"/>
        </w:rPr>
        <w:t>of 1934, as Adopted Pursuant to</w:t>
      </w:r>
    </w:p>
    <w:p>
      <w:pPr>
        <w:spacing w:after="0" w:line="6"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3"/>
          <w:szCs w:val="13"/>
          <w:color w:val="auto"/>
        </w:rPr>
        <w:t>I, Murray A. Goldberg, certify that:</w:t>
      </w:r>
    </w:p>
    <w:p>
      <w:pPr>
        <w:spacing w:after="0" w:line="181" w:lineRule="exact"/>
        <w:rPr>
          <w:sz w:val="20"/>
          <w:szCs w:val="20"/>
          <w:color w:val="auto"/>
        </w:rPr>
      </w:pPr>
    </w:p>
    <w:p>
      <w:pPr>
        <w:ind w:left="282" w:hanging="282"/>
        <w:spacing w:after="0"/>
        <w:tabs>
          <w:tab w:leader="none" w:pos="282" w:val="left"/>
        </w:tabs>
        <w:numPr>
          <w:ilvl w:val="0"/>
          <w:numId w:val="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Regeneron Pharmaceuticals, Inc.;</w:t>
      </w:r>
    </w:p>
    <w:p>
      <w:pPr>
        <w:spacing w:after="0" w:line="180" w:lineRule="exact"/>
        <w:rPr>
          <w:rFonts w:ascii="Arial" w:cs="Arial" w:eastAsia="Arial" w:hAnsi="Arial"/>
          <w:sz w:val="13"/>
          <w:szCs w:val="13"/>
          <w:color w:val="auto"/>
        </w:rPr>
      </w:pPr>
    </w:p>
    <w:p>
      <w:pPr>
        <w:ind w:left="282" w:right="560" w:hanging="282"/>
        <w:spacing w:after="0" w:line="266" w:lineRule="auto"/>
        <w:tabs>
          <w:tab w:leader="none" w:pos="282" w:val="left"/>
        </w:tabs>
        <w:numPr>
          <w:ilvl w:val="0"/>
          <w:numId w:val="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3"/>
          <w:szCs w:val="13"/>
          <w:color w:val="auto"/>
        </w:rPr>
      </w:pPr>
    </w:p>
    <w:p>
      <w:pPr>
        <w:ind w:left="282" w:hanging="282"/>
        <w:spacing w:after="0" w:line="266" w:lineRule="auto"/>
        <w:tabs>
          <w:tab w:leader="none" w:pos="282" w:val="left"/>
        </w:tabs>
        <w:numPr>
          <w:ilvl w:val="0"/>
          <w:numId w:val="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3"/>
          <w:szCs w:val="13"/>
          <w:color w:val="auto"/>
        </w:rPr>
      </w:pPr>
    </w:p>
    <w:p>
      <w:pPr>
        <w:ind w:left="282" w:right="340" w:hanging="282"/>
        <w:spacing w:after="0" w:line="266" w:lineRule="auto"/>
        <w:tabs>
          <w:tab w:leader="none" w:pos="282"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3"/>
          <w:szCs w:val="13"/>
          <w:color w:val="auto"/>
        </w:rPr>
      </w:pPr>
    </w:p>
    <w:p>
      <w:pPr>
        <w:ind w:left="822" w:right="80" w:hanging="310"/>
        <w:spacing w:after="0" w:line="266" w:lineRule="auto"/>
        <w:tabs>
          <w:tab w:leader="none" w:pos="822" w:val="left"/>
        </w:tabs>
        <w:numPr>
          <w:ilvl w:val="1"/>
          <w:numId w:val="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3"/>
          <w:szCs w:val="13"/>
          <w:color w:val="auto"/>
        </w:rPr>
      </w:pPr>
    </w:p>
    <w:p>
      <w:pPr>
        <w:ind w:left="822" w:right="140" w:hanging="310"/>
        <w:spacing w:after="0" w:line="266" w:lineRule="auto"/>
        <w:tabs>
          <w:tab w:leader="none" w:pos="822" w:val="left"/>
        </w:tabs>
        <w:numPr>
          <w:ilvl w:val="1"/>
          <w:numId w:val="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3"/>
          <w:szCs w:val="13"/>
          <w:color w:val="auto"/>
        </w:rPr>
      </w:pPr>
    </w:p>
    <w:p>
      <w:pPr>
        <w:ind w:left="822" w:right="40" w:hanging="310"/>
        <w:spacing w:after="0" w:line="266" w:lineRule="auto"/>
        <w:tabs>
          <w:tab w:leader="none" w:pos="822" w:val="left"/>
        </w:tabs>
        <w:numPr>
          <w:ilvl w:val="1"/>
          <w:numId w:val="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3"/>
          <w:szCs w:val="13"/>
          <w:color w:val="auto"/>
        </w:rPr>
      </w:pPr>
    </w:p>
    <w:p>
      <w:pPr>
        <w:ind w:left="822" w:right="100" w:hanging="310"/>
        <w:spacing w:after="0" w:line="266" w:lineRule="auto"/>
        <w:tabs>
          <w:tab w:leader="none" w:pos="822" w:val="left"/>
        </w:tabs>
        <w:numPr>
          <w:ilvl w:val="1"/>
          <w:numId w:val="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3"/>
          <w:szCs w:val="13"/>
          <w:color w:val="auto"/>
        </w:rPr>
      </w:pPr>
    </w:p>
    <w:p>
      <w:pPr>
        <w:ind w:left="282" w:right="120" w:hanging="282"/>
        <w:spacing w:after="0" w:line="266" w:lineRule="auto"/>
        <w:tabs>
          <w:tab w:leader="none" w:pos="282"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3"/>
          <w:szCs w:val="13"/>
          <w:color w:val="auto"/>
        </w:rPr>
      </w:pPr>
    </w:p>
    <w:p>
      <w:pPr>
        <w:ind w:left="822" w:right="80" w:hanging="310"/>
        <w:spacing w:after="0" w:line="266" w:lineRule="auto"/>
        <w:tabs>
          <w:tab w:leader="none" w:pos="822" w:val="left"/>
        </w:tabs>
        <w:numPr>
          <w:ilvl w:val="1"/>
          <w:numId w:val="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3"/>
          <w:szCs w:val="13"/>
          <w:color w:val="auto"/>
        </w:rPr>
      </w:pPr>
    </w:p>
    <w:p>
      <w:pPr>
        <w:ind w:left="822" w:hanging="310"/>
        <w:spacing w:after="0"/>
        <w:tabs>
          <w:tab w:leader="none" w:pos="822" w:val="left"/>
        </w:tabs>
        <w:numPr>
          <w:ilvl w:val="1"/>
          <w:numId w:val="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
        <w:spacing w:after="0"/>
        <w:tabs>
          <w:tab w:leader="none" w:pos="5782" w:val="left"/>
        </w:tabs>
        <w:rPr>
          <w:sz w:val="20"/>
          <w:szCs w:val="20"/>
          <w:color w:val="auto"/>
        </w:rPr>
      </w:pPr>
      <w:r>
        <w:rPr>
          <w:rFonts w:ascii="Arial" w:cs="Arial" w:eastAsia="Arial" w:hAnsi="Arial"/>
          <w:sz w:val="13"/>
          <w:szCs w:val="13"/>
          <w:color w:val="auto"/>
        </w:rPr>
        <w:t>Date: May 3, 2011</w:t>
      </w:r>
      <w:r>
        <w:rPr>
          <w:sz w:val="20"/>
          <w:szCs w:val="20"/>
          <w:color w:val="auto"/>
        </w:rPr>
        <w:tab/>
      </w:r>
      <w:r>
        <w:rPr>
          <w:rFonts w:ascii="Arial" w:cs="Arial" w:eastAsia="Arial" w:hAnsi="Arial"/>
          <w:sz w:val="12"/>
          <w:szCs w:val="12"/>
          <w:u w:val="single" w:color="auto"/>
          <w:color w:val="auto"/>
        </w:rPr>
        <w:t>/s/ M</w:t>
      </w:r>
      <w:r>
        <w:rPr>
          <w:rFonts w:ascii="Arial" w:cs="Arial" w:eastAsia="Arial" w:hAnsi="Arial"/>
          <w:sz w:val="8"/>
          <w:szCs w:val="8"/>
          <w:u w:val="single" w:color="auto"/>
          <w:color w:val="auto"/>
        </w:rPr>
        <w:t>URRAY</w:t>
      </w:r>
      <w:r>
        <w:rPr>
          <w:rFonts w:ascii="Arial" w:cs="Arial" w:eastAsia="Arial" w:hAnsi="Arial"/>
          <w:sz w:val="12"/>
          <w:szCs w:val="12"/>
          <w:u w:val="single" w:color="auto"/>
          <w:color w:val="auto"/>
        </w:rPr>
        <w:t xml:space="preserve"> A. G</w:t>
      </w:r>
      <w:r>
        <w:rPr>
          <w:rFonts w:ascii="Arial" w:cs="Arial" w:eastAsia="Arial" w:hAnsi="Arial"/>
          <w:sz w:val="8"/>
          <w:szCs w:val="8"/>
          <w:u w:val="single" w:color="auto"/>
          <w:color w:val="auto"/>
        </w:rPr>
        <w:t>OLDBERG</w:t>
      </w:r>
    </w:p>
    <w:p>
      <w:pPr>
        <w:spacing w:after="0" w:line="35" w:lineRule="exact"/>
        <w:rPr>
          <w:sz w:val="20"/>
          <w:szCs w:val="20"/>
          <w:color w:val="auto"/>
        </w:rPr>
      </w:pPr>
    </w:p>
    <w:p>
      <w:pPr>
        <w:ind w:left="5802"/>
        <w:spacing w:after="0"/>
        <w:rPr>
          <w:sz w:val="20"/>
          <w:szCs w:val="20"/>
          <w:color w:val="auto"/>
        </w:rPr>
      </w:pPr>
      <w:r>
        <w:rPr>
          <w:rFonts w:ascii="Arial" w:cs="Arial" w:eastAsia="Arial" w:hAnsi="Arial"/>
          <w:sz w:val="13"/>
          <w:szCs w:val="13"/>
          <w:color w:val="auto"/>
        </w:rPr>
        <w:t>Murray A. Goldberg</w:t>
      </w:r>
    </w:p>
    <w:p>
      <w:pPr>
        <w:spacing w:after="0" w:line="25" w:lineRule="exact"/>
        <w:rPr>
          <w:sz w:val="20"/>
          <w:szCs w:val="20"/>
          <w:color w:val="auto"/>
        </w:rPr>
      </w:pPr>
    </w:p>
    <w:p>
      <w:pPr>
        <w:ind w:left="5802"/>
        <w:spacing w:after="0"/>
        <w:rPr>
          <w:sz w:val="20"/>
          <w:szCs w:val="20"/>
          <w:color w:val="auto"/>
        </w:rPr>
      </w:pPr>
      <w:r>
        <w:rPr>
          <w:rFonts w:ascii="Arial" w:cs="Arial" w:eastAsia="Arial" w:hAnsi="Arial"/>
          <w:sz w:val="13"/>
          <w:szCs w:val="13"/>
          <w:color w:val="auto"/>
        </w:rPr>
        <w:t>Senior Vice President, Finance &amp; Administration,</w:t>
      </w:r>
    </w:p>
    <w:p>
      <w:pPr>
        <w:spacing w:after="0" w:line="25" w:lineRule="exact"/>
        <w:rPr>
          <w:sz w:val="20"/>
          <w:szCs w:val="20"/>
          <w:color w:val="auto"/>
        </w:rPr>
      </w:pPr>
    </w:p>
    <w:p>
      <w:pPr>
        <w:ind w:left="5802"/>
        <w:spacing w:after="0"/>
        <w:rPr>
          <w:sz w:val="20"/>
          <w:szCs w:val="20"/>
          <w:color w:val="auto"/>
        </w:rPr>
      </w:pPr>
      <w:r>
        <w:rPr>
          <w:rFonts w:ascii="Arial" w:cs="Arial" w:eastAsia="Arial" w:hAnsi="Arial"/>
          <w:sz w:val="13"/>
          <w:szCs w:val="13"/>
          <w:color w:val="auto"/>
        </w:rPr>
        <w:t>Chief Financial Officer, Treasurer, and</w:t>
      </w:r>
    </w:p>
    <w:p>
      <w:pPr>
        <w:spacing w:after="0" w:line="25" w:lineRule="exact"/>
        <w:rPr>
          <w:sz w:val="20"/>
          <w:szCs w:val="20"/>
          <w:color w:val="auto"/>
        </w:rPr>
      </w:pPr>
    </w:p>
    <w:p>
      <w:pPr>
        <w:ind w:left="5802"/>
        <w:spacing w:after="0"/>
        <w:rPr>
          <w:sz w:val="20"/>
          <w:szCs w:val="20"/>
          <w:color w:val="auto"/>
        </w:rPr>
      </w:pPr>
      <w:r>
        <w:rPr>
          <w:rFonts w:ascii="Arial" w:cs="Arial" w:eastAsia="Arial" w:hAnsi="Arial"/>
          <w:sz w:val="13"/>
          <w:szCs w:val="13"/>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730377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82"/>
          </w:cols>
          <w:pgMar w:left="218" w:top="308" w:right="199" w:bottom="1440" w:gutter="0" w:footer="0" w:header="0"/>
        </w:sectPr>
      </w:pPr>
    </w:p>
    <w:bookmarkStart w:id="61" w:name="page62"/>
    <w:bookmarkEnd w:id="61"/>
    <w:p>
      <w:pPr>
        <w:jc w:val="right"/>
        <w:spacing w:after="0"/>
        <w:rPr>
          <w:sz w:val="20"/>
          <w:szCs w:val="20"/>
          <w:color w:val="auto"/>
        </w:rPr>
      </w:pPr>
      <w:r>
        <w:rPr>
          <w:rFonts w:ascii="Arial" w:cs="Arial" w:eastAsia="Arial" w:hAnsi="Arial"/>
          <w:sz w:val="13"/>
          <w:szCs w:val="13"/>
          <w:color w:val="auto"/>
        </w:rPr>
        <w:t>Exhibit 32</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Certification of CEO and CFO Pursuant to</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18 U.S.C. Section 1350,</w:t>
      </w:r>
    </w:p>
    <w:p>
      <w:pPr>
        <w:spacing w:after="0" w:line="6"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5"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In connection with the Quarterly Report of Regeneron Pharmaceuticals, Inc. (the "Company") on Form 10-Q for the quarterly period ended March 31, 2011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58" w:lineRule="exact"/>
        <w:rPr>
          <w:sz w:val="20"/>
          <w:szCs w:val="20"/>
          <w:color w:val="auto"/>
        </w:rPr>
      </w:pPr>
    </w:p>
    <w:p>
      <w:pPr>
        <w:ind w:left="400" w:hanging="182"/>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80" w:lineRule="exact"/>
        <w:rPr>
          <w:rFonts w:ascii="Arial" w:cs="Arial" w:eastAsia="Arial" w:hAnsi="Arial"/>
          <w:sz w:val="13"/>
          <w:szCs w:val="13"/>
          <w:color w:val="auto"/>
        </w:rPr>
      </w:pPr>
    </w:p>
    <w:p>
      <w:pPr>
        <w:ind w:left="400" w:hanging="182"/>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L</w:t>
      </w:r>
      <w:r>
        <w:rPr>
          <w:rFonts w:ascii="Arial" w:cs="Arial" w:eastAsia="Arial" w:hAnsi="Arial"/>
          <w:sz w:val="9"/>
          <w:szCs w:val="9"/>
          <w:u w:val="single" w:color="auto"/>
          <w:color w:val="auto"/>
        </w:rPr>
        <w:t>EONARD</w:t>
      </w:r>
      <w:r>
        <w:rPr>
          <w:rFonts w:ascii="Arial" w:cs="Arial" w:eastAsia="Arial" w:hAnsi="Arial"/>
          <w:sz w:val="13"/>
          <w:szCs w:val="13"/>
          <w:u w:val="single" w:color="auto"/>
          <w:color w:val="auto"/>
        </w:rPr>
        <w:t xml:space="preserve"> S. S</w:t>
      </w:r>
      <w:r>
        <w:rPr>
          <w:rFonts w:ascii="Arial" w:cs="Arial" w:eastAsia="Arial" w:hAnsi="Arial"/>
          <w:sz w:val="9"/>
          <w:szCs w:val="9"/>
          <w:u w:val="single" w:color="auto"/>
          <w:color w:val="auto"/>
        </w:rPr>
        <w:t>CHLEIFER</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Leonard S. Schleifer, M.D., Ph.D.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May 3, 2011</w:t>
      </w: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M</w:t>
      </w:r>
      <w:r>
        <w:rPr>
          <w:rFonts w:ascii="Arial" w:cs="Arial" w:eastAsia="Arial" w:hAnsi="Arial"/>
          <w:sz w:val="9"/>
          <w:szCs w:val="9"/>
          <w:u w:val="single" w:color="auto"/>
          <w:color w:val="auto"/>
        </w:rPr>
        <w:t>URRAY</w:t>
      </w:r>
      <w:r>
        <w:rPr>
          <w:rFonts w:ascii="Arial" w:cs="Arial" w:eastAsia="Arial" w:hAnsi="Arial"/>
          <w:sz w:val="13"/>
          <w:szCs w:val="13"/>
          <w:u w:val="single" w:color="auto"/>
          <w:color w:val="auto"/>
        </w:rPr>
        <w:t xml:space="preserve"> A. G</w:t>
      </w:r>
      <w:r>
        <w:rPr>
          <w:rFonts w:ascii="Arial" w:cs="Arial" w:eastAsia="Arial" w:hAnsi="Arial"/>
          <w:sz w:val="9"/>
          <w:szCs w:val="9"/>
          <w:u w:val="single" w:color="auto"/>
          <w:color w:val="auto"/>
        </w:rPr>
        <w:t>OLDBERG</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Murray A. Goldberg</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May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170815</wp:posOffset>
            </wp:positionV>
            <wp:extent cx="730377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sectPr>
      <w:pgSz w:w="11900" w:h="16838" w:orient="portrait"/>
      <w:cols w:equalWidth="0" w:num="1">
        <w:col w:w="11480"/>
      </w:cols>
      <w:pgMar w:left="220" w:top="30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Roman"/>
      <w:start w:val="2"/>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2019-12-10T10:28:51Z</dcterms:created>
  <dcterms:modified xsi:type="dcterms:W3CDTF">2019-12-10T10:28:51Z</dcterms:modified>
</cp:coreProperties>
</file>