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5, 2023 (October 5, 2023)</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87"/>
              </w:rPr>
              <w:t>(Commission</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File Number)</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10591-6707</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currently expects that its financial results calculated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and its non-GAAP financial results for the third quarter 2023 will include an acquired in-process research and development (“</w:t>
      </w:r>
      <w:r>
        <w:rPr>
          <w:rFonts w:ascii="Arial" w:cs="Arial" w:eastAsia="Arial" w:hAnsi="Arial"/>
          <w:sz w:val="17"/>
          <w:szCs w:val="17"/>
          <w:u w:val="single" w:color="auto"/>
          <w:color w:val="auto"/>
        </w:rPr>
        <w:t>IPR&amp;D</w:t>
      </w:r>
      <w:r>
        <w:rPr>
          <w:rFonts w:ascii="Arial" w:cs="Arial" w:eastAsia="Arial" w:hAnsi="Arial"/>
          <w:sz w:val="17"/>
          <w:szCs w:val="17"/>
          <w:color w:val="auto"/>
        </w:rPr>
        <w:t>”) charge of $100 million on a pre-tax basis. This charge relates to a development milestone payment that became due upon the achievement of specified clinical proof-of-principle criteria for the Phase 1 ALN-APP program in early-onset Alzheimer’s disease in connection with the Company’s collaboration with Alnylam Pharmaceuticals, Inc. This acquired IPR&amp;D charge is expected to negatively impact each of GAAP and non-GAAP net income per diluted share for the third quarter of 2023 by approximately $0.78.</w:t>
      </w:r>
    </w:p>
    <w:p>
      <w:pPr>
        <w:spacing w:after="0" w:line="17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Acquired IPR&amp;D charges may include IPR&amp;D acquired in connection with asset acquisitions as well as up-front, opt-in, and certain development milestone payments related to collaboration and licensing agreements. Regeneron does not forecast such acquired IPR&amp;D charges due to the uncertainty of the future occurrence, magnitude, and timing of these transactions in any given period.</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Regeneron’s results for the third quarter 2023 have not been finalized and are subject to Regeneron’s financial statement closing procedures. There can be no assurance that actual results will not differ from the preliminary (unaudited) estimates described herein.</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information included in this Current Report on Form 8-K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Regeneron’s expected acquired in-process research and development charge for the quarterly period ended September 30, 2023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Non-GAAP Financial Measures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This Report references non-GAAP net income per diluted share, which is a financial measure that is not calculated in accordance with U.S. Generally Accepted Accounting Principles (“GAAP”).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2023-10-05T15:16:07Z</dcterms:created>
  <dcterms:modified xsi:type="dcterms:W3CDTF">2023-10-05T15:16:07Z</dcterms:modified>
</cp:coreProperties>
</file>