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5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5672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STAHL NEIL</w:t>
        </w:r>
      </w:hyperlink>
    </w:p>
    <w:p>
      <w:pPr>
        <w:spacing w:after="0" w:line="319"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66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7"/>
        </w:trPr>
        <w:tc>
          <w:tcPr>
            <w:tcW w:w="4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r>
      <w:tr>
        <w:trPr>
          <w:trHeight w:val="26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8"/>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00"/>
              <w:spacing w:after="0"/>
              <w:rPr>
                <w:sz w:val="20"/>
                <w:szCs w:val="20"/>
                <w:color w:val="auto"/>
              </w:rPr>
            </w:pPr>
            <w:r>
              <w:rPr>
                <w:rFonts w:ascii="Arial" w:cs="Arial" w:eastAsia="Arial" w:hAnsi="Arial"/>
                <w:sz w:val="17"/>
                <w:szCs w:val="17"/>
                <w:color w:val="0000FF"/>
              </w:rPr>
              <w:t>NY</w:t>
            </w:r>
          </w:p>
        </w:tc>
        <w:tc>
          <w:tcPr>
            <w:tcW w:w="166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4"/>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920" w:type="dxa"/>
            <w:vAlign w:val="bottom"/>
            <w:gridSpan w:val="3"/>
          </w:tcPr>
          <w:p>
            <w:pPr>
              <w:spacing w:after="0" w:line="20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REGENERON PHARMACEUTICALS INC</w:t>
              </w:r>
            </w:hyperlink>
          </w:p>
        </w:tc>
        <w:tc>
          <w:tcPr>
            <w:tcW w:w="19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60" w:type="dxa"/>
            <w:vAlign w:val="bottom"/>
            <w:vMerge w:val="restart"/>
          </w:tcPr>
          <w:p>
            <w:pPr>
              <w:spacing w:after="0"/>
              <w:rPr>
                <w:sz w:val="11"/>
                <w:szCs w:val="11"/>
                <w:color w:val="auto"/>
              </w:rPr>
            </w:pPr>
          </w:p>
        </w:tc>
        <w:tc>
          <w:tcPr>
            <w:tcW w:w="120" w:type="dxa"/>
            <w:vAlign w:val="bottom"/>
            <w:tcBorders>
              <w:top w:val="single" w:sz="8" w:color="0000EE"/>
            </w:tcBorders>
            <w:vMerge w:val="restart"/>
          </w:tcPr>
          <w:p>
            <w:pPr>
              <w:spacing w:after="0"/>
              <w:rPr>
                <w:sz w:val="20"/>
                <w:szCs w:val="20"/>
                <w:color w:val="auto"/>
              </w:rPr>
            </w:pPr>
            <w:r>
              <w:rPr>
                <w:rFonts w:ascii="Arial" w:cs="Arial" w:eastAsia="Arial" w:hAnsi="Arial"/>
                <w:sz w:val="21"/>
                <w:szCs w:val="21"/>
                <w:color w:val="auto"/>
              </w:rPr>
              <w:t>[</w:t>
            </w:r>
          </w:p>
        </w:tc>
        <w:tc>
          <w:tcPr>
            <w:tcW w:w="3720" w:type="dxa"/>
            <w:vAlign w:val="bottom"/>
            <w:tcBorders>
              <w:top w:val="single" w:sz="8" w:color="0000EE"/>
            </w:tcBorders>
            <w:vMerge w:val="restart"/>
          </w:tcPr>
          <w:p>
            <w:pPr>
              <w:ind w:left="20"/>
              <w:spacing w:after="0"/>
              <w:rPr>
                <w:sz w:val="20"/>
                <w:szCs w:val="20"/>
                <w:color w:val="auto"/>
              </w:rPr>
            </w:pPr>
            <w:r>
              <w:rPr>
                <w:rFonts w:ascii="Arial" w:cs="Arial" w:eastAsia="Arial" w:hAnsi="Arial"/>
                <w:sz w:val="17"/>
                <w:szCs w:val="17"/>
                <w:color w:val="0000FF"/>
              </w:rPr>
              <w:t xml:space="preserve">REGN </w:t>
            </w:r>
            <w:r>
              <w:rPr>
                <w:rFonts w:ascii="Arial" w:cs="Arial" w:eastAsia="Arial" w:hAnsi="Arial"/>
                <w:sz w:val="21"/>
                <w:szCs w:val="21"/>
                <w:color w:val="000000"/>
              </w:rPr>
              <w:t>]</w:t>
            </w:r>
          </w:p>
        </w:tc>
        <w:tc>
          <w:tcPr>
            <w:tcW w:w="8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1440" w:type="dxa"/>
            <w:vAlign w:val="bottom"/>
          </w:tcPr>
          <w:p>
            <w:pPr>
              <w:ind w:left="160"/>
              <w:spacing w:after="0" w:line="134" w:lineRule="exact"/>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3"/>
        </w:trPr>
        <w:tc>
          <w:tcPr>
            <w:tcW w:w="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7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vMerge w:val="continue"/>
          </w:tcPr>
          <w:p>
            <w:pPr>
              <w:spacing w:after="0"/>
              <w:rPr>
                <w:sz w:val="7"/>
                <w:szCs w:val="7"/>
                <w:color w:val="auto"/>
              </w:rPr>
            </w:pPr>
          </w:p>
        </w:tc>
        <w:tc>
          <w:tcPr>
            <w:tcW w:w="14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80" w:type="dxa"/>
            <w:vAlign w:val="bottom"/>
            <w:gridSpan w:val="2"/>
            <w:vMerge w:val="continue"/>
          </w:tcPr>
          <w:p>
            <w:pPr>
              <w:spacing w:after="0"/>
              <w:rPr>
                <w:sz w:val="11"/>
                <w:szCs w:val="11"/>
                <w:color w:val="auto"/>
              </w:rPr>
            </w:pPr>
          </w:p>
        </w:tc>
        <w:tc>
          <w:tcPr>
            <w:tcW w:w="38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7"/>
                <w:szCs w:val="17"/>
                <w:color w:val="0000FF"/>
              </w:rPr>
              <w:t>SVP Research and Development S</w:t>
            </w:r>
          </w:p>
        </w:tc>
        <w:tc>
          <w:tcPr>
            <w:tcW w:w="0" w:type="dxa"/>
            <w:vAlign w:val="bottom"/>
          </w:tcPr>
          <w:p>
            <w:pPr>
              <w:spacing w:after="0"/>
              <w:rPr>
                <w:sz w:val="1"/>
                <w:szCs w:val="1"/>
                <w:color w:val="auto"/>
              </w:rPr>
            </w:pPr>
          </w:p>
        </w:tc>
      </w:tr>
      <w:tr>
        <w:trPr>
          <w:trHeight w:val="114"/>
        </w:trPr>
        <w:tc>
          <w:tcPr>
            <w:tcW w:w="3900" w:type="dxa"/>
            <w:vAlign w:val="bottom"/>
            <w:gridSpan w:val="3"/>
            <w:vMerge w:val="restart"/>
          </w:tcPr>
          <w:p>
            <w:pPr>
              <w:ind w:left="60"/>
              <w:spacing w:after="0"/>
              <w:rPr>
                <w:sz w:val="20"/>
                <w:szCs w:val="20"/>
                <w:color w:val="auto"/>
              </w:rPr>
            </w:pPr>
            <w:r>
              <w:rPr>
                <w:rFonts w:ascii="Arial" w:cs="Arial" w:eastAsia="Arial" w:hAnsi="Arial"/>
                <w:sz w:val="17"/>
                <w:szCs w:val="17"/>
                <w:color w:val="0000FF"/>
              </w:rPr>
              <w:t>02/13/2012</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2"/>
          </w:tcPr>
          <w:p>
            <w:pPr>
              <w:jc w:val="center"/>
              <w:ind w:left="5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21"/>
              <w:spacing w:after="0"/>
              <w:rPr>
                <w:sz w:val="20"/>
                <w:szCs w:val="20"/>
                <w:color w:val="auto"/>
              </w:rPr>
            </w:pPr>
            <w:r>
              <w:rPr>
                <w:rFonts w:ascii="Arial" w:cs="Arial" w:eastAsia="Arial" w:hAnsi="Arial"/>
                <w:sz w:val="17"/>
                <w:szCs w:val="17"/>
                <w:color w:val="0000FF"/>
                <w:w w:val="91"/>
              </w:rPr>
              <w:t>02/13/2012</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center"/>
              <w:ind w:right="335"/>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92"/>
              </w:rPr>
              <w:t>63,234</w:t>
            </w:r>
          </w:p>
        </w:tc>
        <w:tc>
          <w:tcPr>
            <w:tcW w:w="580" w:type="dxa"/>
            <w:vAlign w:val="bottom"/>
          </w:tcPr>
          <w:p>
            <w:pPr>
              <w:ind w:left="24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8.5</w:t>
            </w:r>
          </w:p>
        </w:tc>
        <w:tc>
          <w:tcPr>
            <w:tcW w:w="8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122,355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21"/>
              <w:spacing w:after="0"/>
              <w:rPr>
                <w:sz w:val="20"/>
                <w:szCs w:val="20"/>
                <w:color w:val="auto"/>
              </w:rPr>
            </w:pPr>
            <w:r>
              <w:rPr>
                <w:rFonts w:ascii="Arial" w:cs="Arial" w:eastAsia="Arial" w:hAnsi="Arial"/>
                <w:sz w:val="17"/>
                <w:szCs w:val="17"/>
                <w:color w:val="0000FF"/>
                <w:w w:val="91"/>
              </w:rPr>
              <w:t>02/13/2012</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center"/>
              <w:ind w:right="335"/>
              <w:spacing w:after="0"/>
              <w:rPr>
                <w:sz w:val="20"/>
                <w:szCs w:val="20"/>
                <w:color w:val="auto"/>
              </w:rPr>
            </w:pPr>
            <w:r>
              <w:rPr>
                <w:rFonts w:ascii="Arial" w:cs="Arial" w:eastAsia="Arial" w:hAnsi="Arial"/>
                <w:sz w:val="13"/>
                <w:szCs w:val="13"/>
                <w:color w:val="0000FF"/>
              </w:rPr>
              <w:t>F</w:t>
            </w:r>
          </w:p>
        </w:tc>
        <w:tc>
          <w:tcPr>
            <w:tcW w:w="720" w:type="dxa"/>
            <w:vAlign w:val="bottom"/>
          </w:tcPr>
          <w:p>
            <w:pPr>
              <w:jc w:val="center"/>
              <w:spacing w:after="0"/>
              <w:rPr>
                <w:sz w:val="20"/>
                <w:szCs w:val="20"/>
                <w:color w:val="auto"/>
              </w:rPr>
            </w:pPr>
            <w:r>
              <w:rPr>
                <w:rFonts w:ascii="Arial" w:cs="Arial" w:eastAsia="Arial" w:hAnsi="Arial"/>
                <w:sz w:val="17"/>
                <w:szCs w:val="17"/>
                <w:color w:val="0000FF"/>
                <w:w w:val="93"/>
              </w:rPr>
              <w:t>4,741</w:t>
            </w:r>
          </w:p>
        </w:tc>
        <w:tc>
          <w:tcPr>
            <w:tcW w:w="580" w:type="dxa"/>
            <w:vAlign w:val="bottom"/>
          </w:tcPr>
          <w:p>
            <w:pPr>
              <w:ind w:left="2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113.35</w:t>
            </w:r>
          </w:p>
        </w:tc>
        <w:tc>
          <w:tcPr>
            <w:tcW w:w="8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7"/>
              </w:rPr>
              <w:t>117,614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21"/>
              <w:spacing w:after="0"/>
              <w:rPr>
                <w:sz w:val="20"/>
                <w:szCs w:val="20"/>
                <w:color w:val="auto"/>
              </w:rPr>
            </w:pPr>
            <w:r>
              <w:rPr>
                <w:rFonts w:ascii="Arial" w:cs="Arial" w:eastAsia="Arial" w:hAnsi="Arial"/>
                <w:sz w:val="17"/>
                <w:szCs w:val="17"/>
                <w:color w:val="0000FF"/>
                <w:w w:val="91"/>
              </w:rPr>
              <w:t>02/13/2012</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center"/>
              <w:ind w:right="335"/>
              <w:spacing w:after="0"/>
              <w:rPr>
                <w:sz w:val="20"/>
                <w:szCs w:val="20"/>
                <w:color w:val="auto"/>
              </w:rPr>
            </w:pPr>
            <w:r>
              <w:rPr>
                <w:rFonts w:ascii="Arial" w:cs="Arial" w:eastAsia="Arial" w:hAnsi="Arial"/>
                <w:sz w:val="13"/>
                <w:szCs w:val="13"/>
                <w:color w:val="0000FF"/>
              </w:rPr>
              <w:t>F</w:t>
            </w:r>
          </w:p>
        </w:tc>
        <w:tc>
          <w:tcPr>
            <w:tcW w:w="720" w:type="dxa"/>
            <w:vAlign w:val="bottom"/>
          </w:tcPr>
          <w:p>
            <w:pPr>
              <w:jc w:val="center"/>
              <w:spacing w:after="0"/>
              <w:rPr>
                <w:sz w:val="20"/>
                <w:szCs w:val="20"/>
                <w:color w:val="auto"/>
              </w:rPr>
            </w:pPr>
            <w:r>
              <w:rPr>
                <w:rFonts w:ascii="Arial" w:cs="Arial" w:eastAsia="Arial" w:hAnsi="Arial"/>
                <w:sz w:val="17"/>
                <w:szCs w:val="17"/>
                <w:color w:val="0000FF"/>
                <w:w w:val="92"/>
              </w:rPr>
              <w:t>28,869</w:t>
            </w:r>
          </w:p>
        </w:tc>
        <w:tc>
          <w:tcPr>
            <w:tcW w:w="580" w:type="dxa"/>
            <w:vAlign w:val="bottom"/>
          </w:tcPr>
          <w:p>
            <w:pPr>
              <w:ind w:left="2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113.35</w:t>
            </w:r>
          </w:p>
        </w:tc>
        <w:tc>
          <w:tcPr>
            <w:tcW w:w="8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88,745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21"/>
              <w:spacing w:after="0"/>
              <w:rPr>
                <w:sz w:val="20"/>
                <w:szCs w:val="20"/>
                <w:color w:val="auto"/>
              </w:rPr>
            </w:pPr>
            <w:r>
              <w:rPr>
                <w:rFonts w:ascii="Arial" w:cs="Arial" w:eastAsia="Arial" w:hAnsi="Arial"/>
                <w:sz w:val="17"/>
                <w:szCs w:val="17"/>
                <w:color w:val="0000FF"/>
                <w:w w:val="91"/>
              </w:rPr>
              <w:t>02/13/2012</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center"/>
              <w:ind w:right="335"/>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93"/>
              </w:rPr>
              <w:t>3,432</w:t>
            </w:r>
          </w:p>
        </w:tc>
        <w:tc>
          <w:tcPr>
            <w:tcW w:w="580" w:type="dxa"/>
            <w:vAlign w:val="bottom"/>
          </w:tcPr>
          <w:p>
            <w:pPr>
              <w:ind w:left="24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8.5</w:t>
            </w:r>
          </w:p>
        </w:tc>
        <w:tc>
          <w:tcPr>
            <w:tcW w:w="8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92,177</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21"/>
              <w:spacing w:after="0"/>
              <w:rPr>
                <w:sz w:val="20"/>
                <w:szCs w:val="20"/>
                <w:color w:val="auto"/>
              </w:rPr>
            </w:pPr>
            <w:r>
              <w:rPr>
                <w:rFonts w:ascii="Arial" w:cs="Arial" w:eastAsia="Arial" w:hAnsi="Arial"/>
                <w:sz w:val="17"/>
                <w:szCs w:val="17"/>
                <w:color w:val="0000FF"/>
                <w:w w:val="91"/>
              </w:rPr>
              <w:t>02/13/2012</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center"/>
              <w:ind w:right="335"/>
              <w:spacing w:after="0"/>
              <w:rPr>
                <w:sz w:val="20"/>
                <w:szCs w:val="20"/>
                <w:color w:val="auto"/>
              </w:rPr>
            </w:pPr>
            <w:r>
              <w:rPr>
                <w:rFonts w:ascii="Arial" w:cs="Arial" w:eastAsia="Arial" w:hAnsi="Arial"/>
                <w:sz w:val="13"/>
                <w:szCs w:val="13"/>
                <w:color w:val="0000FF"/>
              </w:rPr>
              <w:t>F</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257</w:t>
            </w:r>
          </w:p>
        </w:tc>
        <w:tc>
          <w:tcPr>
            <w:tcW w:w="580" w:type="dxa"/>
            <w:vAlign w:val="bottom"/>
          </w:tcPr>
          <w:p>
            <w:pPr>
              <w:ind w:left="2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113.35</w:t>
            </w:r>
          </w:p>
        </w:tc>
        <w:tc>
          <w:tcPr>
            <w:tcW w:w="8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91,920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21"/>
              <w:spacing w:after="0"/>
              <w:rPr>
                <w:sz w:val="20"/>
                <w:szCs w:val="20"/>
                <w:color w:val="auto"/>
              </w:rPr>
            </w:pPr>
            <w:r>
              <w:rPr>
                <w:rFonts w:ascii="Arial" w:cs="Arial" w:eastAsia="Arial" w:hAnsi="Arial"/>
                <w:sz w:val="17"/>
                <w:szCs w:val="17"/>
                <w:color w:val="0000FF"/>
                <w:w w:val="91"/>
              </w:rPr>
              <w:t>02/13/2012</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center"/>
              <w:ind w:right="335"/>
              <w:spacing w:after="0"/>
              <w:rPr>
                <w:sz w:val="20"/>
                <w:szCs w:val="20"/>
                <w:color w:val="auto"/>
              </w:rPr>
            </w:pPr>
            <w:r>
              <w:rPr>
                <w:rFonts w:ascii="Arial" w:cs="Arial" w:eastAsia="Arial" w:hAnsi="Arial"/>
                <w:sz w:val="13"/>
                <w:szCs w:val="13"/>
                <w:color w:val="0000FF"/>
              </w:rPr>
              <w:t>F</w:t>
            </w:r>
          </w:p>
        </w:tc>
        <w:tc>
          <w:tcPr>
            <w:tcW w:w="720" w:type="dxa"/>
            <w:vAlign w:val="bottom"/>
          </w:tcPr>
          <w:p>
            <w:pPr>
              <w:jc w:val="center"/>
              <w:spacing w:after="0"/>
              <w:rPr>
                <w:sz w:val="20"/>
                <w:szCs w:val="20"/>
                <w:color w:val="auto"/>
              </w:rPr>
            </w:pPr>
            <w:r>
              <w:rPr>
                <w:rFonts w:ascii="Arial" w:cs="Arial" w:eastAsia="Arial" w:hAnsi="Arial"/>
                <w:sz w:val="17"/>
                <w:szCs w:val="17"/>
                <w:color w:val="0000FF"/>
                <w:w w:val="93"/>
              </w:rPr>
              <w:t>1,597</w:t>
            </w:r>
          </w:p>
        </w:tc>
        <w:tc>
          <w:tcPr>
            <w:tcW w:w="580" w:type="dxa"/>
            <w:vAlign w:val="bottom"/>
          </w:tcPr>
          <w:p>
            <w:pPr>
              <w:ind w:left="2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113.35</w:t>
            </w:r>
          </w:p>
        </w:tc>
        <w:tc>
          <w:tcPr>
            <w:tcW w:w="8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8"/>
              </w:rPr>
              <w:t>90,323</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21"/>
              <w:spacing w:after="0"/>
              <w:rPr>
                <w:sz w:val="20"/>
                <w:szCs w:val="20"/>
                <w:color w:val="auto"/>
              </w:rPr>
            </w:pPr>
            <w:r>
              <w:rPr>
                <w:rFonts w:ascii="Arial" w:cs="Arial" w:eastAsia="Arial" w:hAnsi="Arial"/>
                <w:sz w:val="17"/>
                <w:szCs w:val="17"/>
                <w:color w:val="0000FF"/>
                <w:w w:val="91"/>
              </w:rPr>
              <w:t>02/14/2012</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center"/>
              <w:ind w:right="335"/>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92"/>
              </w:rPr>
              <w:t>50,000</w:t>
            </w:r>
          </w:p>
        </w:tc>
        <w:tc>
          <w:tcPr>
            <w:tcW w:w="580" w:type="dxa"/>
            <w:vAlign w:val="bottom"/>
          </w:tcPr>
          <w:p>
            <w:pPr>
              <w:ind w:left="24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8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140,323</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21"/>
              <w:spacing w:after="0"/>
              <w:rPr>
                <w:sz w:val="20"/>
                <w:szCs w:val="20"/>
                <w:color w:val="auto"/>
              </w:rPr>
            </w:pPr>
            <w:r>
              <w:rPr>
                <w:rFonts w:ascii="Arial" w:cs="Arial" w:eastAsia="Arial" w:hAnsi="Arial"/>
                <w:sz w:val="17"/>
                <w:szCs w:val="17"/>
                <w:color w:val="0000FF"/>
                <w:w w:val="91"/>
              </w:rPr>
              <w:t>02/14/2012</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center"/>
              <w:ind w:right="335"/>
              <w:spacing w:after="0"/>
              <w:rPr>
                <w:sz w:val="20"/>
                <w:szCs w:val="20"/>
                <w:color w:val="auto"/>
              </w:rPr>
            </w:pPr>
            <w:r>
              <w:rPr>
                <w:rFonts w:ascii="Arial" w:cs="Arial" w:eastAsia="Arial" w:hAnsi="Arial"/>
                <w:sz w:val="13"/>
                <w:szCs w:val="13"/>
                <w:color w:val="0000FF"/>
              </w:rPr>
              <w:t>F</w:t>
            </w:r>
          </w:p>
        </w:tc>
        <w:tc>
          <w:tcPr>
            <w:tcW w:w="720" w:type="dxa"/>
            <w:vAlign w:val="bottom"/>
          </w:tcPr>
          <w:p>
            <w:pPr>
              <w:jc w:val="center"/>
              <w:spacing w:after="0"/>
              <w:rPr>
                <w:sz w:val="20"/>
                <w:szCs w:val="20"/>
                <w:color w:val="auto"/>
              </w:rPr>
            </w:pPr>
            <w:r>
              <w:rPr>
                <w:rFonts w:ascii="Arial" w:cs="Arial" w:eastAsia="Arial" w:hAnsi="Arial"/>
                <w:sz w:val="17"/>
                <w:szCs w:val="17"/>
                <w:color w:val="0000FF"/>
                <w:w w:val="93"/>
              </w:rPr>
              <w:t>7,566</w:t>
            </w:r>
          </w:p>
        </w:tc>
        <w:tc>
          <w:tcPr>
            <w:tcW w:w="580" w:type="dxa"/>
            <w:vAlign w:val="bottom"/>
          </w:tcPr>
          <w:p>
            <w:pPr>
              <w:ind w:left="2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111.01</w:t>
            </w:r>
          </w:p>
        </w:tc>
        <w:tc>
          <w:tcPr>
            <w:tcW w:w="8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132,757</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21"/>
              <w:spacing w:after="0"/>
              <w:rPr>
                <w:sz w:val="20"/>
                <w:szCs w:val="20"/>
                <w:color w:val="auto"/>
              </w:rPr>
            </w:pPr>
            <w:r>
              <w:rPr>
                <w:rFonts w:ascii="Arial" w:cs="Arial" w:eastAsia="Arial" w:hAnsi="Arial"/>
                <w:sz w:val="17"/>
                <w:szCs w:val="17"/>
                <w:color w:val="0000FF"/>
                <w:w w:val="91"/>
              </w:rPr>
              <w:t>02/14/2012</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jc w:val="center"/>
              <w:ind w:right="335"/>
              <w:spacing w:after="0"/>
              <w:rPr>
                <w:sz w:val="20"/>
                <w:szCs w:val="20"/>
                <w:color w:val="auto"/>
              </w:rPr>
            </w:pPr>
            <w:r>
              <w:rPr>
                <w:rFonts w:ascii="Arial" w:cs="Arial" w:eastAsia="Arial" w:hAnsi="Arial"/>
                <w:sz w:val="13"/>
                <w:szCs w:val="13"/>
                <w:color w:val="0000FF"/>
              </w:rPr>
              <w:t>F</w:t>
            </w:r>
          </w:p>
        </w:tc>
        <w:tc>
          <w:tcPr>
            <w:tcW w:w="720" w:type="dxa"/>
            <w:vAlign w:val="bottom"/>
          </w:tcPr>
          <w:p>
            <w:pPr>
              <w:jc w:val="center"/>
              <w:spacing w:after="0"/>
              <w:rPr>
                <w:sz w:val="20"/>
                <w:szCs w:val="20"/>
                <w:color w:val="auto"/>
              </w:rPr>
            </w:pPr>
            <w:r>
              <w:rPr>
                <w:rFonts w:ascii="Arial" w:cs="Arial" w:eastAsia="Arial" w:hAnsi="Arial"/>
                <w:sz w:val="17"/>
                <w:szCs w:val="17"/>
                <w:color w:val="0000FF"/>
                <w:w w:val="92"/>
              </w:rPr>
              <w:t>21,352</w:t>
            </w:r>
          </w:p>
        </w:tc>
        <w:tc>
          <w:tcPr>
            <w:tcW w:w="580" w:type="dxa"/>
            <w:vAlign w:val="bottom"/>
          </w:tcPr>
          <w:p>
            <w:pPr>
              <w:ind w:left="24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111.01</w:t>
            </w:r>
          </w:p>
        </w:tc>
        <w:tc>
          <w:tcPr>
            <w:tcW w:w="8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7"/>
              </w:rPr>
              <w:t>111,405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1"/>
              <w:spacing w:after="0"/>
              <w:rPr>
                <w:sz w:val="20"/>
                <w:szCs w:val="20"/>
                <w:color w:val="auto"/>
              </w:rPr>
            </w:pPr>
            <w:r>
              <w:rPr>
                <w:rFonts w:ascii="Arial" w:cs="Arial" w:eastAsia="Arial" w:hAnsi="Arial"/>
                <w:sz w:val="17"/>
                <w:szCs w:val="17"/>
                <w:color w:val="0000FF"/>
                <w:w w:val="91"/>
              </w:rPr>
              <w:t>02/14/2012</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333</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107.83</w:t>
            </w:r>
            <w:r>
              <w:rPr>
                <w:rFonts w:ascii="Arial" w:cs="Arial" w:eastAsia="Arial" w:hAnsi="Arial"/>
                <w:sz w:val="22"/>
                <w:szCs w:val="22"/>
                <w:color w:val="008000"/>
                <w:w w:val="88"/>
                <w:vertAlign w:val="superscript"/>
              </w:rPr>
              <w:t>(1)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111,072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1"/>
              <w:spacing w:after="0"/>
              <w:rPr>
                <w:sz w:val="20"/>
                <w:szCs w:val="20"/>
                <w:color w:val="auto"/>
              </w:rPr>
            </w:pPr>
            <w:r>
              <w:rPr>
                <w:rFonts w:ascii="Arial" w:cs="Arial" w:eastAsia="Arial" w:hAnsi="Arial"/>
                <w:sz w:val="17"/>
                <w:szCs w:val="17"/>
                <w:color w:val="0000FF"/>
                <w:w w:val="91"/>
              </w:rPr>
              <w:t>02/14/2012</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2,350</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108.6</w:t>
            </w:r>
            <w:r>
              <w:rPr>
                <w:rFonts w:ascii="Arial" w:cs="Arial" w:eastAsia="Arial" w:hAnsi="Arial"/>
                <w:sz w:val="22"/>
                <w:szCs w:val="22"/>
                <w:color w:val="008000"/>
                <w:w w:val="88"/>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108,722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1"/>
              <w:spacing w:after="0"/>
              <w:rPr>
                <w:sz w:val="20"/>
                <w:szCs w:val="20"/>
                <w:color w:val="auto"/>
              </w:rPr>
            </w:pPr>
            <w:r>
              <w:rPr>
                <w:rFonts w:ascii="Arial" w:cs="Arial" w:eastAsia="Arial" w:hAnsi="Arial"/>
                <w:sz w:val="17"/>
                <w:szCs w:val="17"/>
                <w:color w:val="0000FF"/>
                <w:w w:val="91"/>
              </w:rPr>
              <w:t>02/14/2012</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8,510</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109.61</w:t>
            </w:r>
            <w:r>
              <w:rPr>
                <w:rFonts w:ascii="Arial" w:cs="Arial" w:eastAsia="Arial" w:hAnsi="Arial"/>
                <w:sz w:val="22"/>
                <w:szCs w:val="22"/>
                <w:color w:val="008000"/>
                <w:w w:val="88"/>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100,212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1"/>
              <w:spacing w:after="0"/>
              <w:rPr>
                <w:sz w:val="20"/>
                <w:szCs w:val="20"/>
                <w:color w:val="auto"/>
              </w:rPr>
            </w:pPr>
            <w:r>
              <w:rPr>
                <w:rFonts w:ascii="Arial" w:cs="Arial" w:eastAsia="Arial" w:hAnsi="Arial"/>
                <w:sz w:val="17"/>
                <w:szCs w:val="17"/>
                <w:color w:val="0000FF"/>
                <w:w w:val="91"/>
              </w:rPr>
              <w:t>02/14/2012</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17,694</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110.35</w:t>
            </w:r>
            <w:r>
              <w:rPr>
                <w:rFonts w:ascii="Arial" w:cs="Arial" w:eastAsia="Arial" w:hAnsi="Arial"/>
                <w:sz w:val="22"/>
                <w:szCs w:val="22"/>
                <w:color w:val="008000"/>
                <w:w w:val="88"/>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82,518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1"/>
              <w:spacing w:after="0"/>
              <w:rPr>
                <w:sz w:val="20"/>
                <w:szCs w:val="20"/>
                <w:color w:val="auto"/>
              </w:rPr>
            </w:pPr>
            <w:r>
              <w:rPr>
                <w:rFonts w:ascii="Arial" w:cs="Arial" w:eastAsia="Arial" w:hAnsi="Arial"/>
                <w:sz w:val="17"/>
                <w:szCs w:val="17"/>
                <w:color w:val="0000FF"/>
                <w:w w:val="91"/>
              </w:rPr>
              <w:t>02/14/2012</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111.91</w:t>
            </w:r>
            <w:r>
              <w:rPr>
                <w:rFonts w:ascii="Arial" w:cs="Arial" w:eastAsia="Arial" w:hAnsi="Arial"/>
                <w:sz w:val="22"/>
                <w:szCs w:val="22"/>
                <w:color w:val="008000"/>
                <w:w w:val="85"/>
                <w:vertAlign w:val="superscript"/>
              </w:rPr>
              <w:t>(5)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81,918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1"/>
              <w:spacing w:after="0"/>
              <w:rPr>
                <w:sz w:val="20"/>
                <w:szCs w:val="20"/>
                <w:color w:val="auto"/>
              </w:rPr>
            </w:pPr>
            <w:r>
              <w:rPr>
                <w:rFonts w:ascii="Arial" w:cs="Arial" w:eastAsia="Arial" w:hAnsi="Arial"/>
                <w:sz w:val="17"/>
                <w:szCs w:val="17"/>
                <w:color w:val="0000FF"/>
                <w:w w:val="91"/>
              </w:rPr>
              <w:t>02/14/2012</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1,115</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112.1</w:t>
            </w:r>
            <w:r>
              <w:rPr>
                <w:rFonts w:ascii="Arial" w:cs="Arial" w:eastAsia="Arial" w:hAnsi="Arial"/>
                <w:sz w:val="22"/>
                <w:szCs w:val="22"/>
                <w:color w:val="008000"/>
                <w:w w:val="85"/>
                <w:vertAlign w:val="superscript"/>
              </w:rPr>
              <w:t>(6)</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80,803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1"/>
              <w:spacing w:after="0"/>
              <w:rPr>
                <w:sz w:val="20"/>
                <w:szCs w:val="20"/>
                <w:color w:val="auto"/>
              </w:rPr>
            </w:pPr>
            <w:r>
              <w:rPr>
                <w:rFonts w:ascii="Arial" w:cs="Arial" w:eastAsia="Arial" w:hAnsi="Arial"/>
                <w:sz w:val="17"/>
                <w:szCs w:val="17"/>
                <w:color w:val="0000FF"/>
                <w:w w:val="91"/>
              </w:rPr>
              <w:t>02/14/2012</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113.47</w:t>
            </w:r>
            <w:r>
              <w:rPr>
                <w:rFonts w:ascii="Arial" w:cs="Arial" w:eastAsia="Arial" w:hAnsi="Arial"/>
                <w:sz w:val="22"/>
                <w:szCs w:val="22"/>
                <w:color w:val="008000"/>
                <w:w w:val="88"/>
                <w:vertAlign w:val="superscript"/>
              </w:rPr>
              <w:t>(7)</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80,203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1"/>
              <w:spacing w:after="0"/>
              <w:rPr>
                <w:sz w:val="20"/>
                <w:szCs w:val="20"/>
                <w:color w:val="auto"/>
              </w:rPr>
            </w:pPr>
            <w:r>
              <w:rPr>
                <w:rFonts w:ascii="Arial" w:cs="Arial" w:eastAsia="Arial" w:hAnsi="Arial"/>
                <w:sz w:val="17"/>
                <w:szCs w:val="17"/>
                <w:color w:val="0000FF"/>
                <w:w w:val="91"/>
              </w:rPr>
              <w:t>02/15/2012</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19,057</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107.79</w:t>
            </w:r>
            <w:r>
              <w:rPr>
                <w:rFonts w:ascii="Arial" w:cs="Arial" w:eastAsia="Arial" w:hAnsi="Arial"/>
                <w:sz w:val="22"/>
                <w:szCs w:val="22"/>
                <w:color w:val="008000"/>
                <w:w w:val="88"/>
                <w:vertAlign w:val="superscript"/>
              </w:rPr>
              <w:t>(8)</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61,146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21"/>
              <w:spacing w:after="0"/>
              <w:rPr>
                <w:sz w:val="20"/>
                <w:szCs w:val="20"/>
                <w:color w:val="auto"/>
              </w:rPr>
            </w:pPr>
            <w:r>
              <w:rPr>
                <w:rFonts w:ascii="Arial" w:cs="Arial" w:eastAsia="Arial" w:hAnsi="Arial"/>
                <w:sz w:val="17"/>
                <w:szCs w:val="17"/>
                <w:color w:val="0000FF"/>
                <w:w w:val="91"/>
              </w:rPr>
              <w:t>02/15/2012</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2,025</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108.09</w:t>
            </w:r>
            <w:r>
              <w:rPr>
                <w:rFonts w:ascii="Arial" w:cs="Arial" w:eastAsia="Arial" w:hAnsi="Arial"/>
                <w:sz w:val="22"/>
                <w:szCs w:val="22"/>
                <w:color w:val="008000"/>
                <w:w w:val="88"/>
                <w:vertAlign w:val="superscript"/>
              </w:rPr>
              <w:t>(9)</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59,121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5,335</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8.5</w:t>
            </w:r>
          </w:p>
        </w:tc>
        <w:tc>
          <w:tcPr>
            <w:tcW w:w="1100" w:type="dxa"/>
            <w:vAlign w:val="bottom"/>
          </w:tcPr>
          <w:p>
            <w:pPr>
              <w:jc w:val="right"/>
              <w:ind w:right="159"/>
              <w:spacing w:after="0"/>
              <w:rPr>
                <w:sz w:val="20"/>
                <w:szCs w:val="20"/>
                <w:color w:val="auto"/>
              </w:rPr>
            </w:pPr>
            <w:r>
              <w:rPr>
                <w:rFonts w:ascii="Arial" w:cs="Arial" w:eastAsia="Arial" w:hAnsi="Arial"/>
                <w:sz w:val="13"/>
                <w:szCs w:val="13"/>
                <w:color w:val="0000FF"/>
              </w:rPr>
              <w:t>02/13/2012</w:t>
            </w:r>
          </w:p>
        </w:tc>
        <w:tc>
          <w:tcPr>
            <w:tcW w:w="114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8"/>
                <w:szCs w:val="18"/>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0000FF"/>
              </w:rPr>
              <w:t>63,234</w:t>
            </w:r>
          </w:p>
        </w:tc>
        <w:tc>
          <w:tcPr>
            <w:tcW w:w="920" w:type="dxa"/>
            <w:vAlign w:val="bottom"/>
            <w:gridSpan w:val="2"/>
          </w:tcPr>
          <w:p>
            <w:pPr>
              <w:ind w:left="40"/>
              <w:spacing w:after="0" w:line="208" w:lineRule="exact"/>
              <w:rPr>
                <w:sz w:val="20"/>
                <w:szCs w:val="20"/>
                <w:color w:val="auto"/>
              </w:rPr>
            </w:pPr>
            <w:r>
              <w:rPr>
                <w:rFonts w:ascii="Arial" w:cs="Arial" w:eastAsia="Arial" w:hAnsi="Arial"/>
                <w:sz w:val="13"/>
                <w:szCs w:val="13"/>
                <w:color w:val="0000FF"/>
                <w:w w:val="94"/>
              </w:rPr>
              <w:t>02/10/2012</w:t>
            </w:r>
            <w:r>
              <w:rPr>
                <w:rFonts w:ascii="Arial" w:cs="Arial" w:eastAsia="Arial" w:hAnsi="Arial"/>
                <w:sz w:val="22"/>
                <w:szCs w:val="22"/>
                <w:color w:val="008000"/>
                <w:w w:val="94"/>
                <w:vertAlign w:val="superscript"/>
              </w:rPr>
              <w:t>(10)</w:t>
            </w:r>
          </w:p>
        </w:tc>
        <w:tc>
          <w:tcPr>
            <w:tcW w:w="720" w:type="dxa"/>
            <w:vAlign w:val="bottom"/>
          </w:tcPr>
          <w:p>
            <w:pPr>
              <w:jc w:val="center"/>
              <w:spacing w:after="0"/>
              <w:rPr>
                <w:sz w:val="20"/>
                <w:szCs w:val="20"/>
                <w:color w:val="auto"/>
              </w:rPr>
            </w:pPr>
            <w:r>
              <w:rPr>
                <w:rFonts w:ascii="Arial" w:cs="Arial" w:eastAsia="Arial" w:hAnsi="Arial"/>
                <w:sz w:val="13"/>
                <w:szCs w:val="13"/>
                <w:color w:val="0000FF"/>
                <w:w w:val="95"/>
              </w:rPr>
              <w:t>12/20/2012</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ind w:left="120"/>
              <w:spacing w:after="0"/>
              <w:rPr>
                <w:sz w:val="20"/>
                <w:szCs w:val="20"/>
                <w:color w:val="auto"/>
              </w:rPr>
            </w:pPr>
            <w:r>
              <w:rPr>
                <w:rFonts w:ascii="Arial" w:cs="Arial" w:eastAsia="Arial" w:hAnsi="Arial"/>
                <w:sz w:val="17"/>
                <w:szCs w:val="17"/>
                <w:color w:val="0000FF"/>
                <w:w w:val="99"/>
              </w:rPr>
              <w:t>63,234</w:t>
            </w:r>
          </w:p>
        </w:tc>
        <w:tc>
          <w:tcPr>
            <w:tcW w:w="8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1"/>
                <w:szCs w:val="11"/>
                <w:color w:val="008000"/>
              </w:rPr>
              <w:t>(11)</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3,432</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4"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2988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298831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Expiration Date</w:t>
            </w:r>
          </w:p>
        </w:tc>
        <w:tc>
          <w:tcPr>
            <w:tcW w:w="7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jc w:val="center"/>
              <w:ind w:righ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8.5</w:t>
            </w:r>
          </w:p>
        </w:tc>
        <w:tc>
          <w:tcPr>
            <w:tcW w:w="1120" w:type="dxa"/>
            <w:vAlign w:val="bottom"/>
            <w:vMerge w:val="restart"/>
          </w:tcPr>
          <w:p>
            <w:pPr>
              <w:jc w:val="right"/>
              <w:ind w:right="178"/>
              <w:spacing w:after="0"/>
              <w:rPr>
                <w:sz w:val="20"/>
                <w:szCs w:val="20"/>
                <w:color w:val="auto"/>
              </w:rPr>
            </w:pPr>
            <w:r>
              <w:rPr>
                <w:rFonts w:ascii="Arial" w:cs="Arial" w:eastAsia="Arial" w:hAnsi="Arial"/>
                <w:sz w:val="13"/>
                <w:szCs w:val="13"/>
                <w:color w:val="0000FF"/>
              </w:rPr>
              <w:t>02/13/2012</w:t>
            </w:r>
          </w:p>
        </w:tc>
        <w:tc>
          <w:tcPr>
            <w:tcW w:w="112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right"/>
              <w:ind w:right="39"/>
              <w:spacing w:after="0"/>
              <w:rPr>
                <w:sz w:val="20"/>
                <w:szCs w:val="20"/>
                <w:color w:val="auto"/>
              </w:rPr>
            </w:pPr>
            <w:r>
              <w:rPr>
                <w:rFonts w:ascii="Arial" w:cs="Arial" w:eastAsia="Arial" w:hAnsi="Arial"/>
                <w:sz w:val="13"/>
                <w:szCs w:val="13"/>
                <w:color w:val="0000FF"/>
              </w:rPr>
              <w:t>3,432</w:t>
            </w:r>
          </w:p>
        </w:tc>
        <w:tc>
          <w:tcPr>
            <w:tcW w:w="980" w:type="dxa"/>
            <w:vAlign w:val="bottom"/>
            <w:vMerge w:val="restart"/>
          </w:tcPr>
          <w:p>
            <w:pPr>
              <w:ind w:left="80"/>
              <w:spacing w:after="0"/>
              <w:rPr>
                <w:sz w:val="20"/>
                <w:szCs w:val="20"/>
                <w:color w:val="auto"/>
              </w:rPr>
            </w:pPr>
            <w:r>
              <w:rPr>
                <w:rFonts w:ascii="Arial" w:cs="Arial" w:eastAsia="Arial" w:hAnsi="Arial"/>
                <w:sz w:val="13"/>
                <w:szCs w:val="13"/>
                <w:color w:val="0000FF"/>
                <w:w w:val="96"/>
              </w:rPr>
              <w:t>02/10/2012</w:t>
            </w:r>
            <w:r>
              <w:rPr>
                <w:rFonts w:ascii="Arial" w:cs="Arial" w:eastAsia="Arial" w:hAnsi="Arial"/>
                <w:sz w:val="22"/>
                <w:szCs w:val="22"/>
                <w:color w:val="008000"/>
                <w:w w:val="96"/>
                <w:vertAlign w:val="superscript"/>
              </w:rPr>
              <w:t>(10)</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12/20/2012</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33"/>
              <w:spacing w:after="0"/>
              <w:rPr>
                <w:sz w:val="20"/>
                <w:szCs w:val="20"/>
                <w:color w:val="auto"/>
              </w:rPr>
            </w:pPr>
            <w:r>
              <w:rPr>
                <w:rFonts w:ascii="Arial" w:cs="Arial" w:eastAsia="Arial" w:hAnsi="Arial"/>
                <w:sz w:val="17"/>
                <w:szCs w:val="17"/>
                <w:color w:val="0000FF"/>
                <w:w w:val="98"/>
              </w:rPr>
              <w:t>3,432</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(11)</w:t>
            </w:r>
          </w:p>
        </w:tc>
        <w:tc>
          <w:tcPr>
            <w:tcW w:w="960" w:type="dxa"/>
            <w:vAlign w:val="bottom"/>
            <w:vMerge w:val="restart"/>
          </w:tcPr>
          <w:p>
            <w:pPr>
              <w:jc w:val="right"/>
              <w:ind w:right="379"/>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02/14/2012</w:t>
            </w:r>
          </w:p>
        </w:tc>
        <w:tc>
          <w:tcPr>
            <w:tcW w:w="1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right"/>
              <w:spacing w:after="0"/>
              <w:rPr>
                <w:sz w:val="20"/>
                <w:szCs w:val="20"/>
                <w:color w:val="auto"/>
              </w:rPr>
            </w:pPr>
            <w:r>
              <w:rPr>
                <w:rFonts w:ascii="Arial" w:cs="Arial" w:eastAsia="Arial" w:hAnsi="Arial"/>
                <w:sz w:val="13"/>
                <w:szCs w:val="13"/>
                <w:color w:val="0000FF"/>
              </w:rPr>
              <w:t>50,000</w:t>
            </w:r>
          </w:p>
        </w:tc>
        <w:tc>
          <w:tcPr>
            <w:tcW w:w="980" w:type="dxa"/>
            <w:vAlign w:val="bottom"/>
          </w:tcPr>
          <w:p>
            <w:pPr>
              <w:ind w:left="80"/>
              <w:spacing w:after="0" w:line="208" w:lineRule="exact"/>
              <w:rPr>
                <w:sz w:val="20"/>
                <w:szCs w:val="20"/>
                <w:color w:val="auto"/>
              </w:rPr>
            </w:pPr>
            <w:r>
              <w:rPr>
                <w:rFonts w:ascii="Arial" w:cs="Arial" w:eastAsia="Arial" w:hAnsi="Arial"/>
                <w:sz w:val="13"/>
                <w:szCs w:val="13"/>
                <w:color w:val="0000FF"/>
                <w:w w:val="96"/>
              </w:rPr>
              <w:t>12/31/2011</w:t>
            </w:r>
            <w:r>
              <w:rPr>
                <w:rFonts w:ascii="Arial" w:cs="Arial" w:eastAsia="Arial" w:hAnsi="Arial"/>
                <w:sz w:val="22"/>
                <w:szCs w:val="22"/>
                <w:color w:val="008000"/>
                <w:w w:val="96"/>
                <w:vertAlign w:val="superscript"/>
              </w:rPr>
              <w:t>(12)</w:t>
            </w:r>
          </w:p>
        </w:tc>
        <w:tc>
          <w:tcPr>
            <w:tcW w:w="700" w:type="dxa"/>
            <w:vAlign w:val="bottom"/>
          </w:tcPr>
          <w:p>
            <w:pPr>
              <w:ind w:left="20"/>
              <w:spacing w:after="0"/>
              <w:rPr>
                <w:sz w:val="20"/>
                <w:szCs w:val="20"/>
                <w:color w:val="auto"/>
              </w:rPr>
            </w:pPr>
            <w:r>
              <w:rPr>
                <w:rFonts w:ascii="Arial" w:cs="Arial" w:eastAsia="Arial" w:hAnsi="Arial"/>
                <w:sz w:val="13"/>
                <w:szCs w:val="13"/>
                <w:color w:val="0000FF"/>
              </w:rPr>
              <w:t>12/17/2018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spacing w:after="0"/>
              <w:rPr>
                <w:sz w:val="20"/>
                <w:szCs w:val="20"/>
                <w:color w:val="auto"/>
              </w:rPr>
            </w:pPr>
            <w:r>
              <w:rPr>
                <w:rFonts w:ascii="Arial" w:cs="Arial" w:eastAsia="Arial" w:hAnsi="Arial"/>
                <w:sz w:val="17"/>
                <w:szCs w:val="17"/>
                <w:color w:val="0000FF"/>
                <w:w w:val="88"/>
              </w:rPr>
              <w:t>50,000</w:t>
            </w:r>
          </w:p>
        </w:tc>
        <w:tc>
          <w:tcPr>
            <w:tcW w:w="720" w:type="dxa"/>
            <w:vAlign w:val="bottom"/>
          </w:tcPr>
          <w:p>
            <w:pPr>
              <w:ind w:left="280"/>
              <w:spacing w:after="0"/>
              <w:rPr>
                <w:sz w:val="20"/>
                <w:szCs w:val="20"/>
                <w:color w:val="auto"/>
              </w:rPr>
            </w:pPr>
            <w:r>
              <w:rPr>
                <w:rFonts w:ascii="Arial" w:cs="Arial" w:eastAsia="Arial" w:hAnsi="Arial"/>
                <w:sz w:val="11"/>
                <w:szCs w:val="11"/>
                <w:color w:val="008000"/>
              </w:rPr>
              <w:t>(11)</w:t>
            </w:r>
          </w:p>
        </w:tc>
        <w:tc>
          <w:tcPr>
            <w:tcW w:w="960" w:type="dxa"/>
            <w:vAlign w:val="bottom"/>
          </w:tcPr>
          <w:p>
            <w:pPr>
              <w:jc w:val="right"/>
              <w:ind w:right="239"/>
              <w:spacing w:after="0"/>
              <w:rPr>
                <w:sz w:val="20"/>
                <w:szCs w:val="20"/>
                <w:color w:val="auto"/>
              </w:rPr>
            </w:pPr>
            <w:r>
              <w:rPr>
                <w:rFonts w:ascii="Arial" w:cs="Arial" w:eastAsia="Arial" w:hAnsi="Arial"/>
                <w:sz w:val="13"/>
                <w:szCs w:val="13"/>
                <w:color w:val="0000FF"/>
              </w:rPr>
              <w:t>69,048</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0"/>
        <w:spacing w:after="0" w:line="234"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20" w:right="240" w:firstLine="6"/>
        <w:spacing w:after="0" w:line="300"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333 shares of Company stock on February 14, 2012 at prices ranging from $107.62 to $107.96.. Upon request by the Commission staff, the Company, or a security holder of the Company, the reporting person will provide full information regarding the number of shares sold by the reporting person on February 14, 2012 at each separate price.</w:t>
      </w:r>
    </w:p>
    <w:p>
      <w:pPr>
        <w:ind w:left="20" w:right="180" w:firstLine="6"/>
        <w:spacing w:after="0" w:line="300"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2,350 shares of Company stock on February 14, 2012 at prices ranging from $108.03 to $108.99. Upon request by the Commission staff, the Company, or a security holder of the Company, the reporting person will provide full information regarding the number of shares sold by the reporting person on February 14, 2012 at each separate price.</w:t>
      </w:r>
    </w:p>
    <w:p>
      <w:pPr>
        <w:ind w:left="20" w:right="140" w:firstLine="6"/>
        <w:spacing w:after="0" w:line="300"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8,510 shares of Company stock on February 14, 2012 at prices ranging from $109.02 to $109.98.. Upon request by the Commission staff, the Company, or a security holder of the Company, the reporting person will provide full information regarding the number of shares sold by the reporting person on February 14, 2012 at each separate price.</w:t>
      </w:r>
    </w:p>
    <w:p>
      <w:pPr>
        <w:ind w:left="20" w:right="200" w:firstLine="6"/>
        <w:spacing w:after="0" w:line="300"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17,694 shares of Company stock on February 14, 2012 at prices ranging from $110.00 to $110.77. Upon request by the Commission staff, the Company, or a security holder of the Company, the reporting person will provide full information regarding the number of shares sold by the reporting person on February 14, 2012 at each separate price.</w:t>
      </w:r>
    </w:p>
    <w:p>
      <w:pPr>
        <w:ind w:left="20" w:right="300" w:firstLine="6"/>
        <w:spacing w:after="0" w:line="300"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600 shares of Company stock on February 14, 2012 at prices ranging from $111.79 to $111.98. Upon request by the Commission staff, the Company, or a security holder of the Company, the reporting person will provide full information regarding the number of shares sold by the reporting person on February 14, 2012 at each separate price.</w:t>
      </w:r>
    </w:p>
    <w:p>
      <w:pPr>
        <w:ind w:left="20" w:right="180" w:firstLine="6"/>
        <w:spacing w:after="0" w:line="300"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1,115 shares of Company stock on February 14, 2012 at prices ranging from $112.00 to $112.17. Upon request by the Commission staff, the Company, or a security holder of the Company, the reporting person will provide full information regarding the number of shares sold by the reporting person on February 14, 2012 at each separate price.</w:t>
      </w:r>
    </w:p>
    <w:p>
      <w:pPr>
        <w:ind w:left="20" w:right="280" w:firstLine="6"/>
        <w:spacing w:after="0" w:line="300"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600 shares of Company stock on February 14, 2012 at prices ranging from $113.25 to $113.47. Upon request by the Commission staff, the Company, or a security holder of the Company, the reporting person will provide full information regarding the number of shares sold by the reporting person on February 14, 2012 at each separate price.</w:t>
      </w:r>
    </w:p>
    <w:p>
      <w:pPr>
        <w:ind w:left="20" w:right="160" w:firstLine="6"/>
        <w:spacing w:after="0" w:line="300"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19,057 shares of Company stock on February 15, 2012 at prices ranging from $107.60 to $107.98 . Upon request by the Commission staff, the Company, or a security holder of the Company, the reporting person will provide full information regarding the number of shares sold by the reporting person on February 15, 2012 at each separate price.</w:t>
      </w:r>
    </w:p>
    <w:p>
      <w:pPr>
        <w:ind w:left="20" w:right="140" w:firstLine="6"/>
        <w:spacing w:after="0" w:line="300"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2,025 shares of Company stock on February 15, 2012 at prices ranging from $108.00 to $108.09 . Upon request by the Commission staff, the Company, or a security holder of the Company, the reporting person will provide full information regarding the number of shares sold by the reporting person on February 15, 2012 at each separate price.</w:t>
      </w:r>
    </w:p>
    <w:p>
      <w:pPr>
        <w:ind w:left="220" w:hanging="194"/>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upon the satisfaction by the company of certain performance criteria on February 10, 2012.</w:t>
      </w:r>
    </w:p>
    <w:p>
      <w:pPr>
        <w:spacing w:after="0" w:line="49" w:lineRule="exact"/>
        <w:rPr>
          <w:rFonts w:ascii="Arial" w:cs="Arial" w:eastAsia="Arial" w:hAnsi="Arial"/>
          <w:sz w:val="13"/>
          <w:szCs w:val="13"/>
          <w:color w:val="008000"/>
        </w:rPr>
      </w:pPr>
    </w:p>
    <w:p>
      <w:pPr>
        <w:ind w:left="220" w:hanging="194"/>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49" w:lineRule="exact"/>
        <w:rPr>
          <w:rFonts w:ascii="Arial" w:cs="Arial" w:eastAsia="Arial" w:hAnsi="Arial"/>
          <w:sz w:val="13"/>
          <w:szCs w:val="13"/>
          <w:color w:val="008000"/>
        </w:rPr>
      </w:pPr>
    </w:p>
    <w:p>
      <w:pPr>
        <w:ind w:left="20" w:right="540" w:firstLine="6"/>
        <w:spacing w:after="0" w:line="264" w:lineRule="auto"/>
        <w:tabs>
          <w:tab w:leader="none" w:pos="21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2011, based upon the satisfaction by the company of certain performance criteria during the period ended December 31, 2011.</w:t>
      </w:r>
    </w:p>
    <w:p>
      <w:pPr>
        <w:spacing w:after="0" w:line="29"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/s/**Neil Stahl</w:t>
            </w:r>
          </w:p>
        </w:tc>
        <w:tc>
          <w:tcPr>
            <w:tcW w:w="12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02/15/2012</w:t>
            </w:r>
          </w:p>
        </w:tc>
      </w:tr>
      <w:tr>
        <w:trPr>
          <w:trHeight w:val="232"/>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820" w:firstLine="6"/>
        <w:spacing w:after="0" w:line="318" w:lineRule="auto"/>
        <w:tabs>
          <w:tab w:leader="none" w:pos="16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2019-12-18T09:33:18Z</dcterms:created>
  <dcterms:modified xsi:type="dcterms:W3CDTF">2019-12-18T09:33:18Z</dcterms:modified>
</cp:coreProperties>
</file>