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August 17, 2011 (August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96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New York</w:t>
            </w:r>
          </w:p>
        </w:tc>
        <w:tc>
          <w:tcPr>
            <w:tcW w:w="3460" w:type="dxa"/>
            <w:vAlign w:val="bottom"/>
          </w:tcPr>
          <w:p>
            <w:pPr>
              <w:jc w:val="right"/>
              <w:ind w:right="11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7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(State or other jurisdiction of</w:t>
            </w:r>
          </w:p>
        </w:tc>
        <w:tc>
          <w:tcPr>
            <w:tcW w:w="260" w:type="dxa"/>
            <w:vAlign w:val="bottom"/>
          </w:tcPr>
          <w:p>
            <w:pPr>
              <w:spacing w:after="0"/>
              <w:rPr>
                <w:sz w:val="18"/>
                <w:szCs w:val="18"/>
                <w:color w:val="auto"/>
              </w:rPr>
            </w:pPr>
          </w:p>
        </w:tc>
        <w:tc>
          <w:tcPr>
            <w:tcW w:w="34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960" w:type="dxa"/>
            <w:vAlign w:val="bottom"/>
            <w:gridSpan w:val="2"/>
          </w:tcPr>
          <w:p>
            <w:pPr>
              <w:jc w:val="center"/>
              <w:ind w:right="260"/>
              <w:spacing w:after="0"/>
              <w:rPr>
                <w:sz w:val="20"/>
                <w:szCs w:val="20"/>
                <w:color w:val="auto"/>
              </w:rPr>
            </w:pPr>
            <w:r>
              <w:rPr>
                <w:rFonts w:ascii="Arial" w:cs="Arial" w:eastAsia="Arial" w:hAnsi="Arial"/>
                <w:sz w:val="22"/>
                <w:szCs w:val="22"/>
                <w:color w:val="auto"/>
                <w:w w:val="92"/>
              </w:rPr>
              <w:t>Incorporation)</w:t>
            </w:r>
          </w:p>
        </w:tc>
        <w:tc>
          <w:tcPr>
            <w:tcW w:w="3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227" w:lineRule="auto"/>
        <w:rPr>
          <w:sz w:val="20"/>
          <w:szCs w:val="20"/>
          <w:color w:val="auto"/>
        </w:rPr>
      </w:pPr>
      <w:r>
        <w:rPr>
          <w:rFonts w:ascii="Arial" w:cs="Arial" w:eastAsia="Arial" w:hAnsi="Arial"/>
          <w:sz w:val="18"/>
          <w:szCs w:val="18"/>
          <w:color w:val="auto"/>
        </w:rPr>
        <w:t>On August 16, 2011, Regeneron Pharmaceuticals, Inc. issued a press release announcing that it had received notification from the U.S. Food and Drug Administration that the agency has extended its target date to complete the priority review of the EYLEA</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(aflibercept injection) Biologics License Application for the treatment of neovascular age-related macular degeneration to November 18, 2011.</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is attached as Exhibit 99.1 to this Current Report on Form 8-K and incorporated by reference into this Item.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issued on August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August 17,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19685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August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80"/>
        <w:spacing w:after="0" w:line="210" w:lineRule="auto"/>
        <w:rPr>
          <w:sz w:val="20"/>
          <w:szCs w:val="20"/>
          <w:color w:val="auto"/>
        </w:rPr>
      </w:pPr>
      <w:r>
        <w:rPr>
          <w:rFonts w:ascii="Arial" w:cs="Arial" w:eastAsia="Arial" w:hAnsi="Arial"/>
          <w:sz w:val="22"/>
          <w:szCs w:val="22"/>
          <w:b w:val="1"/>
          <w:bCs w:val="1"/>
          <w:color w:val="auto"/>
        </w:rPr>
        <w:t>Regeneron Announces Review of Biologics License Application for EYLEA</w:t>
      </w:r>
      <w:r>
        <w:rPr>
          <w:rFonts w:ascii="Arial" w:cs="Arial" w:eastAsia="Arial" w:hAnsi="Arial"/>
          <w:sz w:val="30"/>
          <w:szCs w:val="30"/>
          <w:b w:val="1"/>
          <w:bCs w:val="1"/>
          <w:color w:val="auto"/>
          <w:vertAlign w:val="superscript"/>
        </w:rPr>
        <w:t>™</w:t>
      </w:r>
      <w:r>
        <w:rPr>
          <w:rFonts w:ascii="Arial" w:cs="Arial" w:eastAsia="Arial" w:hAnsi="Arial"/>
          <w:sz w:val="22"/>
          <w:szCs w:val="22"/>
          <w:b w:val="1"/>
          <w:bCs w:val="1"/>
          <w:color w:val="auto"/>
        </w:rPr>
        <w:t xml:space="preserve"> (aflibercept injection) Extended by Three Months by FDA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to host conference call on August 17, at 8:30 a.m. Eastern Time</w:t>
      </w:r>
    </w:p>
    <w:p>
      <w:pPr>
        <w:spacing w:after="0" w:line="27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Tarrytown, NY (August 16,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it has received notification from the U.S. Food</w:t>
      </w:r>
      <w:r>
        <w:rPr>
          <w:rFonts w:ascii="Arial" w:cs="Arial" w:eastAsia="Arial" w:hAnsi="Arial"/>
          <w:sz w:val="18"/>
          <w:szCs w:val="18"/>
          <w:b w:val="1"/>
          <w:bCs w:val="1"/>
          <w:color w:val="auto"/>
        </w:rPr>
        <w:t xml:space="preserve"> </w:t>
      </w:r>
      <w:r>
        <w:rPr>
          <w:rFonts w:ascii="Arial" w:cs="Arial" w:eastAsia="Arial" w:hAnsi="Arial"/>
          <w:sz w:val="18"/>
          <w:szCs w:val="18"/>
          <w:color w:val="auto"/>
        </w:rPr>
        <w:t>and Drug Administration (FDA) that the agency has extended its target date to complete the priority review of the EYLEA Biologics License Application (BLA) for the treatment of neovascular age-related macular degeneration (wet AMD) to November 18, 2011, which is a three month extension from the original Prescription Drug User Fee Act (PDUFA) action date.</w:t>
      </w:r>
    </w:p>
    <w:p>
      <w:pPr>
        <w:spacing w:after="0" w:line="22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extension is a result of the agency classifying recent responses to questions regarding the chemistry, manufacturing, and controls (CMC) section of the BLA as a major amendment to the BLA. The new action date will give the agency additional time to review the information submitted.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EYLEA</w:t>
      </w:r>
    </w:p>
    <w:p>
      <w:pPr>
        <w:spacing w:after="0" w:line="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age-related macular degeneration, it is also associated with the growth of abnormal new blood vessels in the eye, which exhibit vascular permeability and lead to edema.</w:t>
      </w:r>
    </w:p>
    <w:p>
      <w:pPr>
        <w:spacing w:after="0" w:line="19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EYLEA (aflibercept injection) for intravitreal use, also known as VEGF Trap-Eye, is a fully human fusion protein, consisting of portions of VEGF receptors 1 and 2, that binds all forms of VEGF-A along with the related Placental Growth Factor (PlGF). EYLEA is a specific and highly potent blocker of these growth factors. EYLEA is specially purified and contains iso-osmotic buffer concentrations, allowing for injection into the eye.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Regeneron and Bayer HealthCare are collaborating on the global development of EYLEA for the treatment of neovascular age-related macular degeneration (wet AMD), central retinal vein occlusion (CRVO), diabetic macular edema (DME), and other eye diseases and disorders. Bayer submitted an application for marketing authorization in Europe in wet AMD in June 2011.</w:t>
      </w:r>
    </w:p>
    <w:p>
      <w:pPr>
        <w:spacing w:after="0" w:line="22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Bayer HealthCare will market EYLEA™ (aflibercept injection) outside the United States, where the companies will share equally the profits from any future sales of EYLEA. Regeneron maintains exclusive rights to EYLEA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Leonard S. Schleifer, M.D., Ph.D., President and Chief Executive Officer of Regeneron, and other members of senior management will host a conference call to discuss the extension of the review period for EYLEA BLA for the treatment of patients with wet AMD, as well as other corporate matters. The interactive call will be held on August 17, 2011 at 8:30 a.m. Eastern Time and can be accessed live through the Regeneron website at www.regeneron.com on the Investor Relations page. The call, including the question and answer session, can also be accessed by dialing: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(888) 660-6127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(973) 890-8355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92316573</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 archived version of the conference call will be available for 30 days on the company’s website at www.regeneron.com on the Investor Relations page.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its first commercialized product, Regeneron has therapeutic candidates in Phase 3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June 30, 2011.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73"/>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2019-12-10T10:11:29Z</dcterms:created>
  <dcterms:modified xsi:type="dcterms:W3CDTF">2019-12-10T10:11:29Z</dcterms:modified>
</cp:coreProperties>
</file>