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9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ind w:left="3320"/>
        <w:spacing w:after="0"/>
        <w:rPr>
          <w:sz w:val="20"/>
          <w:szCs w:val="20"/>
          <w:color w:val="auto"/>
        </w:rPr>
      </w:pPr>
      <w:r>
        <w:rPr>
          <w:rFonts w:ascii="Arial" w:cs="Arial" w:eastAsia="Arial" w:hAnsi="Arial"/>
          <w:sz w:val="20"/>
          <w:szCs w:val="20"/>
          <w:b w:val="1"/>
          <w:bCs w:val="1"/>
          <w:color w:val="auto"/>
        </w:rPr>
        <w:t>SCHEDULE 13G</w:t>
      </w:r>
    </w:p>
    <w:p>
      <w:pPr>
        <w:spacing w:after="0" w:line="94" w:lineRule="exact"/>
        <w:rPr>
          <w:sz w:val="24"/>
          <w:szCs w:val="24"/>
          <w:color w:val="auto"/>
        </w:rPr>
      </w:pPr>
    </w:p>
    <w:p>
      <w:pPr>
        <w:ind w:left="2260"/>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ind w:left="3180"/>
        <w:spacing w:after="0"/>
        <w:rPr>
          <w:sz w:val="20"/>
          <w:szCs w:val="20"/>
          <w:color w:val="auto"/>
        </w:rPr>
      </w:pPr>
      <w:r>
        <w:rPr>
          <w:rFonts w:ascii="Arial" w:cs="Arial" w:eastAsia="Arial" w:hAnsi="Arial"/>
          <w:sz w:val="20"/>
          <w:szCs w:val="20"/>
          <w:b w:val="1"/>
          <w:bCs w:val="1"/>
          <w:color w:val="auto"/>
        </w:rPr>
        <w:t>(Amendment No. 1)*</w:t>
      </w:r>
    </w:p>
    <w:p>
      <w:pPr>
        <w:spacing w:after="0" w:line="200" w:lineRule="exact"/>
        <w:rPr>
          <w:sz w:val="24"/>
          <w:szCs w:val="24"/>
          <w:color w:val="auto"/>
        </w:rPr>
      </w:pPr>
    </w:p>
    <w:p>
      <w:pPr>
        <w:jc w:val="center"/>
        <w:ind w:right="2139"/>
        <w:spacing w:after="0"/>
        <w:rPr>
          <w:sz w:val="20"/>
          <w:szCs w:val="20"/>
          <w:color w:val="auto"/>
        </w:rPr>
      </w:pPr>
      <w:r>
        <w:rPr>
          <w:rFonts w:ascii="Arial" w:cs="Arial" w:eastAsia="Arial" w:hAnsi="Arial"/>
          <w:sz w:val="20"/>
          <w:szCs w:val="20"/>
          <w:color w:val="auto"/>
        </w:rPr>
        <w:t>Regeneron Pharmaceuticals, Inc.</w:t>
      </w:r>
    </w:p>
    <w:p>
      <w:pPr>
        <w:spacing w:after="0" w:line="16" w:lineRule="exact"/>
        <w:rPr>
          <w:sz w:val="24"/>
          <w:szCs w:val="24"/>
          <w:color w:val="auto"/>
        </w:rPr>
      </w:pPr>
    </w:p>
    <w:p>
      <w:pPr>
        <w:jc w:val="center"/>
        <w:ind w:right="2099"/>
        <w:spacing w:after="0"/>
        <w:rPr>
          <w:sz w:val="20"/>
          <w:szCs w:val="20"/>
          <w:color w:val="auto"/>
        </w:rPr>
      </w:pPr>
      <w:r>
        <w:rPr>
          <w:rFonts w:ascii="Arial" w:cs="Arial" w:eastAsia="Arial" w:hAnsi="Arial"/>
          <w:sz w:val="20"/>
          <w:szCs w:val="20"/>
          <w:color w:val="auto"/>
        </w:rPr>
        <w:t>(Name of Issuer)</w:t>
      </w:r>
    </w:p>
    <w:p>
      <w:pPr>
        <w:spacing w:after="0" w:line="186" w:lineRule="exact"/>
        <w:rPr>
          <w:sz w:val="24"/>
          <w:szCs w:val="24"/>
          <w:color w:val="auto"/>
        </w:rPr>
      </w:pPr>
    </w:p>
    <w:p>
      <w:pPr>
        <w:ind w:left="3380"/>
        <w:spacing w:after="0"/>
        <w:rPr>
          <w:sz w:val="20"/>
          <w:szCs w:val="20"/>
          <w:color w:val="auto"/>
        </w:rPr>
      </w:pPr>
      <w:r>
        <w:rPr>
          <w:rFonts w:ascii="Arial" w:cs="Arial" w:eastAsia="Arial" w:hAnsi="Arial"/>
          <w:sz w:val="20"/>
          <w:szCs w:val="20"/>
          <w:color w:val="auto"/>
        </w:rPr>
        <w:t>Common Stock</w:t>
      </w:r>
    </w:p>
    <w:p>
      <w:pPr>
        <w:spacing w:after="0" w:line="16" w:lineRule="exact"/>
        <w:rPr>
          <w:sz w:val="24"/>
          <w:szCs w:val="24"/>
          <w:color w:val="auto"/>
        </w:rPr>
      </w:pPr>
    </w:p>
    <w:p>
      <w:pPr>
        <w:ind w:left="2940"/>
        <w:spacing w:after="0"/>
        <w:rPr>
          <w:sz w:val="20"/>
          <w:szCs w:val="20"/>
          <w:color w:val="auto"/>
        </w:rPr>
      </w:pPr>
      <w:r>
        <w:rPr>
          <w:rFonts w:ascii="Arial" w:cs="Arial" w:eastAsia="Arial" w:hAnsi="Arial"/>
          <w:sz w:val="20"/>
          <w:szCs w:val="20"/>
          <w:color w:val="auto"/>
        </w:rPr>
        <w:t>(Title of Class of Securities)</w:t>
      </w:r>
    </w:p>
    <w:p>
      <w:pPr>
        <w:spacing w:after="0" w:line="308" w:lineRule="exact"/>
        <w:rPr>
          <w:sz w:val="24"/>
          <w:szCs w:val="24"/>
          <w:color w:val="auto"/>
        </w:rPr>
      </w:pPr>
    </w:p>
    <w:p>
      <w:pPr>
        <w:ind w:left="3560"/>
        <w:spacing w:after="0"/>
        <w:rPr>
          <w:sz w:val="20"/>
          <w:szCs w:val="20"/>
          <w:color w:val="auto"/>
        </w:rPr>
      </w:pPr>
      <w:r>
        <w:rPr>
          <w:rFonts w:ascii="Arial" w:cs="Arial" w:eastAsia="Arial" w:hAnsi="Arial"/>
          <w:sz w:val="20"/>
          <w:szCs w:val="20"/>
          <w:color w:val="auto"/>
        </w:rPr>
        <w:t>75886F107</w:t>
      </w:r>
    </w:p>
    <w:p>
      <w:pPr>
        <w:spacing w:after="0" w:line="16" w:lineRule="exact"/>
        <w:rPr>
          <w:sz w:val="24"/>
          <w:szCs w:val="24"/>
          <w:color w:val="auto"/>
        </w:rPr>
      </w:pPr>
    </w:p>
    <w:p>
      <w:pPr>
        <w:ind w:left="3360"/>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306" w:lineRule="exact"/>
        <w:rPr>
          <w:sz w:val="24"/>
          <w:szCs w:val="24"/>
          <w:color w:val="auto"/>
        </w:rPr>
      </w:pPr>
    </w:p>
    <w:p>
      <w:pPr>
        <w:jc w:val="center"/>
        <w:ind w:right="2159"/>
        <w:spacing w:after="0"/>
        <w:rPr>
          <w:sz w:val="20"/>
          <w:szCs w:val="20"/>
          <w:color w:val="auto"/>
        </w:rPr>
      </w:pPr>
      <w:r>
        <w:rPr>
          <w:rFonts w:ascii="Arial" w:cs="Arial" w:eastAsia="Arial" w:hAnsi="Arial"/>
          <w:sz w:val="22"/>
          <w:szCs w:val="22"/>
          <w:color w:val="auto"/>
        </w:rPr>
        <w:t>12/31/2008</w:t>
      </w:r>
    </w:p>
    <w:p>
      <w:pPr>
        <w:spacing w:after="0" w:line="8" w:lineRule="exact"/>
        <w:rPr>
          <w:sz w:val="24"/>
          <w:szCs w:val="24"/>
          <w:color w:val="auto"/>
        </w:rPr>
      </w:pPr>
    </w:p>
    <w:p>
      <w:pPr>
        <w:jc w:val="center"/>
        <w:ind w:right="209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ectPr>
          <w:pgSz w:w="11900" w:h="16838" w:orient="portrait"/>
          <w:cols w:equalWidth="0" w:num="1">
            <w:col w:w="10219"/>
          </w:cols>
          <w:pgMar w:left="240" w:top="225" w:right="1440" w:bottom="1440" w:gutter="0" w:footer="0" w:header="0"/>
        </w:sectPr>
      </w:pPr>
    </w:p>
    <w:p>
      <w:pPr>
        <w:spacing w:after="0" w:line="49" w:lineRule="exact"/>
        <w:rPr>
          <w:sz w:val="24"/>
          <w:szCs w:val="24"/>
          <w:color w:val="auto"/>
        </w:rPr>
      </w:pPr>
    </w:p>
    <w:p>
      <w:pPr>
        <w:ind w:left="60"/>
        <w:spacing w:after="0"/>
        <w:rPr>
          <w:sz w:val="20"/>
          <w:szCs w:val="20"/>
          <w:color w:val="auto"/>
        </w:rPr>
      </w:pPr>
      <w:r>
        <w:rPr>
          <w:rFonts w:ascii="Arial" w:cs="Arial" w:eastAsia="Arial" w:hAnsi="Arial"/>
          <w:sz w:val="22"/>
          <w:szCs w:val="22"/>
          <w:color w:val="auto"/>
        </w:rPr>
        <w:t>[X]</w:t>
      </w:r>
    </w:p>
    <w:p>
      <w:pPr>
        <w:ind w:left="60"/>
        <w:spacing w:after="0" w:line="230" w:lineRule="auto"/>
        <w:rPr>
          <w:sz w:val="20"/>
          <w:szCs w:val="20"/>
          <w:color w:val="auto"/>
        </w:rPr>
      </w:pPr>
      <w:r>
        <w:rPr>
          <w:rFonts w:ascii="Arial" w:cs="Arial" w:eastAsia="Arial" w:hAnsi="Arial"/>
          <w:sz w:val="22"/>
          <w:szCs w:val="22"/>
          <w:color w:val="auto"/>
        </w:rPr>
        <w:t>[ ]</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 ]</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color w:val="auto"/>
        </w:rPr>
        <w:t>Rule 13d-1(d)</w:t>
      </w:r>
    </w:p>
    <w:p>
      <w:pPr>
        <w:spacing w:after="0" w:line="222" w:lineRule="exact"/>
        <w:rPr>
          <w:sz w:val="24"/>
          <w:szCs w:val="24"/>
          <w:color w:val="auto"/>
        </w:rPr>
      </w:pPr>
    </w:p>
    <w:p>
      <w:pPr>
        <w:sectPr>
          <w:pgSz w:w="11900" w:h="16838" w:orient="portrait"/>
          <w:cols w:equalWidth="0" w:num="2">
            <w:col w:w="1700" w:space="720"/>
            <w:col w:w="7799"/>
          </w:cols>
          <w:pgMar w:left="240" w:top="225" w:right="1440" w:bottom="1440" w:gutter="0" w:footer="0" w:header="0"/>
          <w:type w:val="continuous"/>
        </w:sectPr>
      </w:pPr>
    </w:p>
    <w:p>
      <w:pPr>
        <w:ind w:right="2259"/>
        <w:spacing w:after="0" w:line="29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right="239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type w:val="continuous"/>
        </w:sectPr>
      </w:pPr>
    </w:p>
    <w:bookmarkStart w:id="1" w:name="page2"/>
    <w:bookmarkEnd w:id="1"/>
    <w:p>
      <w:pPr>
        <w:ind w:left="7220"/>
        <w:spacing w:after="0"/>
        <w:rPr>
          <w:sz w:val="20"/>
          <w:szCs w:val="20"/>
          <w:color w:val="auto"/>
        </w:rPr>
      </w:pPr>
      <w:r>
        <w:rPr>
          <w:rFonts w:ascii="Arial" w:cs="Arial" w:eastAsia="Arial" w:hAnsi="Arial"/>
          <w:sz w:val="19"/>
          <w:szCs w:val="19"/>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142875</wp:posOffset>
            </wp:positionV>
            <wp:extent cx="5170805" cy="5389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0805" cy="5389880"/>
                    </a:xfrm>
                    <a:prstGeom prst="rect">
                      <a:avLst/>
                    </a:prstGeom>
                    <a:noFill/>
                  </pic:spPr>
                </pic:pic>
              </a:graphicData>
            </a:graphic>
          </wp:anchor>
        </w:drawing>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CUSIP No. 75886F107</w:t>
      </w:r>
    </w:p>
    <w:p>
      <w:pPr>
        <w:spacing w:after="0" w:line="31" w:lineRule="exact"/>
        <w:rPr>
          <w:sz w:val="20"/>
          <w:szCs w:val="20"/>
          <w:color w:val="auto"/>
        </w:rPr>
      </w:pPr>
    </w:p>
    <w:p>
      <w:pPr>
        <w:ind w:left="1600" w:right="6079" w:hanging="861"/>
        <w:spacing w:after="0" w:line="560" w:lineRule="auto"/>
        <w:tabs>
          <w:tab w:leader="none" w:pos="1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Names of Reporting Persons: OppenheimerFunds, Inc.</w:t>
      </w: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80" w:type="dxa"/>
            <w:vAlign w:val="bottom"/>
            <w:tcBorders>
              <w:top w:val="single" w:sz="8" w:color="auto"/>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6"/>
              </w:rPr>
              <w:t>2.</w:t>
            </w:r>
          </w:p>
        </w:tc>
        <w:tc>
          <w:tcPr>
            <w:tcW w:w="6720" w:type="dxa"/>
            <w:vAlign w:val="bottom"/>
            <w:tcBorders>
              <w:top w:val="single" w:sz="8" w:color="auto"/>
            </w:tcBorders>
            <w:gridSpan w:val="2"/>
          </w:tcPr>
          <w:p>
            <w:pPr>
              <w:ind w:left="80"/>
              <w:spacing w:after="0" w:line="217" w:lineRule="exact"/>
              <w:rPr>
                <w:sz w:val="20"/>
                <w:szCs w:val="20"/>
                <w:color w:val="auto"/>
              </w:rPr>
            </w:pPr>
            <w:r>
              <w:rPr>
                <w:rFonts w:ascii="Arial" w:cs="Arial" w:eastAsia="Arial" w:hAnsi="Arial"/>
                <w:sz w:val="22"/>
                <w:szCs w:val="22"/>
                <w:color w:val="auto"/>
                <w:w w:val="97"/>
              </w:rPr>
              <w:t>Check the Appropriate Box if a Member of a Group (See Instructions):</w:t>
            </w:r>
          </w:p>
        </w:tc>
        <w:tc>
          <w:tcPr>
            <w:tcW w:w="0" w:type="dxa"/>
            <w:vAlign w:val="bottom"/>
          </w:tcPr>
          <w:p>
            <w:pPr>
              <w:spacing w:after="0"/>
              <w:rPr>
                <w:sz w:val="1"/>
                <w:szCs w:val="1"/>
                <w:color w:val="auto"/>
              </w:rPr>
            </w:pPr>
          </w:p>
        </w:tc>
      </w:tr>
      <w:tr>
        <w:trPr>
          <w:trHeight w:val="275"/>
        </w:trPr>
        <w:tc>
          <w:tcPr>
            <w:tcW w:w="140" w:type="dxa"/>
            <w:vAlign w:val="bottom"/>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6720" w:type="dxa"/>
            <w:vAlign w:val="bottom"/>
            <w:gridSpan w:val="2"/>
          </w:tcPr>
          <w:p>
            <w:pPr>
              <w:ind w:left="80"/>
              <w:spacing w:after="0"/>
              <w:rPr>
                <w:sz w:val="20"/>
                <w:szCs w:val="20"/>
                <w:color w:val="auto"/>
              </w:rPr>
            </w:pPr>
            <w:r>
              <w:rPr>
                <w:rFonts w:ascii="Arial" w:cs="Arial" w:eastAsia="Arial" w:hAnsi="Arial"/>
                <w:sz w:val="22"/>
                <w:szCs w:val="22"/>
                <w:color w:val="auto"/>
              </w:rPr>
              <w:t>Joint filing</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3.</w:t>
            </w:r>
          </w:p>
        </w:tc>
        <w:tc>
          <w:tcPr>
            <w:tcW w:w="6720" w:type="dxa"/>
            <w:vAlign w:val="bottom"/>
            <w:gridSpan w:val="2"/>
          </w:tcPr>
          <w:p>
            <w:pPr>
              <w:ind w:left="80"/>
              <w:spacing w:after="0"/>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333"/>
        </w:trPr>
        <w:tc>
          <w:tcPr>
            <w:tcW w:w="140" w:type="dxa"/>
            <w:vAlign w:val="bottom"/>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4.</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275"/>
        </w:trPr>
        <w:tc>
          <w:tcPr>
            <w:tcW w:w="140" w:type="dxa"/>
            <w:vAlign w:val="bottom"/>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672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6720" w:type="dxa"/>
            <w:vAlign w:val="bottom"/>
            <w:gridSpan w:val="2"/>
          </w:tcPr>
          <w:p>
            <w:pPr>
              <w:ind w:left="80"/>
              <w:spacing w:after="0"/>
              <w:rPr>
                <w:sz w:val="20"/>
                <w:szCs w:val="20"/>
                <w:color w:val="auto"/>
              </w:rPr>
            </w:pPr>
            <w:r>
              <w:rPr>
                <w:rFonts w:ascii="Arial" w:cs="Arial" w:eastAsia="Arial" w:hAnsi="Arial"/>
                <w:sz w:val="22"/>
                <w:szCs w:val="22"/>
                <w:color w:val="auto"/>
                <w:w w:val="95"/>
              </w:rPr>
              <w:t>Number of Shares Beneficially Owned by Each Reporting Person With:</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6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5.</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6600" w:type="dxa"/>
            <w:vAlign w:val="bottom"/>
            <w:vMerge w:val="restart"/>
          </w:tcPr>
          <w:p>
            <w:pPr>
              <w:ind w:left="80"/>
              <w:spacing w:after="0" w:line="238" w:lineRule="exact"/>
              <w:rPr>
                <w:sz w:val="20"/>
                <w:szCs w:val="20"/>
                <w:color w:val="auto"/>
              </w:rPr>
            </w:pPr>
            <w:r>
              <w:rPr>
                <w:rFonts w:ascii="Arial" w:cs="Arial" w:eastAsia="Arial" w:hAnsi="Arial"/>
                <w:sz w:val="22"/>
                <w:szCs w:val="22"/>
                <w:color w:val="auto"/>
              </w:rPr>
              <w:t>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6.</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6600" w:type="dxa"/>
            <w:vAlign w:val="bottom"/>
            <w:vMerge w:val="restart"/>
          </w:tcPr>
          <w:p>
            <w:pPr>
              <w:ind w:left="80"/>
              <w:spacing w:after="0" w:line="238" w:lineRule="exact"/>
              <w:rPr>
                <w:sz w:val="20"/>
                <w:szCs w:val="20"/>
                <w:color w:val="auto"/>
              </w:rPr>
            </w:pPr>
            <w:r>
              <w:rPr>
                <w:rFonts w:ascii="Arial" w:cs="Arial" w:eastAsia="Arial" w:hAnsi="Arial"/>
                <w:sz w:val="22"/>
                <w:szCs w:val="22"/>
                <w:color w:val="auto"/>
              </w:rPr>
              <w:t>3,169,754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7.</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6600" w:type="dxa"/>
            <w:vAlign w:val="bottom"/>
            <w:vMerge w:val="restart"/>
          </w:tcPr>
          <w:p>
            <w:pPr>
              <w:ind w:left="80"/>
              <w:spacing w:after="0" w:line="238" w:lineRule="exact"/>
              <w:rPr>
                <w:sz w:val="20"/>
                <w:szCs w:val="20"/>
                <w:color w:val="auto"/>
              </w:rPr>
            </w:pPr>
            <w:r>
              <w:rPr>
                <w:rFonts w:ascii="Arial" w:cs="Arial" w:eastAsia="Arial" w:hAnsi="Arial"/>
                <w:sz w:val="22"/>
                <w:szCs w:val="22"/>
                <w:color w:val="auto"/>
              </w:rPr>
              <w:t>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8.</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6600" w:type="dxa"/>
            <w:vAlign w:val="bottom"/>
            <w:vMerge w:val="restart"/>
          </w:tcPr>
          <w:p>
            <w:pPr>
              <w:ind w:left="80"/>
              <w:spacing w:after="0" w:line="238" w:lineRule="exact"/>
              <w:rPr>
                <w:sz w:val="20"/>
                <w:szCs w:val="20"/>
                <w:color w:val="auto"/>
              </w:rPr>
            </w:pPr>
            <w:r>
              <w:rPr>
                <w:rFonts w:ascii="Arial" w:cs="Arial" w:eastAsia="Arial" w:hAnsi="Arial"/>
                <w:sz w:val="22"/>
                <w:szCs w:val="22"/>
                <w:color w:val="auto"/>
              </w:rPr>
              <w:t>3,169,754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9.</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67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3"/>
              </w:rPr>
              <w:t>3,169,754 (beneficial ownership disclaimed pursuant to Rule 13d-4 of the</w:t>
            </w: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67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Exchange Act of 1934)</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10.</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w w:val="92"/>
              </w:rPr>
              <w:t>Check if the Aggregate Amount in Row (9) Excludes Certain Shares (See</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67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Instructions)</w:t>
            </w: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66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 ]</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11.</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275"/>
        </w:trPr>
        <w:tc>
          <w:tcPr>
            <w:tcW w:w="140" w:type="dxa"/>
            <w:vAlign w:val="bottom"/>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6600" w:type="dxa"/>
            <w:vAlign w:val="bottom"/>
          </w:tcPr>
          <w:p>
            <w:pPr>
              <w:ind w:left="80"/>
              <w:spacing w:after="0"/>
              <w:rPr>
                <w:sz w:val="20"/>
                <w:szCs w:val="20"/>
                <w:color w:val="auto"/>
              </w:rPr>
            </w:pPr>
            <w:r>
              <w:rPr>
                <w:rFonts w:ascii="Arial" w:cs="Arial" w:eastAsia="Arial" w:hAnsi="Arial"/>
                <w:sz w:val="22"/>
                <w:szCs w:val="22"/>
                <w:color w:val="auto"/>
              </w:rPr>
              <w:t>4.10%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12.</w:t>
            </w:r>
          </w:p>
        </w:tc>
        <w:tc>
          <w:tcPr>
            <w:tcW w:w="67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Type of Reporting Person (See Instructions):</w:t>
            </w:r>
          </w:p>
        </w:tc>
        <w:tc>
          <w:tcPr>
            <w:tcW w:w="0" w:type="dxa"/>
            <w:vAlign w:val="bottom"/>
          </w:tcPr>
          <w:p>
            <w:pPr>
              <w:spacing w:after="0"/>
              <w:rPr>
                <w:sz w:val="1"/>
                <w:szCs w:val="1"/>
                <w:color w:val="auto"/>
              </w:rPr>
            </w:pPr>
          </w:p>
        </w:tc>
      </w:tr>
      <w:tr>
        <w:trPr>
          <w:trHeight w:val="285"/>
        </w:trPr>
        <w:tc>
          <w:tcPr>
            <w:tcW w:w="140" w:type="dxa"/>
            <w:vAlign w:val="bottom"/>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IA</w:t>
            </w:r>
          </w:p>
        </w:tc>
        <w:tc>
          <w:tcPr>
            <w:tcW w:w="0" w:type="dxa"/>
            <w:vAlign w:val="bottom"/>
          </w:tcPr>
          <w:p>
            <w:pPr>
              <w:spacing w:after="0"/>
              <w:rPr>
                <w:sz w:val="1"/>
                <w:szCs w:val="1"/>
                <w:color w:val="auto"/>
              </w:rPr>
            </w:pPr>
          </w:p>
        </w:tc>
      </w:tr>
      <w:tr>
        <w:trPr>
          <w:trHeight w:val="223"/>
        </w:trPr>
        <w:tc>
          <w:tcPr>
            <w:tcW w:w="14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6600" w:type="dxa"/>
            <w:vAlign w:val="bottom"/>
            <w:tcBorders>
              <w:bottom w:val="single" w:sz="8" w:color="9A9A9A"/>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ind w:left="7220"/>
        <w:spacing w:after="0"/>
        <w:rPr>
          <w:sz w:val="20"/>
          <w:szCs w:val="20"/>
          <w:color w:val="auto"/>
        </w:rPr>
      </w:pPr>
      <w:r>
        <w:rPr>
          <w:rFonts w:ascii="Arial" w:cs="Arial" w:eastAsia="Arial" w:hAnsi="Arial"/>
          <w:sz w:val="16"/>
          <w:szCs w:val="16"/>
          <w:color w:val="auto"/>
        </w:rPr>
        <w:t>Page 3 of 3</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5149850" cy="167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1670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8"/>
        </w:trPr>
        <w:tc>
          <w:tcPr>
            <w:tcW w:w="1600" w:type="dxa"/>
            <w:vAlign w:val="bottom"/>
            <w:tcBorders>
              <w:top w:val="single" w:sz="8" w:color="auto"/>
              <w:left w:val="single" w:sz="8" w:color="auto"/>
              <w:right w:val="single" w:sz="8" w:color="auto"/>
            </w:tcBorders>
          </w:tcPr>
          <w:p>
            <w:pPr>
              <w:jc w:val="center"/>
              <w:spacing w:after="0" w:line="219" w:lineRule="exact"/>
              <w:rPr>
                <w:sz w:val="20"/>
                <w:szCs w:val="20"/>
                <w:color w:val="auto"/>
              </w:rPr>
            </w:pPr>
            <w:r>
              <w:rPr>
                <w:rFonts w:ascii="Arial" w:cs="Arial" w:eastAsia="Arial" w:hAnsi="Arial"/>
                <w:sz w:val="22"/>
                <w:szCs w:val="22"/>
                <w:color w:val="auto"/>
                <w:w w:val="86"/>
              </w:rPr>
              <w:t>1(a)</w:t>
            </w:r>
          </w:p>
        </w:tc>
        <w:tc>
          <w:tcPr>
            <w:tcW w:w="6520" w:type="dxa"/>
            <w:vAlign w:val="bottom"/>
            <w:tcBorders>
              <w:top w:val="single" w:sz="8" w:color="auto"/>
              <w:right w:val="single" w:sz="8" w:color="auto"/>
            </w:tcBorders>
          </w:tcPr>
          <w:p>
            <w:pPr>
              <w:ind w:left="100"/>
              <w:spacing w:after="0" w:line="219" w:lineRule="exact"/>
              <w:rPr>
                <w:sz w:val="20"/>
                <w:szCs w:val="20"/>
                <w:color w:val="auto"/>
              </w:rPr>
            </w:pPr>
            <w:r>
              <w:rPr>
                <w:rFonts w:ascii="Arial" w:cs="Arial" w:eastAsia="Arial" w:hAnsi="Arial"/>
                <w:sz w:val="22"/>
                <w:szCs w:val="22"/>
                <w:color w:val="auto"/>
              </w:rPr>
              <w:t>Name of Issuer:</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Regeneron Pharmaceuticals, Inc.</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1(b)</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Address of Issuer's Principal Executive Offices:</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777 Old Saw Mill River Road</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Tarrytown, NY 10591-6707</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2(a)</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Name of Person Filing:</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OppenheimerFunds, Inc.</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2(b)</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Address of Principal Business Office or, if none, Residence:</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Two World Financial Center</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225 Liberty Street</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New York, NY 10281</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2(c)</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Citizenship:</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Colorado</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2(d)</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Title of Class of Securities:</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Common Stock</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2(e)</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CUSIP Number:</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75886F107</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1"/>
              </w:rPr>
              <w:t>3</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OppenheimerFunds, Inc. is an investment adviser in accordance with</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Rule 13d-1(b)(1)(ii)(E).</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4(a)</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Amount beneficially owned:</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3,169,754 (beneficial ownership disclaimed pursuant to Rule 13d-4 of</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the Exchange Act of 1934)</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4(b)</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Percent of class:</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4.10%</w:t>
            </w:r>
          </w:p>
        </w:tc>
      </w:tr>
      <w:tr>
        <w:trPr>
          <w:trHeight w:val="268"/>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4(c)</w:t>
            </w:r>
          </w:p>
        </w:tc>
        <w:tc>
          <w:tcPr>
            <w:tcW w:w="65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as to which the person has:</w:t>
            </w:r>
          </w:p>
        </w:tc>
      </w:tr>
      <w:tr>
        <w:trPr>
          <w:trHeight w:val="433"/>
        </w:trPr>
        <w:tc>
          <w:tcPr>
            <w:tcW w:w="1600" w:type="dxa"/>
            <w:vAlign w:val="bottom"/>
            <w:tcBorders>
              <w:left w:val="single" w:sz="8" w:color="auto"/>
              <w:right w:val="single" w:sz="8" w:color="auto"/>
            </w:tcBorders>
          </w:tcPr>
          <w:p>
            <w:pPr>
              <w:ind w:left="900"/>
              <w:spacing w:after="0"/>
              <w:rPr>
                <w:sz w:val="20"/>
                <w:szCs w:val="20"/>
                <w:color w:val="auto"/>
              </w:rPr>
            </w:pPr>
            <w:r>
              <w:rPr>
                <w:rFonts w:ascii="Arial" w:cs="Arial" w:eastAsia="Arial" w:hAnsi="Arial"/>
                <w:sz w:val="22"/>
                <w:szCs w:val="22"/>
                <w:color w:val="auto"/>
              </w:rPr>
              <w:t>(i)</w:t>
            </w:r>
          </w:p>
        </w:tc>
        <w:tc>
          <w:tcPr>
            <w:tcW w:w="65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power to vote or to direct the vote:</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0</w:t>
            </w:r>
          </w:p>
        </w:tc>
      </w:tr>
      <w:tr>
        <w:trPr>
          <w:trHeight w:val="243"/>
        </w:trPr>
        <w:tc>
          <w:tcPr>
            <w:tcW w:w="1600" w:type="dxa"/>
            <w:vAlign w:val="bottom"/>
            <w:tcBorders>
              <w:left w:val="single" w:sz="8" w:color="auto"/>
              <w:right w:val="single" w:sz="8" w:color="auto"/>
            </w:tcBorders>
          </w:tcPr>
          <w:p>
            <w:pPr>
              <w:ind w:left="900"/>
              <w:spacing w:after="0" w:line="243" w:lineRule="exact"/>
              <w:rPr>
                <w:sz w:val="20"/>
                <w:szCs w:val="20"/>
                <w:color w:val="auto"/>
              </w:rPr>
            </w:pPr>
            <w:r>
              <w:rPr>
                <w:rFonts w:ascii="Arial" w:cs="Arial" w:eastAsia="Arial" w:hAnsi="Arial"/>
                <w:sz w:val="22"/>
                <w:szCs w:val="22"/>
                <w:color w:val="auto"/>
              </w:rPr>
              <w:t>(ii)</w:t>
            </w: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Shared power to vote or to direct the vote:</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3,169,754</w:t>
            </w:r>
          </w:p>
        </w:tc>
      </w:tr>
      <w:tr>
        <w:trPr>
          <w:trHeight w:val="243"/>
        </w:trPr>
        <w:tc>
          <w:tcPr>
            <w:tcW w:w="1600" w:type="dxa"/>
            <w:vAlign w:val="bottom"/>
            <w:tcBorders>
              <w:left w:val="single" w:sz="8" w:color="auto"/>
              <w:right w:val="single" w:sz="8" w:color="auto"/>
            </w:tcBorders>
          </w:tcPr>
          <w:p>
            <w:pPr>
              <w:ind w:left="900"/>
              <w:spacing w:after="0" w:line="243" w:lineRule="exact"/>
              <w:rPr>
                <w:sz w:val="20"/>
                <w:szCs w:val="20"/>
                <w:color w:val="auto"/>
              </w:rPr>
            </w:pPr>
            <w:r>
              <w:rPr>
                <w:rFonts w:ascii="Arial" w:cs="Arial" w:eastAsia="Arial" w:hAnsi="Arial"/>
                <w:sz w:val="22"/>
                <w:szCs w:val="22"/>
                <w:color w:val="auto"/>
              </w:rPr>
              <w:t>(iii)</w:t>
            </w: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Sole power to dispose or to direct the disposition of:</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0</w:t>
            </w:r>
          </w:p>
        </w:tc>
      </w:tr>
      <w:tr>
        <w:trPr>
          <w:trHeight w:val="243"/>
        </w:trPr>
        <w:tc>
          <w:tcPr>
            <w:tcW w:w="1600" w:type="dxa"/>
            <w:vAlign w:val="bottom"/>
            <w:tcBorders>
              <w:left w:val="single" w:sz="8" w:color="auto"/>
              <w:right w:val="single" w:sz="8" w:color="auto"/>
            </w:tcBorders>
          </w:tcPr>
          <w:p>
            <w:pPr>
              <w:ind w:left="900"/>
              <w:spacing w:after="0" w:line="243" w:lineRule="exact"/>
              <w:rPr>
                <w:sz w:val="20"/>
                <w:szCs w:val="20"/>
                <w:color w:val="auto"/>
              </w:rPr>
            </w:pPr>
            <w:r>
              <w:rPr>
                <w:rFonts w:ascii="Arial" w:cs="Arial" w:eastAsia="Arial" w:hAnsi="Arial"/>
                <w:sz w:val="22"/>
                <w:szCs w:val="22"/>
                <w:color w:val="auto"/>
              </w:rPr>
              <w:t>(iv)</w:t>
            </w: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Shared power to dispose or to direct the disposition of:</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3,169,754</w:t>
            </w:r>
          </w:p>
        </w:tc>
      </w:tr>
      <w:tr>
        <w:trPr>
          <w:trHeight w:val="271"/>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w:t>
            </w: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Ownership of Five Percent or Less of a Class: [ X ]</w:t>
            </w:r>
          </w:p>
        </w:tc>
      </w:tr>
      <w:tr>
        <w:trPr>
          <w:trHeight w:val="222"/>
        </w:trPr>
        <w:tc>
          <w:tcPr>
            <w:tcW w:w="1600" w:type="dxa"/>
            <w:vAlign w:val="bottom"/>
            <w:tcBorders>
              <w:left w:val="single" w:sz="8" w:color="auto"/>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6"/>
              </w:rPr>
              <w:t>6.</w:t>
            </w:r>
          </w:p>
        </w:tc>
        <w:tc>
          <w:tcPr>
            <w:tcW w:w="652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6"/>
              </w:rPr>
              <w:t>Ownership of More than Five Percent on Behalf of Another Person.:</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7.</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Identification and Classification of the Subsidiary Which Acquired the</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Security Being Reported on By the Parent Holding Company:</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8.</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Identification and Classification of Members of the Group:</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9.</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Notice of Dissolution of Group:</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w:t>
            </w:r>
          </w:p>
        </w:tc>
      </w:tr>
      <w:tr>
        <w:trPr>
          <w:trHeight w:val="215"/>
        </w:trPr>
        <w:tc>
          <w:tcPr>
            <w:tcW w:w="1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10.</w:t>
            </w:r>
          </w:p>
        </w:tc>
        <w:tc>
          <w:tcPr>
            <w:tcW w:w="65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Certification:</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3"/>
              </w:rPr>
              <w:t>By signing below I certify that, to the best of my knowledge and belief,</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the securities referred to above were acquired and are held in the</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ordinary course of business and were not acquired and are not held for</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the purpose of or with the effect of changing or influencing the control</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of the issuer of the securities and were not acquired and are not held in</w:t>
            </w:r>
          </w:p>
        </w:tc>
      </w:tr>
      <w:tr>
        <w:trPr>
          <w:trHeight w:val="243"/>
        </w:trPr>
        <w:tc>
          <w:tcPr>
            <w:tcW w:w="160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connection with or as a participant in any transaction having that</w:t>
            </w:r>
          </w:p>
        </w:tc>
      </w:tr>
      <w:tr>
        <w:trPr>
          <w:trHeight w:val="265"/>
        </w:trPr>
        <w:tc>
          <w:tcPr>
            <w:tcW w:w="1600" w:type="dxa"/>
            <w:vAlign w:val="bottom"/>
            <w:tcBorders>
              <w:left w:val="single" w:sz="8" w:color="auto"/>
              <w:bottom w:val="single" w:sz="8" w:color="auto"/>
              <w:right w:val="single" w:sz="8" w:color="auto"/>
            </w:tcBorders>
          </w:tcPr>
          <w:p>
            <w:pPr>
              <w:spacing w:after="0"/>
              <w:rPr>
                <w:sz w:val="23"/>
                <w:szCs w:val="23"/>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purpose or effect.</w:t>
            </w:r>
          </w:p>
        </w:tc>
      </w:tr>
    </w:tbl>
    <w:p>
      <w:pPr>
        <w:spacing w:after="0" w:line="193" w:lineRule="exact"/>
        <w:rPr>
          <w:sz w:val="20"/>
          <w:szCs w:val="20"/>
          <w:color w:val="auto"/>
        </w:rPr>
      </w:pPr>
    </w:p>
    <w:p>
      <w:pPr>
        <w:jc w:val="center"/>
        <w:ind w:right="2099"/>
        <w:spacing w:after="0"/>
        <w:rPr>
          <w:sz w:val="20"/>
          <w:szCs w:val="20"/>
          <w:color w:val="auto"/>
        </w:rPr>
      </w:pPr>
      <w:r>
        <w:rPr>
          <w:rFonts w:ascii="Arial" w:cs="Arial" w:eastAsia="Arial" w:hAnsi="Arial"/>
          <w:sz w:val="20"/>
          <w:szCs w:val="20"/>
          <w:b w:val="1"/>
          <w:bCs w:val="1"/>
          <w:color w:val="auto"/>
        </w:rPr>
        <w:t>SIGNATURE</w:t>
      </w:r>
    </w:p>
    <w:p>
      <w:pPr>
        <w:spacing w:after="0" w:line="100" w:lineRule="exact"/>
        <w:rPr>
          <w:sz w:val="20"/>
          <w:szCs w:val="20"/>
          <w:color w:val="auto"/>
        </w:rPr>
      </w:pPr>
    </w:p>
    <w:p>
      <w:pPr>
        <w:ind w:right="2179"/>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01/29/2009</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/s/ Mark S. Vandehey</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Mark S. Vandehey, Sr. Vice President</w:t>
      </w:r>
    </w:p>
    <w:p>
      <w:pPr>
        <w:sectPr>
          <w:pgSz w:w="11900" w:h="16838" w:orient="portrait"/>
          <w:cols w:equalWidth="0" w:num="1">
            <w:col w:w="10219"/>
          </w:cols>
          <w:pgMar w:left="240" w:top="121" w:right="1440" w:bottom="0" w:gutter="0" w:footer="0" w:header="0"/>
        </w:sectPr>
      </w:pPr>
    </w:p>
    <w:bookmarkStart w:id="3" w:name="page4"/>
    <w:bookmarkEnd w:id="3"/>
    <w:p>
      <w:pPr>
        <w:jc w:val="right"/>
        <w:ind w:right="3799"/>
        <w:spacing w:after="0"/>
        <w:rPr>
          <w:sz w:val="20"/>
          <w:szCs w:val="20"/>
          <w:color w:val="auto"/>
        </w:rPr>
      </w:pPr>
      <w:r>
        <w:rPr>
          <w:rFonts w:ascii="Arial" w:cs="Arial" w:eastAsia="Arial" w:hAnsi="Arial"/>
          <w:sz w:val="20"/>
          <w:szCs w:val="20"/>
          <w:color w:val="auto"/>
        </w:rPr>
        <w:t>and Chief Compliance Officer</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Name/Title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regeneron pharmaceuticals inc a1 13g 123108.rtf</w:t>
      </w:r>
    </w:p>
    <w:sectPr>
      <w:pgSz w:w="11900" w:h="16838" w:orient="portrait"/>
      <w:cols w:equalWidth="0" w:num="1">
        <w:col w:w="10219"/>
      </w:cols>
      <w:pgMar w:left="2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2019-12-10T09:37:54Z</dcterms:created>
  <dcterms:modified xsi:type="dcterms:W3CDTF">2019-12-10T09:37:54Z</dcterms:modified>
</cp:coreProperties>
</file>