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13d-101)</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15)*</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Karen Linehan</w:t>
      </w:r>
    </w:p>
    <w:p>
      <w:pPr>
        <w:jc w:val="center"/>
        <w:ind w:right="-59"/>
        <w:spacing w:after="0" w:line="238" w:lineRule="auto"/>
        <w:rPr>
          <w:sz w:val="20"/>
          <w:szCs w:val="20"/>
          <w:color w:val="auto"/>
        </w:rPr>
      </w:pPr>
      <w:r>
        <w:rPr>
          <w:rFonts w:ascii="Arial" w:cs="Arial" w:eastAsia="Arial" w:hAnsi="Arial"/>
          <w:sz w:val="22"/>
          <w:szCs w:val="22"/>
          <w:color w:val="auto"/>
        </w:rPr>
        <w:t>Executive Vice President, Legal Affairs and General Counsel</w:t>
      </w:r>
    </w:p>
    <w:p>
      <w:pPr>
        <w:jc w:val="center"/>
        <w:ind w:right="-59"/>
        <w:spacing w:after="0" w:line="230" w:lineRule="auto"/>
        <w:rPr>
          <w:sz w:val="20"/>
          <w:szCs w:val="20"/>
          <w:color w:val="auto"/>
        </w:rPr>
      </w:pPr>
      <w:r>
        <w:rPr>
          <w:rFonts w:ascii="Arial" w:cs="Arial" w:eastAsia="Arial" w:hAnsi="Arial"/>
          <w:sz w:val="22"/>
          <w:szCs w:val="22"/>
          <w:color w:val="auto"/>
        </w:rPr>
        <w:t>Sanofi</w:t>
      </w:r>
    </w:p>
    <w:p>
      <w:pPr>
        <w:jc w:val="center"/>
        <w:ind w:right="-59"/>
        <w:spacing w:after="0" w:line="231" w:lineRule="auto"/>
        <w:rPr>
          <w:sz w:val="20"/>
          <w:szCs w:val="20"/>
          <w:color w:val="auto"/>
        </w:rPr>
      </w:pPr>
      <w:r>
        <w:rPr>
          <w:rFonts w:ascii="Arial" w:cs="Arial" w:eastAsia="Arial" w:hAnsi="Arial"/>
          <w:sz w:val="22"/>
          <w:szCs w:val="22"/>
          <w:color w:val="auto"/>
        </w:rPr>
        <w:t>54, rue La Boétie, 75008</w:t>
      </w:r>
    </w:p>
    <w:p>
      <w:pPr>
        <w:jc w:val="center"/>
        <w:ind w:right="-59"/>
        <w:spacing w:after="0" w:line="230" w:lineRule="auto"/>
        <w:rPr>
          <w:sz w:val="20"/>
          <w:szCs w:val="20"/>
          <w:color w:val="auto"/>
        </w:rPr>
      </w:pPr>
      <w:r>
        <w:rPr>
          <w:rFonts w:ascii="Arial" w:cs="Arial" w:eastAsia="Arial" w:hAnsi="Arial"/>
          <w:sz w:val="22"/>
          <w:szCs w:val="22"/>
          <w:color w:val="auto"/>
        </w:rPr>
        <w:t>Paris, France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Telephone: +33 1 53 77 40 00</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i w:val="1"/>
          <w:iCs w:val="1"/>
          <w:color w:val="auto"/>
        </w:rPr>
        <w:t>Copy to:</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Michael J. Aiello, Esq.</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Weil, Gotshal &amp; Manges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767 Fifth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New York 10153</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May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78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i w:val="1"/>
          <w:iCs w:val="1"/>
          <w:color w:val="auto"/>
        </w:rPr>
        <w:t>Note</w:t>
      </w:r>
      <w:r>
        <w:rPr>
          <w:rFonts w:ascii="Arial" w:cs="Arial" w:eastAsia="Arial" w:hAnsi="Arial"/>
          <w:sz w:val="22"/>
          <w:szCs w:val="22"/>
          <w:color w:val="auto"/>
        </w:rPr>
        <w:t>. Schedules filed in paper format shall include a signed original and five copies of the schedule, including all exhibits.</w:t>
      </w:r>
      <w:r>
        <w:rPr>
          <w:rFonts w:ascii="Arial" w:cs="Arial" w:eastAsia="Arial" w:hAnsi="Arial"/>
          <w:sz w:val="22"/>
          <w:szCs w:val="22"/>
          <w:i w:val="1"/>
          <w:iCs w:val="1"/>
          <w:color w:val="auto"/>
        </w:rPr>
        <w:t xml:space="preserve"> See </w:t>
      </w:r>
      <w:r>
        <w:rPr>
          <w:rFonts w:ascii="Arial" w:cs="Arial" w:eastAsia="Arial" w:hAnsi="Arial"/>
          <w:sz w:val="22"/>
          <w:szCs w:val="22"/>
          <w:color w:val="auto"/>
        </w:rPr>
        <w:t>Rule 13d-7 for other parties to whom copies are to be sent.</w:t>
      </w:r>
    </w:p>
    <w:p>
      <w:pPr>
        <w:spacing w:after="0" w:line="202" w:lineRule="exact"/>
        <w:rPr>
          <w:sz w:val="24"/>
          <w:szCs w:val="24"/>
          <w:color w:val="auto"/>
        </w:rPr>
      </w:pPr>
    </w:p>
    <w:p>
      <w:pPr>
        <w:jc w:val="both"/>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color w:val="auto"/>
        </w:rPr>
        <w:t>13D</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Sanofi</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rPr>
              <w:t>SOURCE OF FUNDS Not Applicable</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rPr>
              <w:t>The Republic of France</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23,221,451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400,000 (1)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23,221,451 (1)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21.0% (1)(2)</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CO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firstLine="8"/>
        <w:spacing w:after="0" w:line="273" w:lineRule="auto"/>
        <w:tabs>
          <w:tab w:leader="none" w:pos="780" w:val="left"/>
        </w:tabs>
        <w:numPr>
          <w:ilvl w:val="0"/>
          <w:numId w:val="1"/>
        </w:numPr>
        <w:rPr>
          <w:rFonts w:ascii="Arial" w:cs="Arial" w:eastAsia="Arial" w:hAnsi="Arial"/>
          <w:sz w:val="19"/>
          <w:szCs w:val="19"/>
          <w:color w:val="auto"/>
        </w:rPr>
      </w:pPr>
      <w:r>
        <w:rPr>
          <w:rFonts w:ascii="Arial" w:cs="Arial" w:eastAsia="Arial" w:hAnsi="Arial"/>
          <w:sz w:val="19"/>
          <w:szCs w:val="19"/>
          <w:color w:val="auto"/>
        </w:rPr>
        <w:t>As of May 29, 2020, Sanofi directly held 0 shares of Common Stock and Aventisub LLC (the successor by merger to Aventis Pharmaceuticals Inc. (“</w:t>
      </w:r>
      <w:r>
        <w:rPr>
          <w:rFonts w:ascii="Arial" w:cs="Arial" w:eastAsia="Arial" w:hAnsi="Arial"/>
          <w:sz w:val="19"/>
          <w:szCs w:val="19"/>
          <w:u w:val="single" w:color="auto"/>
          <w:color w:val="auto"/>
        </w:rPr>
        <w:t>Aventis</w:t>
      </w:r>
      <w:r>
        <w:rPr>
          <w:rFonts w:ascii="Arial" w:cs="Arial" w:eastAsia="Arial" w:hAnsi="Arial"/>
          <w:sz w:val="19"/>
          <w:szCs w:val="19"/>
          <w:color w:val="auto"/>
        </w:rPr>
        <w:t>”) and an indirect, wholly-owned subsidiary of Sanofi (“</w:t>
      </w:r>
      <w:r>
        <w:rPr>
          <w:rFonts w:ascii="Arial" w:cs="Arial" w:eastAsia="Arial" w:hAnsi="Arial"/>
          <w:sz w:val="19"/>
          <w:szCs w:val="19"/>
          <w:u w:val="single" w:color="auto"/>
          <w:color w:val="auto"/>
        </w:rPr>
        <w:t>Aventisub</w:t>
      </w:r>
      <w:r>
        <w:rPr>
          <w:rFonts w:ascii="Arial" w:cs="Arial" w:eastAsia="Arial" w:hAnsi="Arial"/>
          <w:sz w:val="19"/>
          <w:szCs w:val="19"/>
          <w:color w:val="auto"/>
        </w:rPr>
        <w:t>”)), directly held 400,000 shares of Common Stock, which reflects the sales of shares described in Item 4 of this Amendment No. 15. However, as of April 14, 2020, the record date for the annual meeting of stockholders of Regeneron Pharmaceuticals, Inc. (the “</w:t>
      </w:r>
      <w:r>
        <w:rPr>
          <w:rFonts w:ascii="Arial" w:cs="Arial" w:eastAsia="Arial" w:hAnsi="Arial"/>
          <w:sz w:val="19"/>
          <w:szCs w:val="19"/>
          <w:u w:val="single" w:color="auto"/>
          <w:color w:val="auto"/>
        </w:rPr>
        <w:t>Company</w:t>
      </w:r>
      <w:r>
        <w:rPr>
          <w:rFonts w:ascii="Arial" w:cs="Arial" w:eastAsia="Arial" w:hAnsi="Arial"/>
          <w:sz w:val="19"/>
          <w:szCs w:val="19"/>
          <w:color w:val="auto"/>
        </w:rPr>
        <w:t>”) to be held on June, 12, 2020 (the “</w:t>
      </w:r>
      <w:r>
        <w:rPr>
          <w:rFonts w:ascii="Arial" w:cs="Arial" w:eastAsia="Arial" w:hAnsi="Arial"/>
          <w:sz w:val="19"/>
          <w:szCs w:val="19"/>
          <w:u w:val="single" w:color="auto"/>
          <w:color w:val="auto"/>
        </w:rPr>
        <w:t>2020 Annual Meeting</w:t>
      </w:r>
      <w:r>
        <w:rPr>
          <w:rFonts w:ascii="Arial" w:cs="Arial" w:eastAsia="Arial" w:hAnsi="Arial"/>
          <w:sz w:val="19"/>
          <w:szCs w:val="19"/>
          <w:color w:val="auto"/>
        </w:rPr>
        <w:t>”), Sanofi directly held 20,421,899 shares of Common Stock and Aventisub directly held 2,799,552 shares of Common Stock. Consequently, Sanofi may be deemed the beneficial owner of such shares until the conclusion of the 2020 Annual Meeting because of Sanofi’s continued voting power up until that time. Pursuant to the Amended and Restated Investor Agreement, dated as of January 11, 2014, by and among Sanofi, sanofi-aventis US LLC, Aventis, sanofi-aventis Amérique du Nord (collectively, the “</w:t>
      </w:r>
      <w:r>
        <w:rPr>
          <w:rFonts w:ascii="Arial" w:cs="Arial" w:eastAsia="Arial" w:hAnsi="Arial"/>
          <w:sz w:val="19"/>
          <w:szCs w:val="19"/>
          <w:u w:val="single" w:color="auto"/>
          <w:color w:val="auto"/>
        </w:rPr>
        <w:t>Sanofi Parties</w:t>
      </w:r>
      <w:r>
        <w:rPr>
          <w:rFonts w:ascii="Arial" w:cs="Arial" w:eastAsia="Arial" w:hAnsi="Arial"/>
          <w:sz w:val="19"/>
          <w:szCs w:val="19"/>
          <w:color w:val="auto"/>
        </w:rPr>
        <w:t>”) and the Company, as amended, the Sanofi Parties agreed to vote their respective shares of the Company, subject to specified exceptions, in accordance with the recommendation of the Company’s Board of Directors. See Item 5 of the Schedule 13D.</w:t>
      </w:r>
    </w:p>
    <w:p>
      <w:pPr>
        <w:spacing w:after="0" w:line="182" w:lineRule="exact"/>
        <w:rPr>
          <w:rFonts w:ascii="Arial" w:cs="Arial" w:eastAsia="Arial" w:hAnsi="Arial"/>
          <w:sz w:val="19"/>
          <w:szCs w:val="19"/>
          <w:color w:val="auto"/>
        </w:rPr>
      </w:pPr>
    </w:p>
    <w:p>
      <w:pPr>
        <w:ind w:right="140" w:firstLine="8"/>
        <w:spacing w:after="0" w:line="287" w:lineRule="auto"/>
        <w:tabs>
          <w:tab w:leader="none" w:pos="792" w:val="left"/>
        </w:tabs>
        <w:numPr>
          <w:ilvl w:val="0"/>
          <w:numId w:val="1"/>
        </w:numPr>
        <w:rPr>
          <w:rFonts w:ascii="Arial" w:cs="Arial" w:eastAsia="Arial" w:hAnsi="Arial"/>
          <w:sz w:val="19"/>
          <w:szCs w:val="19"/>
          <w:color w:val="auto"/>
        </w:rPr>
      </w:pPr>
      <w:r>
        <w:rPr>
          <w:rFonts w:ascii="Arial" w:cs="Arial" w:eastAsia="Arial" w:hAnsi="Arial"/>
          <w:sz w:val="19"/>
          <w:szCs w:val="19"/>
          <w:color w:val="auto"/>
        </w:rPr>
        <w:t>Calculation based on 110,673,311 shares of Common Stock outstanding as of April 14, 2020, as reported in the Company’s Quarterly Report on Form 10-Q (the “</w:t>
      </w:r>
      <w:r>
        <w:rPr>
          <w:rFonts w:ascii="Arial" w:cs="Arial" w:eastAsia="Arial" w:hAnsi="Arial"/>
          <w:sz w:val="19"/>
          <w:szCs w:val="19"/>
          <w:u w:val="single" w:color="auto"/>
          <w:color w:val="auto"/>
        </w:rPr>
        <w:t>First Quarter 10-Q</w:t>
      </w:r>
      <w:r>
        <w:rPr>
          <w:rFonts w:ascii="Arial" w:cs="Arial" w:eastAsia="Arial" w:hAnsi="Arial"/>
          <w:sz w:val="19"/>
          <w:szCs w:val="19"/>
          <w:color w:val="auto"/>
        </w:rPr>
        <w:t>”) filed with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on May 5, 2020. Without giving effect to Sanofi’s continued voting power up until the conclusion of the 2020 Annual Meeting, Sanofi would beneficially own less than 1% of the shares of Common Stock outstanding as of May 29, 2020 (based on</w:t>
      </w:r>
    </w:p>
    <w:p>
      <w:pPr>
        <w:sectPr>
          <w:pgSz w:w="11900" w:h="16838" w:orient="portrait"/>
          <w:cols w:equalWidth="0" w:num="1">
            <w:col w:w="11240"/>
          </w:cols>
          <w:pgMar w:left="320" w:top="118" w:right="339" w:bottom="0" w:gutter="0" w:footer="0" w:header="0"/>
        </w:sectPr>
      </w:pPr>
    </w:p>
    <w:bookmarkStart w:id="2" w:name="page3"/>
    <w:bookmarkEnd w:id="2"/>
    <w:p>
      <w:pPr>
        <w:ind w:left="-8" w:firstLine="8"/>
        <w:spacing w:after="0" w:line="251" w:lineRule="auto"/>
        <w:tabs>
          <w:tab w:leader="none" w:pos="250" w:val="left"/>
        </w:tabs>
        <w:numPr>
          <w:ilvl w:val="0"/>
          <w:numId w:val="2"/>
        </w:numPr>
        <w:rPr>
          <w:rFonts w:ascii="Arial" w:cs="Arial" w:eastAsia="Arial" w:hAnsi="Arial"/>
          <w:sz w:val="22"/>
          <w:szCs w:val="22"/>
          <w:color w:val="auto"/>
        </w:rPr>
      </w:pPr>
      <w:r>
        <w:rPr>
          <w:rFonts w:ascii="Arial" w:cs="Arial" w:eastAsia="Arial" w:hAnsi="Arial"/>
          <w:sz w:val="22"/>
          <w:szCs w:val="22"/>
          <w:color w:val="auto"/>
        </w:rPr>
        <w:t>110,673,311 shares of Common Stock, as reported in the First Quarter 10-Q, minus (ii) 9,806,805 shares of Common Stock, which reflects the Issuer’s Repurchase (as described in Item 4 of this Amendment No. 15)).</w:t>
      </w:r>
    </w:p>
    <w:p>
      <w:pPr>
        <w:spacing w:after="0" w:line="379" w:lineRule="exact"/>
        <w:rPr>
          <w:sz w:val="20"/>
          <w:szCs w:val="20"/>
          <w:color w:val="auto"/>
        </w:rPr>
      </w:pPr>
    </w:p>
    <w:p>
      <w:pPr>
        <w:jc w:val="center"/>
        <w:ind w:right="-25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72"/>
          </w:cols>
          <w:pgMar w:left="328" w:top="118" w:right="599" w:bottom="1440" w:gutter="0" w:footer="0" w:header="0"/>
        </w:sectPr>
      </w:pPr>
    </w:p>
    <w:bookmarkStart w:id="3" w:name="page4"/>
    <w:bookmarkEnd w:id="3"/>
    <w:p>
      <w:pPr>
        <w:ind w:right="160"/>
        <w:spacing w:after="0" w:line="236" w:lineRule="auto"/>
        <w:rPr>
          <w:sz w:val="20"/>
          <w:szCs w:val="20"/>
          <w:color w:val="auto"/>
        </w:rPr>
      </w:pPr>
      <w:r>
        <w:rPr>
          <w:rFonts w:ascii="Arial" w:cs="Arial" w:eastAsia="Arial" w:hAnsi="Arial"/>
          <w:sz w:val="22"/>
          <w:szCs w:val="22"/>
          <w:color w:val="auto"/>
        </w:rPr>
        <w:t>This Amendment No. 15 (“</w:t>
      </w:r>
      <w:r>
        <w:rPr>
          <w:rFonts w:ascii="Arial" w:cs="Arial" w:eastAsia="Arial" w:hAnsi="Arial"/>
          <w:sz w:val="22"/>
          <w:szCs w:val="22"/>
          <w:u w:val="single" w:color="auto"/>
          <w:color w:val="auto"/>
        </w:rPr>
        <w:t>Amendment No. 15</w:t>
      </w:r>
      <w:r>
        <w:rPr>
          <w:rFonts w:ascii="Arial" w:cs="Arial" w:eastAsia="Arial" w:hAnsi="Arial"/>
          <w:sz w:val="22"/>
          <w:szCs w:val="22"/>
          <w:color w:val="auto"/>
        </w:rPr>
        <w:t>”) amends the Statement on Schedule 13D first filed with the Securities and Exchange Commission (the “</w:t>
      </w:r>
      <w:r>
        <w:rPr>
          <w:rFonts w:ascii="Arial" w:cs="Arial" w:eastAsia="Arial" w:hAnsi="Arial"/>
          <w:sz w:val="22"/>
          <w:szCs w:val="22"/>
          <w:u w:val="single" w:color="auto"/>
          <w:color w:val="auto"/>
        </w:rPr>
        <w:t>SEC</w:t>
      </w:r>
      <w:r>
        <w:rPr>
          <w:rFonts w:ascii="Arial" w:cs="Arial" w:eastAsia="Arial" w:hAnsi="Arial"/>
          <w:sz w:val="22"/>
          <w:szCs w:val="22"/>
          <w:color w:val="auto"/>
        </w:rPr>
        <w:t>”) on January 14, 2014, as amended (the “</w:t>
      </w:r>
      <w:r>
        <w:rPr>
          <w:rFonts w:ascii="Arial" w:cs="Arial" w:eastAsia="Arial" w:hAnsi="Arial"/>
          <w:sz w:val="22"/>
          <w:szCs w:val="22"/>
          <w:u w:val="single" w:color="auto"/>
          <w:color w:val="auto"/>
        </w:rPr>
        <w:t>Schedule 13D</w:t>
      </w:r>
      <w:r>
        <w:rPr>
          <w:rFonts w:ascii="Arial" w:cs="Arial" w:eastAsia="Arial" w:hAnsi="Arial"/>
          <w:sz w:val="22"/>
          <w:szCs w:val="22"/>
          <w:color w:val="auto"/>
        </w:rPr>
        <w:t>”), and is filed by Sanofi (“</w:t>
      </w:r>
      <w:r>
        <w:rPr>
          <w:rFonts w:ascii="Arial" w:cs="Arial" w:eastAsia="Arial" w:hAnsi="Arial"/>
          <w:sz w:val="22"/>
          <w:szCs w:val="22"/>
          <w:u w:val="single" w:color="auto"/>
          <w:color w:val="auto"/>
        </w:rPr>
        <w:t>Sanofi</w:t>
      </w:r>
      <w:r>
        <w:rPr>
          <w:rFonts w:ascii="Arial" w:cs="Arial" w:eastAsia="Arial" w:hAnsi="Arial"/>
          <w:sz w:val="22"/>
          <w:szCs w:val="22"/>
          <w:color w:val="auto"/>
        </w:rPr>
        <w:t>” or the “</w:t>
      </w:r>
      <w:r>
        <w:rPr>
          <w:rFonts w:ascii="Arial" w:cs="Arial" w:eastAsia="Arial" w:hAnsi="Arial"/>
          <w:sz w:val="22"/>
          <w:szCs w:val="22"/>
          <w:u w:val="single" w:color="auto"/>
          <w:color w:val="auto"/>
        </w:rPr>
        <w:t>Reporting Person</w:t>
      </w:r>
      <w:r>
        <w:rPr>
          <w:rFonts w:ascii="Arial" w:cs="Arial" w:eastAsia="Arial" w:hAnsi="Arial"/>
          <w:sz w:val="22"/>
          <w:szCs w:val="22"/>
          <w:color w:val="auto"/>
        </w:rPr>
        <w:t>”) with respect to the common stock, $0.001 par value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of Regeneron Pharmaceuticals, Inc. (the “</w:t>
      </w:r>
      <w:r>
        <w:rPr>
          <w:rFonts w:ascii="Arial" w:cs="Arial" w:eastAsia="Arial" w:hAnsi="Arial"/>
          <w:sz w:val="22"/>
          <w:szCs w:val="22"/>
          <w:u w:val="single" w:color="auto"/>
          <w:color w:val="auto"/>
        </w:rPr>
        <w:t>Issuer</w:t>
      </w:r>
      <w:r>
        <w:rPr>
          <w:rFonts w:ascii="Arial" w:cs="Arial" w:eastAsia="Arial" w:hAnsi="Arial"/>
          <w:sz w:val="22"/>
          <w:szCs w:val="22"/>
          <w:color w:val="auto"/>
        </w:rPr>
        <w:t>” or the “</w:t>
      </w:r>
      <w:r>
        <w:rPr>
          <w:rFonts w:ascii="Arial" w:cs="Arial" w:eastAsia="Arial" w:hAnsi="Arial"/>
          <w:sz w:val="22"/>
          <w:szCs w:val="22"/>
          <w:u w:val="single" w:color="auto"/>
          <w:color w:val="auto"/>
        </w:rPr>
        <w:t>Company</w:t>
      </w:r>
      <w:r>
        <w:rPr>
          <w:rFonts w:ascii="Arial" w:cs="Arial" w:eastAsia="Arial" w:hAnsi="Arial"/>
          <w:sz w:val="22"/>
          <w:szCs w:val="22"/>
          <w:color w:val="auto"/>
        </w:rPr>
        <w:t>”). Capitalized terms used herein but not otherwise defined herein have the meanings given to them in the Schedule 13D.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2 of the Schedule 13D is supplemented as follows:</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Schedule I of the Schedule 13D is replaced with Schedule I to this Amendment No. 15. During the last five years, to the best of the Reporting Person’s knowledge, none of the Scheduled Persons has been (1) convicted in a criminal proceeding (excluding traffic violations and other similar misdemeanors) or (2)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4 of the Schedule 13D is supplemented as follows:</w:t>
      </w:r>
    </w:p>
    <w:p>
      <w:pPr>
        <w:spacing w:after="0" w:line="233"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On May 29, 2020, Sanofi and Aventisub LLC, an indirect, wholly-owned subsidiary of Sanofi (“</w:t>
      </w:r>
      <w:r>
        <w:rPr>
          <w:rFonts w:ascii="Arial" w:cs="Arial" w:eastAsia="Arial" w:hAnsi="Arial"/>
          <w:sz w:val="22"/>
          <w:szCs w:val="22"/>
          <w:u w:val="single" w:color="auto"/>
          <w:color w:val="auto"/>
        </w:rPr>
        <w:t>Aventisub</w:t>
      </w:r>
      <w:r>
        <w:rPr>
          <w:rFonts w:ascii="Arial" w:cs="Arial" w:eastAsia="Arial" w:hAnsi="Arial"/>
          <w:sz w:val="22"/>
          <w:szCs w:val="22"/>
          <w:color w:val="auto"/>
        </w:rPr>
        <w:t>”), consummated the sale of an aggregate of 13,014,646 shares of Common Stock at $509.85 per share (13,014,646 shares in a registered public offering to the underwriters (the “</w:t>
      </w:r>
      <w:r>
        <w:rPr>
          <w:rFonts w:ascii="Arial" w:cs="Arial" w:eastAsia="Arial" w:hAnsi="Arial"/>
          <w:sz w:val="22"/>
          <w:szCs w:val="22"/>
          <w:u w:val="single" w:color="auto"/>
          <w:color w:val="auto"/>
        </w:rPr>
        <w:t>Offering</w:t>
      </w:r>
      <w:r>
        <w:rPr>
          <w:rFonts w:ascii="Arial" w:cs="Arial" w:eastAsia="Arial" w:hAnsi="Arial"/>
          <w:sz w:val="22"/>
          <w:szCs w:val="22"/>
          <w:color w:val="auto"/>
        </w:rPr>
        <w:t>”) and 9,806,805 shares in a private sale to the Company (the “</w:t>
      </w:r>
      <w:r>
        <w:rPr>
          <w:rFonts w:ascii="Arial" w:cs="Arial" w:eastAsia="Arial" w:hAnsi="Arial"/>
          <w:sz w:val="22"/>
          <w:szCs w:val="22"/>
          <w:u w:val="single" w:color="auto"/>
          <w:color w:val="auto"/>
        </w:rPr>
        <w:t>Repurchase</w:t>
      </w:r>
      <w:r>
        <w:rPr>
          <w:rFonts w:ascii="Arial" w:cs="Arial" w:eastAsia="Arial" w:hAnsi="Arial"/>
          <w:sz w:val="22"/>
          <w:szCs w:val="22"/>
          <w:color w:val="auto"/>
        </w:rPr>
        <w:t>”)). Specifically, Sanofi sold 10,615,094 shares in the Offering and 9,806,805 shares to the Company, and Aventisub sold 2,399,552 shares in the Offering.</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On May 29, 2020, upon the consummation of the Offering and the Repurchase, an amendment, dated May 25, 2020 (the</w:t>
      </w:r>
    </w:p>
    <w:p>
      <w:pPr>
        <w:spacing w:after="0" w:line="20"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Letter Agreement</w:t>
      </w:r>
      <w:r>
        <w:rPr>
          <w:rFonts w:ascii="Arial" w:cs="Arial" w:eastAsia="Arial" w:hAnsi="Arial"/>
          <w:sz w:val="19"/>
          <w:szCs w:val="19"/>
          <w:color w:val="auto"/>
        </w:rPr>
        <w:t>”), to the Amended and Restated Investor Agreement, dated as of January 11, 2014, as amended (the “</w:t>
      </w:r>
      <w:r>
        <w:rPr>
          <w:rFonts w:ascii="Arial" w:cs="Arial" w:eastAsia="Arial" w:hAnsi="Arial"/>
          <w:sz w:val="19"/>
          <w:szCs w:val="19"/>
          <w:u w:val="single" w:color="auto"/>
          <w:color w:val="auto"/>
        </w:rPr>
        <w:t>Investor Agreement</w:t>
      </w:r>
      <w:r>
        <w:rPr>
          <w:rFonts w:ascii="Arial" w:cs="Arial" w:eastAsia="Arial" w:hAnsi="Arial"/>
          <w:sz w:val="19"/>
          <w:szCs w:val="19"/>
          <w:color w:val="auto"/>
        </w:rPr>
        <w:t>”), became effective. The Amendment Letter Agreement, which is among Sanofi, sanofi-aventis US LLC, Aventisub (collectively, the “</w:t>
      </w:r>
      <w:r>
        <w:rPr>
          <w:rFonts w:ascii="Arial" w:cs="Arial" w:eastAsia="Arial" w:hAnsi="Arial"/>
          <w:sz w:val="19"/>
          <w:szCs w:val="19"/>
          <w:u w:val="single" w:color="auto"/>
          <w:color w:val="auto"/>
        </w:rPr>
        <w:t>Sanofi Entities</w:t>
      </w:r>
      <w:r>
        <w:rPr>
          <w:rFonts w:ascii="Arial" w:cs="Arial" w:eastAsia="Arial" w:hAnsi="Arial"/>
          <w:sz w:val="19"/>
          <w:szCs w:val="19"/>
          <w:color w:val="auto"/>
        </w:rPr>
        <w:t>”), and the Company provides, among other things, that: (1) the “standstill” provisions in the Investor Agreement, which contractually prohibit Sanofi from seeking to directly or indirectly exert control of the Company, will continue to apply pursuant to their terms; (2) Sanofi will no longer have the right to designate an independent board member for the Company’s board of directors (though, the termination of Sanofi’s board designation right will not impact the term of the current Sanofi designee, N. Anthony Coles, M.D.); (3) the voting commitments contained in the Investor Agreement will continue to apply to shares of Common Stock held by Sanofi and its affiliates for so long as such shares are held by them; (4) Sanofi and its affiliates will no longer have registration rights with respect to shares of Common Stock held by them as provided in the Investor Agreement; (5) the information rights and pre-emptive rights provided to Sanofi and its affiliates under the Investor Agreement will no longer apply; and (6) the restrictions on transfer in the Investor Agreement will continue to apply to the shares of Common Stock held by Sanofi and its affiliates until December 20, 2020 (except those shares may be used to satisfy certain funding obligations of Sanofi under the companies' existing collaborations).</w:t>
      </w:r>
    </w:p>
    <w:p>
      <w:pPr>
        <w:spacing w:after="0" w:line="189" w:lineRule="exact"/>
        <w:rPr>
          <w:sz w:val="20"/>
          <w:szCs w:val="20"/>
          <w:color w:val="auto"/>
        </w:rPr>
      </w:pPr>
    </w:p>
    <w:p>
      <w:pPr>
        <w:ind w:right="1080"/>
        <w:spacing w:after="0" w:line="250" w:lineRule="auto"/>
        <w:rPr>
          <w:sz w:val="20"/>
          <w:szCs w:val="20"/>
          <w:color w:val="auto"/>
        </w:rPr>
      </w:pPr>
      <w:r>
        <w:rPr>
          <w:rFonts w:ascii="Arial" w:cs="Arial" w:eastAsia="Arial" w:hAnsi="Arial"/>
          <w:sz w:val="22"/>
          <w:szCs w:val="22"/>
          <w:color w:val="auto"/>
        </w:rPr>
        <w:t>In connection with the Offering, Sanofi and Aventisub entered into a customary 90-day “lock-up” agreement with the underwriters, dated May 25, 2020 (the “</w:t>
      </w:r>
      <w:r>
        <w:rPr>
          <w:rFonts w:ascii="Arial" w:cs="Arial" w:eastAsia="Arial" w:hAnsi="Arial"/>
          <w:sz w:val="22"/>
          <w:szCs w:val="22"/>
          <w:u w:val="single" w:color="auto"/>
          <w:color w:val="auto"/>
        </w:rPr>
        <w:t>Lock-up Agreement</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under Item 6 of this Amendment No. 15 is incorporated herein by reference.</w:t>
      </w:r>
    </w:p>
    <w:p>
      <w:pPr>
        <w:spacing w:after="0" w:line="233"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The descriptions of the Amendment Letter Agreement and Lock-up Agreement as described in this Item 4 do not purport to be complete and are qualified in their entirety by reference to the Amendment Letter Agreement and Lock-up Agreement, which included in this Statement as Exhibit 99.5 and Exhibit 99.6, respectively, and are incorporated herein by reference.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5. Interests in the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5 of the Schedule 13D is supplemented as follows:</w:t>
      </w:r>
    </w:p>
    <w:p>
      <w:pPr>
        <w:spacing w:after="0" w:line="233" w:lineRule="exact"/>
        <w:rPr>
          <w:sz w:val="20"/>
          <w:szCs w:val="20"/>
          <w:color w:val="auto"/>
        </w:rPr>
      </w:pPr>
    </w:p>
    <w:p>
      <w:pPr>
        <w:ind w:right="120" w:firstLine="876"/>
        <w:spacing w:after="0" w:line="297" w:lineRule="auto"/>
        <w:tabs>
          <w:tab w:leader="none" w:pos="1162" w:val="left"/>
        </w:tabs>
        <w:numPr>
          <w:ilvl w:val="0"/>
          <w:numId w:val="3"/>
        </w:numPr>
        <w:rPr>
          <w:rFonts w:ascii="Arial" w:cs="Arial" w:eastAsia="Arial" w:hAnsi="Arial"/>
          <w:sz w:val="19"/>
          <w:szCs w:val="19"/>
          <w:color w:val="auto"/>
        </w:rPr>
      </w:pPr>
      <w:r>
        <w:rPr>
          <w:rFonts w:ascii="Arial" w:cs="Arial" w:eastAsia="Arial" w:hAnsi="Arial"/>
          <w:sz w:val="19"/>
          <w:szCs w:val="19"/>
          <w:color w:val="auto"/>
        </w:rPr>
        <w:t>and (b) The responses of the Reporting Person to Rows (7) through (13) of the cover page of this Amendment No. 15 as of May 29, 2020, are incorporated herein by reference. The Reporting Person may be deemed to have shared voting and dispositive power with respect to the shares of Common Stock directly owned by Aventisub, its subsidiary.</w:t>
      </w:r>
    </w:p>
    <w:p>
      <w:pPr>
        <w:spacing w:after="0" w:line="161" w:lineRule="exact"/>
        <w:rPr>
          <w:sz w:val="20"/>
          <w:szCs w:val="20"/>
          <w:color w:val="auto"/>
        </w:rPr>
      </w:pPr>
    </w:p>
    <w:p>
      <w:pPr>
        <w:ind w:firstLine="868"/>
        <w:spacing w:after="0" w:line="248" w:lineRule="auto"/>
        <w:rPr>
          <w:sz w:val="20"/>
          <w:szCs w:val="20"/>
          <w:color w:val="auto"/>
        </w:rPr>
      </w:pPr>
      <w:r>
        <w:rPr>
          <w:rFonts w:ascii="Arial" w:cs="Arial" w:eastAsia="Arial" w:hAnsi="Arial"/>
          <w:sz w:val="21"/>
          <w:szCs w:val="21"/>
          <w:color w:val="auto"/>
        </w:rPr>
        <w:t>As described in footnote (1) to the cover page of this Amendment 15, the shares of Common Stock beneficially owned by the Reporting Person as set forth on the cover page of this Amendment No. 15 continues to include a total of 22,821,451 shares of Common Stock sold by Sanofi and Aventisub in the Offering and the Repurchase described above in Item 4 because Sanofi and Aventisub were the owners of such shares on the record date for the 2020 Annual Meeting and therefore the Reporting Person may be deemed the beneficial owner of such shares until the conclusion of the 2020 Annual Meeting because of its continued voting power up until that time.</w:t>
      </w:r>
    </w:p>
    <w:p>
      <w:pPr>
        <w:spacing w:after="0" w:line="204" w:lineRule="exact"/>
        <w:rPr>
          <w:sz w:val="20"/>
          <w:szCs w:val="20"/>
          <w:color w:val="auto"/>
        </w:rPr>
      </w:pPr>
    </w:p>
    <w:p>
      <w:pPr>
        <w:ind w:right="240" w:firstLine="868"/>
        <w:spacing w:after="0" w:line="328" w:lineRule="auto"/>
        <w:rPr>
          <w:sz w:val="20"/>
          <w:szCs w:val="20"/>
          <w:color w:val="auto"/>
        </w:rPr>
      </w:pPr>
      <w:r>
        <w:rPr>
          <w:rFonts w:ascii="Arial" w:cs="Arial" w:eastAsia="Arial" w:hAnsi="Arial"/>
          <w:sz w:val="19"/>
          <w:szCs w:val="19"/>
          <w:color w:val="auto"/>
        </w:rPr>
        <w:t>Pursuant to the Investor Agreement, the Sanofi Parties have agreed to vote their respective shares of Common Stock, subject to specified exceptions, in accordance with the recommendation of the Company’s Board of Directors.</w:t>
      </w:r>
    </w:p>
    <w:p>
      <w:pPr>
        <w:spacing w:after="0" w:line="132" w:lineRule="exact"/>
        <w:rPr>
          <w:sz w:val="20"/>
          <w:szCs w:val="20"/>
          <w:color w:val="auto"/>
        </w:rPr>
      </w:pPr>
    </w:p>
    <w:p>
      <w:pPr>
        <w:ind w:right="480" w:firstLine="868"/>
        <w:spacing w:after="0" w:line="274" w:lineRule="auto"/>
        <w:rPr>
          <w:sz w:val="20"/>
          <w:szCs w:val="20"/>
          <w:color w:val="auto"/>
        </w:rPr>
      </w:pPr>
      <w:r>
        <w:rPr>
          <w:rFonts w:ascii="Arial" w:cs="Arial" w:eastAsia="Arial" w:hAnsi="Arial"/>
          <w:sz w:val="21"/>
          <w:szCs w:val="21"/>
          <w:color w:val="auto"/>
        </w:rPr>
        <w:t>To the Reporting Person’s knowledge, none of the directors or executive officers of the Reporting Person listed on Schedule I to the Schedule 13D beneficially owns any shares of Common Stock as May 29, 2020.</w:t>
      </w:r>
    </w:p>
    <w:p>
      <w:pPr>
        <w:spacing w:after="0" w:line="178" w:lineRule="exact"/>
        <w:rPr>
          <w:sz w:val="20"/>
          <w:szCs w:val="20"/>
          <w:color w:val="auto"/>
        </w:rPr>
      </w:pPr>
    </w:p>
    <w:p>
      <w:pPr>
        <w:ind w:firstLine="876"/>
        <w:spacing w:after="0" w:line="250" w:lineRule="auto"/>
        <w:tabs>
          <w:tab w:leader="none" w:pos="1216" w:val="left"/>
        </w:tabs>
        <w:numPr>
          <w:ilvl w:val="0"/>
          <w:numId w:val="4"/>
        </w:numPr>
        <w:rPr>
          <w:rFonts w:ascii="Arial" w:cs="Arial" w:eastAsia="Arial" w:hAnsi="Arial"/>
          <w:sz w:val="22"/>
          <w:szCs w:val="22"/>
          <w:color w:val="auto"/>
        </w:rPr>
      </w:pPr>
      <w:r>
        <w:rPr>
          <w:rFonts w:ascii="Arial" w:cs="Arial" w:eastAsia="Arial" w:hAnsi="Arial"/>
          <w:sz w:val="22"/>
          <w:szCs w:val="22"/>
          <w:color w:val="auto"/>
        </w:rPr>
        <w:t>During the last sixty days through and including May 29, 2020, no transactions were effected in the Common Stock by the Reporting Person except as disclosed in Item 4 of this Amendment No. 15.</w:t>
      </w:r>
    </w:p>
    <w:p>
      <w:pPr>
        <w:spacing w:after="0" w:line="202" w:lineRule="exact"/>
        <w:rPr>
          <w:sz w:val="20"/>
          <w:szCs w:val="20"/>
          <w:color w:val="auto"/>
        </w:rPr>
      </w:pPr>
    </w:p>
    <w:p>
      <w:pPr>
        <w:ind w:right="480" w:firstLine="868"/>
        <w:spacing w:after="0" w:line="328" w:lineRule="auto"/>
        <w:rPr>
          <w:sz w:val="20"/>
          <w:szCs w:val="20"/>
          <w:color w:val="auto"/>
        </w:rPr>
      </w:pPr>
      <w:r>
        <w:rPr>
          <w:rFonts w:ascii="Arial" w:cs="Arial" w:eastAsia="Arial" w:hAnsi="Arial"/>
          <w:sz w:val="19"/>
          <w:szCs w:val="19"/>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132" w:lineRule="exact"/>
        <w:rPr>
          <w:sz w:val="20"/>
          <w:szCs w:val="20"/>
          <w:color w:val="auto"/>
        </w:rPr>
      </w:pPr>
    </w:p>
    <w:p>
      <w:pPr>
        <w:ind w:left="1200" w:hanging="369"/>
        <w:spacing w:after="0"/>
        <w:tabs>
          <w:tab w:leader="none" w:pos="12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3" w:lineRule="exact"/>
        <w:rPr>
          <w:rFonts w:ascii="Arial" w:cs="Arial" w:eastAsia="Arial" w:hAnsi="Arial"/>
          <w:sz w:val="22"/>
          <w:szCs w:val="22"/>
          <w:color w:val="auto"/>
        </w:rPr>
      </w:pPr>
    </w:p>
    <w:p>
      <w:pPr>
        <w:ind w:right="120" w:firstLine="831"/>
        <w:spacing w:after="0" w:line="328" w:lineRule="auto"/>
        <w:tabs>
          <w:tab w:leader="none" w:pos="1171" w:val="left"/>
        </w:tabs>
        <w:numPr>
          <w:ilvl w:val="0"/>
          <w:numId w:val="5"/>
        </w:numPr>
        <w:rPr>
          <w:rFonts w:ascii="Arial" w:cs="Arial" w:eastAsia="Arial" w:hAnsi="Arial"/>
          <w:sz w:val="19"/>
          <w:szCs w:val="19"/>
          <w:color w:val="auto"/>
        </w:rPr>
      </w:pPr>
      <w:r>
        <w:rPr>
          <w:rFonts w:ascii="Arial" w:cs="Arial" w:eastAsia="Arial" w:hAnsi="Arial"/>
          <w:sz w:val="19"/>
          <w:szCs w:val="19"/>
          <w:color w:val="auto"/>
        </w:rPr>
        <w:t>For the reason described above in this Item 5, at the conclusion of the 2020 Annual Meeting to be held on June 12, 2020, the Reporting Person will cease to be the beneficial owner of more than five percent of the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6 of Schedule 13D is supplemented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under Item 4 of this Amendment No. 15 is incorporated herein by reference.</w:t>
      </w:r>
    </w:p>
    <w:p>
      <w:pPr>
        <w:spacing w:after="0" w:line="233"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On May 25, 2020, the Company provided a limited waiver of lock-up obligations in the Investor Agreement to allow the Sanofi Entities to consummate the Offering and the Repurchase.</w:t>
      </w: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On May 26, 2020, in connection with Offering, Sanofi, Aventisub and the Issuer entered into an Underwriting Agreement (the “</w:t>
      </w:r>
      <w:r>
        <w:rPr>
          <w:rFonts w:ascii="Arial" w:cs="Arial" w:eastAsia="Arial" w:hAnsi="Arial"/>
          <w:sz w:val="21"/>
          <w:szCs w:val="21"/>
          <w:u w:val="single" w:color="auto"/>
          <w:color w:val="auto"/>
        </w:rPr>
        <w:t>Underwriting Agreement</w:t>
      </w:r>
      <w:r>
        <w:rPr>
          <w:rFonts w:ascii="Arial" w:cs="Arial" w:eastAsia="Arial" w:hAnsi="Arial"/>
          <w:sz w:val="21"/>
          <w:szCs w:val="21"/>
          <w:color w:val="auto"/>
        </w:rPr>
        <w:t>”) with certain underwriters, including BofA Securities, Inc. and Goldman Sachs &amp; Co. LLC (collectively, the “</w:t>
      </w:r>
      <w:r>
        <w:rPr>
          <w:rFonts w:ascii="Arial" w:cs="Arial" w:eastAsia="Arial" w:hAnsi="Arial"/>
          <w:sz w:val="21"/>
          <w:szCs w:val="21"/>
          <w:u w:val="single" w:color="auto"/>
          <w:color w:val="auto"/>
        </w:rPr>
        <w:t>Underwriters</w:t>
      </w:r>
      <w:r>
        <w:rPr>
          <w:rFonts w:ascii="Arial" w:cs="Arial" w:eastAsia="Arial" w:hAnsi="Arial"/>
          <w:sz w:val="21"/>
          <w:szCs w:val="21"/>
          <w:color w:val="auto"/>
        </w:rPr>
        <w:t>”). Pursuant to the Underwriting Agreement, Sanofi agreed to sell 10,615,094 shares of Common Stock and Aventisub agreed to sell 1,216,402 shares of the Common Stock to the Underwriters at a price of $509.85 per share. In addition, Sanofi and Aventisub granted the Underwriters an option to purchase up to an additional 1,183,150 shares of Common Stock in the aggregate, which option was fully exercised by the Underwriters.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ind w:right="160"/>
        <w:spacing w:after="0" w:line="252" w:lineRule="auto"/>
        <w:rPr>
          <w:sz w:val="20"/>
          <w:szCs w:val="20"/>
          <w:color w:val="auto"/>
        </w:rPr>
      </w:pPr>
      <w:r>
        <w:rPr>
          <w:rFonts w:ascii="Arial" w:cs="Arial" w:eastAsia="Arial" w:hAnsi="Arial"/>
          <w:sz w:val="21"/>
          <w:szCs w:val="21"/>
          <w:color w:val="auto"/>
        </w:rPr>
        <w:t>On May 25, 2020, Sanofi and the Issuer entered into a Stock Repurchase Agreement (the “</w:t>
      </w:r>
      <w:r>
        <w:rPr>
          <w:rFonts w:ascii="Arial" w:cs="Arial" w:eastAsia="Arial" w:hAnsi="Arial"/>
          <w:sz w:val="21"/>
          <w:szCs w:val="21"/>
          <w:u w:val="single" w:color="auto"/>
          <w:color w:val="auto"/>
        </w:rPr>
        <w:t>Stock Repurchase Agreement</w:t>
      </w:r>
      <w:r>
        <w:rPr>
          <w:rFonts w:ascii="Arial" w:cs="Arial" w:eastAsia="Arial" w:hAnsi="Arial"/>
          <w:sz w:val="21"/>
          <w:szCs w:val="21"/>
          <w:color w:val="auto"/>
        </w:rPr>
        <w:t>”), pursuant to which, and conditioned upon the closing of the Offering, the Company agreed to repurchase from Sanofi and Sanofi agreed to sell to the Company, a number of shares of Common Stock equal to $5 billion divided by the price at which the shares of Common Stock are sold to the public in the Offering, less the underwriting discount.</w:t>
      </w:r>
    </w:p>
    <w:p>
      <w:pPr>
        <w:spacing w:after="0" w:line="201"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The descriptions of the Underwriting Agreement and Stock Repurchase Agreement as set forth in this Item 6 do not purport to be complete and are qualified in their entirety by reference to the Underwriting Agreement and Stock Repurchase Agreement, which are included in this Statement as Exhibit 99.7, and Exhibit 99.8, respectively, and are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3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8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Borders>
              <w:top w:val="single" w:sz="8" w:color="auto"/>
            </w:tcBorders>
          </w:tcPr>
          <w:p>
            <w:pPr>
              <w:spacing w:after="0"/>
              <w:rPr>
                <w:sz w:val="18"/>
                <w:szCs w:val="18"/>
                <w:color w:val="auto"/>
              </w:rPr>
            </w:pPr>
          </w:p>
        </w:tc>
      </w:tr>
      <w:tr>
        <w:trPr>
          <w:trHeight w:val="216"/>
        </w:trPr>
        <w:tc>
          <w:tcPr>
            <w:tcW w:w="1360" w:type="dxa"/>
            <w:vAlign w:val="bottom"/>
            <w:gridSpan w:val="2"/>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Exhibit 99.5</w:t>
              </w:r>
            </w:hyperlink>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Amendment Letter Agreement, dated as of May 25, 2020, by and among the Sanofi Entities and the Issuer.*</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Exhibit 99.6</w:t>
              </w:r>
            </w:hyperlink>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Lock-up Agreement, dated as of May 25, 2020, by and among Sanofi, Aventisub and the Underwriters.*</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Exhibit 99.7</w:t>
              </w:r>
            </w:hyperlink>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Underwriting Agreement, dated as of May 26, 2020, by and among Sanofi, Aventisub, the Underwriters and the Issuer.*</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 99.8</w:t>
              </w:r>
            </w:hyperlink>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Agreement, dated as of May 25, 2020, by and between Sanofi and the Issuer.*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*Filed herewith.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ind w:right="-4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its knowledge and belief, the undersigned certifies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May 29,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Alexandra Roger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9914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Alexandra Roger</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Attorney-in-fact</w:t>
      </w:r>
    </w:p>
    <w:p>
      <w:pPr>
        <w:spacing w:after="0" w:line="200" w:lineRule="exact"/>
        <w:rPr>
          <w:sz w:val="20"/>
          <w:szCs w:val="20"/>
          <w:color w:val="auto"/>
        </w:rPr>
      </w:pPr>
    </w:p>
    <w:p>
      <w:pPr>
        <w:spacing w:after="0" w:line="209"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1" w:right="79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SCHEDULE I</w:t>
      </w:r>
    </w:p>
    <w:p>
      <w:pPr>
        <w:spacing w:after="0" w:line="234"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Name, business address, present principal occupation or employment and place of citizenship of the directors and executive officers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SANOFI</w:t>
      </w:r>
    </w:p>
    <w:p>
      <w:pPr>
        <w:spacing w:after="0" w:line="239"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The name, business address and present principal occupation or employment of each of the directors and executive officers of Sanofi are set forth below. Unless otherwise indicated, the business address of each director and executive officer is Sanofi, 54 rue La Boétie, 75008 Paris, France. Unless otherwise indicated, each director and executive officer is a citizen of France.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900" w:type="dxa"/>
            <w:vAlign w:val="bottom"/>
          </w:tcPr>
          <w:p>
            <w:pPr>
              <w:ind w:left="580"/>
              <w:spacing w:after="0"/>
              <w:rPr>
                <w:sz w:val="20"/>
                <w:szCs w:val="20"/>
                <w:color w:val="auto"/>
              </w:rPr>
            </w:pPr>
            <w:r>
              <w:rPr>
                <w:rFonts w:ascii="Arial" w:cs="Arial" w:eastAsia="Arial" w:hAnsi="Arial"/>
                <w:sz w:val="18"/>
                <w:szCs w:val="18"/>
                <w:b w:val="1"/>
                <w:bCs w:val="1"/>
                <w:color w:val="auto"/>
              </w:rPr>
              <w:t>Present Principal Occupation or Employment and Name and Principal Address of</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900" w:type="dxa"/>
            <w:vAlign w:val="bottom"/>
          </w:tcPr>
          <w:p>
            <w:pPr>
              <w:ind w:left="580"/>
              <w:spacing w:after="0"/>
              <w:rPr>
                <w:sz w:val="20"/>
                <w:szCs w:val="20"/>
                <w:color w:val="auto"/>
              </w:rPr>
            </w:pPr>
            <w:r>
              <w:rPr>
                <w:rFonts w:ascii="Arial" w:cs="Arial" w:eastAsia="Arial" w:hAnsi="Arial"/>
                <w:sz w:val="18"/>
                <w:szCs w:val="18"/>
                <w:b w:val="1"/>
                <w:bCs w:val="1"/>
                <w:color w:val="auto"/>
              </w:rPr>
              <w:t>Corporation in which Employment is Conducted at Sanofi</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Serge Weinberg</w:t>
            </w:r>
          </w:p>
        </w:tc>
        <w:tc>
          <w:tcPr>
            <w:tcW w:w="7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Chairman of the Board of Directors of Sanofi, Chairman of Weinberg Capital Partners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Paul Hudson</w:t>
            </w:r>
          </w:p>
        </w:tc>
        <w:tc>
          <w:tcPr>
            <w:tcW w:w="790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Chief Executive Officer of Sanofi</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British citizenship</w:t>
            </w:r>
          </w:p>
        </w:tc>
        <w:tc>
          <w:tcPr>
            <w:tcW w:w="79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Laurent Attal</w:t>
            </w:r>
          </w:p>
        </w:tc>
        <w:tc>
          <w:tcPr>
            <w:tcW w:w="7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Director at Sanofi, Executive Vice President–Research and Innovation at L’Oréal</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Christopher Babule</w:t>
            </w:r>
          </w:p>
        </w:tc>
        <w:tc>
          <w:tcPr>
            <w:tcW w:w="7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Director at Sanofi, Executive Vice President, Chief Financial Officer at L’Oréal</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Bernard Charlès</w:t>
            </w:r>
          </w:p>
        </w:tc>
        <w:tc>
          <w:tcPr>
            <w:tcW w:w="790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w w:val="97"/>
              </w:rPr>
              <w:t>Independent Director at Sanofi, Vice Chairman of the Board of Directors and CEO of Dassault</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7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Systèmes SE</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Rachel Duan</w:t>
            </w:r>
          </w:p>
        </w:tc>
        <w:tc>
          <w:tcPr>
            <w:tcW w:w="790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w w:val="93"/>
              </w:rPr>
              <w:t>Independent Director at Sanofi, Senior Vice President of General Electric and President and Chief</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Chinese citizenship</w:t>
            </w:r>
          </w:p>
        </w:tc>
        <w:tc>
          <w:tcPr>
            <w:tcW w:w="7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Executive Officer of General Electric Global Markets</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Lise Kingo</w:t>
            </w:r>
          </w:p>
        </w:tc>
        <w:tc>
          <w:tcPr>
            <w:tcW w:w="790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w w:val="95"/>
              </w:rPr>
              <w:t>Independent Director at Sanofi, Chief Executive Officer and Executive Director of United Nations</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Danish citizenship</w:t>
            </w:r>
          </w:p>
        </w:tc>
        <w:tc>
          <w:tcPr>
            <w:tcW w:w="7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Global Compact</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Patrick Kron</w:t>
            </w:r>
          </w:p>
        </w:tc>
        <w:tc>
          <w:tcPr>
            <w:tcW w:w="7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Independent Director at Sanofi, Chairman of Imerys and Chairman of Truffle Capital</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Fabienne Lecorvaisier</w:t>
            </w:r>
          </w:p>
        </w:tc>
        <w:tc>
          <w:tcPr>
            <w:tcW w:w="790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w w:val="96"/>
              </w:rPr>
              <w:t>Independent Director at Sanofi, Executive Vice President, Chief Financial Officer and Executive</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7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Committee Member of Air Liquide</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Melanie Lee</w:t>
            </w:r>
          </w:p>
        </w:tc>
        <w:tc>
          <w:tcPr>
            <w:tcW w:w="790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Independent Director at Sanofi, Chief Executive Officer of LifeArc</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British citizenship</w:t>
            </w:r>
          </w:p>
        </w:tc>
        <w:tc>
          <w:tcPr>
            <w:tcW w:w="79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Carole Piwnica</w:t>
            </w:r>
          </w:p>
        </w:tc>
        <w:tc>
          <w:tcPr>
            <w:tcW w:w="790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Independent Director at Sanofi, Managing Partner of Naxos S.A.</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Belgian citizenship</w:t>
            </w:r>
          </w:p>
        </w:tc>
        <w:tc>
          <w:tcPr>
            <w:tcW w:w="79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Gilles Schnepp</w:t>
            </w:r>
          </w:p>
        </w:tc>
        <w:tc>
          <w:tcPr>
            <w:tcW w:w="7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Independent Director at Sanofi, Vice-Chairman of the Supervisory Board of Peugeot S.A.</w:t>
            </w:r>
          </w:p>
        </w:tc>
        <w:tc>
          <w:tcPr>
            <w:tcW w:w="560" w:type="dxa"/>
            <w:vAlign w:val="bottom"/>
          </w:tcPr>
          <w:p>
            <w:pPr>
              <w:spacing w:after="0"/>
              <w:rPr>
                <w:sz w:val="18"/>
                <w:szCs w:val="18"/>
                <w:color w:val="auto"/>
              </w:rPr>
            </w:pPr>
          </w:p>
        </w:tc>
      </w:tr>
      <w:tr>
        <w:trPr>
          <w:trHeight w:val="582"/>
        </w:trPr>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900" w:type="dxa"/>
            <w:vAlign w:val="bottom"/>
          </w:tcPr>
          <w:p>
            <w:pPr>
              <w:ind w:left="2800"/>
              <w:spacing w:after="0"/>
              <w:rPr>
                <w:sz w:val="20"/>
                <w:szCs w:val="20"/>
                <w:color w:val="auto"/>
              </w:rPr>
            </w:pPr>
            <w:r>
              <w:rPr>
                <w:rFonts w:ascii="Arial" w:cs="Arial" w:eastAsia="Arial" w:hAnsi="Arial"/>
                <w:sz w:val="14"/>
                <w:szCs w:val="14"/>
                <w:color w:val="auto"/>
              </w:rPr>
              <w:t>7</w:t>
            </w: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680" w:type="dxa"/>
            <w:vAlign w:val="bottom"/>
          </w:tcPr>
          <w:p>
            <w:pPr>
              <w:ind w:left="360"/>
              <w:spacing w:after="0"/>
              <w:rPr>
                <w:sz w:val="20"/>
                <w:szCs w:val="20"/>
                <w:color w:val="auto"/>
              </w:rPr>
            </w:pPr>
            <w:r>
              <w:rPr>
                <w:rFonts w:ascii="Arial" w:cs="Arial" w:eastAsia="Arial" w:hAnsi="Arial"/>
                <w:sz w:val="18"/>
                <w:szCs w:val="18"/>
                <w:b w:val="1"/>
                <w:bCs w:val="1"/>
                <w:color w:val="auto"/>
              </w:rPr>
              <w:t>Present Principal Occupation or Employment and Name and Principal Address of</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680" w:type="dxa"/>
            <w:vAlign w:val="bottom"/>
          </w:tcPr>
          <w:p>
            <w:pPr>
              <w:ind w:left="360"/>
              <w:spacing w:after="0"/>
              <w:rPr>
                <w:sz w:val="20"/>
                <w:szCs w:val="20"/>
                <w:color w:val="auto"/>
              </w:rPr>
            </w:pPr>
            <w:r>
              <w:rPr>
                <w:rFonts w:ascii="Arial" w:cs="Arial" w:eastAsia="Arial" w:hAnsi="Arial"/>
                <w:sz w:val="18"/>
                <w:szCs w:val="18"/>
                <w:b w:val="1"/>
                <w:bCs w:val="1"/>
                <w:color w:val="auto"/>
              </w:rPr>
              <w:t>Corporation in which Employment is Conducted at Sanofi</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Diane Souza</w:t>
            </w:r>
          </w:p>
        </w:tc>
        <w:tc>
          <w:tcPr>
            <w:tcW w:w="7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Independent Director at Sanofi, Member of the Board of Directors of Amica Insurance Companies</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U.S. citizenship</w:t>
            </w:r>
          </w:p>
        </w:tc>
        <w:tc>
          <w:tcPr>
            <w:tcW w:w="768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Thomas C. Südhof</w:t>
            </w:r>
          </w:p>
        </w:tc>
        <w:tc>
          <w:tcPr>
            <w:tcW w:w="7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Independent Director at Sanofi, Avram Goldstein Professor at the Department of Molecular &amp;</w:t>
            </w: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German and U.S. citizenship</w:t>
            </w: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Cellular Physiology, Neurosurgery, Psychiatry and Neurology, Stanford University, School of</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Medicine (United States)</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Marion Palme</w:t>
            </w:r>
          </w:p>
        </w:tc>
        <w:tc>
          <w:tcPr>
            <w:tcW w:w="7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Director representing employees at Sanofi, Laboratory Technician</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German citizenship</w:t>
            </w:r>
          </w:p>
        </w:tc>
        <w:tc>
          <w:tcPr>
            <w:tcW w:w="768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Christian Senectaire</w:t>
            </w: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Director representing employees at Sanofi, Senior Production Technician</w:t>
            </w:r>
          </w:p>
        </w:tc>
        <w:tc>
          <w:tcPr>
            <w:tcW w:w="560" w:type="dxa"/>
            <w:vAlign w:val="bottom"/>
          </w:tcPr>
          <w:p>
            <w:pPr>
              <w:spacing w:after="0"/>
              <w:rPr>
                <w:sz w:val="18"/>
                <w:szCs w:val="18"/>
                <w:color w:val="auto"/>
              </w:rPr>
            </w:pPr>
          </w:p>
        </w:tc>
      </w:tr>
      <w:tr>
        <w:trPr>
          <w:trHeight w:val="582"/>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80" w:type="dxa"/>
            <w:vAlign w:val="bottom"/>
          </w:tcPr>
          <w:p>
            <w:pPr>
              <w:ind w:left="2580"/>
              <w:spacing w:after="0"/>
              <w:rPr>
                <w:sz w:val="20"/>
                <w:szCs w:val="20"/>
                <w:color w:val="auto"/>
              </w:rPr>
            </w:pPr>
            <w:r>
              <w:rPr>
                <w:rFonts w:ascii="Arial" w:cs="Arial" w:eastAsia="Arial" w:hAnsi="Arial"/>
                <w:sz w:val="14"/>
                <w:szCs w:val="14"/>
                <w:color w:val="auto"/>
              </w:rPr>
              <w:t>8</w:t>
            </w: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EXECUTIVE OFFICERS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620" w:type="dxa"/>
            <w:vAlign w:val="bottom"/>
          </w:tcPr>
          <w:p>
            <w:pPr>
              <w:ind w:left="300"/>
              <w:spacing w:after="0"/>
              <w:rPr>
                <w:sz w:val="20"/>
                <w:szCs w:val="20"/>
                <w:color w:val="auto"/>
              </w:rPr>
            </w:pPr>
            <w:r>
              <w:rPr>
                <w:rFonts w:ascii="Arial" w:cs="Arial" w:eastAsia="Arial" w:hAnsi="Arial"/>
                <w:sz w:val="18"/>
                <w:szCs w:val="18"/>
                <w:b w:val="1"/>
                <w:bCs w:val="1"/>
                <w:color w:val="auto"/>
              </w:rPr>
              <w:t>Present Principal Occupation or Employment and Name and Principal Address of</w:t>
            </w:r>
          </w:p>
        </w:tc>
      </w:tr>
      <w:tr>
        <w:trPr>
          <w:trHeight w:val="234"/>
        </w:trPr>
        <w:tc>
          <w:tcPr>
            <w:tcW w:w="248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Arial" w:cs="Arial" w:eastAsia="Arial" w:hAnsi="Arial"/>
                <w:sz w:val="18"/>
                <w:szCs w:val="18"/>
                <w:b w:val="1"/>
                <w:bCs w:val="1"/>
                <w:color w:val="auto"/>
              </w:rPr>
              <w:t>Corporation in which Employment is Conducted at Sanofi</w:t>
            </w:r>
          </w:p>
        </w:tc>
      </w:tr>
      <w:tr>
        <w:trPr>
          <w:trHeight w:val="216"/>
        </w:trPr>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Paul Hudson</w:t>
            </w:r>
          </w:p>
        </w:tc>
        <w:tc>
          <w:tcPr>
            <w:tcW w:w="76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Chief Executive Officer of Sanofi</w:t>
            </w: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British citizenship</w:t>
            </w:r>
          </w:p>
        </w:tc>
        <w:tc>
          <w:tcPr>
            <w:tcW w:w="7620" w:type="dxa"/>
            <w:vAlign w:val="bottom"/>
            <w:shd w:val="clear" w:color="auto" w:fill="CCEEFF"/>
          </w:tcPr>
          <w:p>
            <w:pPr>
              <w:spacing w:after="0"/>
              <w:rPr>
                <w:sz w:val="20"/>
                <w:szCs w:val="20"/>
                <w:color w:val="auto"/>
              </w:rPr>
            </w:pPr>
          </w:p>
        </w:tc>
      </w:tr>
      <w:tr>
        <w:trPr>
          <w:trHeight w:val="216"/>
        </w:trPr>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Olivier Charmeil</w:t>
            </w:r>
          </w:p>
        </w:tc>
        <w:tc>
          <w:tcPr>
            <w:tcW w:w="7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Executive Vice President, General Medicines</w:t>
            </w:r>
          </w:p>
        </w:tc>
      </w:tr>
      <w:tr>
        <w:trPr>
          <w:trHeight w:val="216"/>
        </w:trPr>
        <w:tc>
          <w:tcPr>
            <w:tcW w:w="10100" w:type="dxa"/>
            <w:vAlign w:val="bottom"/>
            <w:gridSpan w:val="2"/>
          </w:tcPr>
          <w:p>
            <w:pPr>
              <w:spacing w:after="0"/>
              <w:rPr>
                <w:sz w:val="18"/>
                <w:szCs w:val="18"/>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Jean-Baptiste Chasseloup de ChatillonExecutive Vice President, Chief Financial Officer</w:t>
            </w:r>
          </w:p>
        </w:tc>
      </w:tr>
      <w:tr>
        <w:trPr>
          <w:trHeight w:val="216"/>
        </w:trPr>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Karen Linehan</w:t>
            </w:r>
          </w:p>
        </w:tc>
        <w:tc>
          <w:tcPr>
            <w:tcW w:w="76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Executive Vice President, Legal Affairs and General Counsel</w:t>
            </w: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U.S. and Irish citizenship</w:t>
            </w:r>
          </w:p>
        </w:tc>
        <w:tc>
          <w:tcPr>
            <w:tcW w:w="7620" w:type="dxa"/>
            <w:vAlign w:val="bottom"/>
            <w:shd w:val="clear" w:color="auto" w:fill="CCEEFF"/>
          </w:tcPr>
          <w:p>
            <w:pPr>
              <w:spacing w:after="0"/>
              <w:rPr>
                <w:sz w:val="20"/>
                <w:szCs w:val="20"/>
                <w:color w:val="auto"/>
              </w:rPr>
            </w:pPr>
          </w:p>
        </w:tc>
      </w:tr>
      <w:tr>
        <w:trPr>
          <w:trHeight w:val="216"/>
        </w:trPr>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Loew</w:t>
            </w:r>
          </w:p>
        </w:tc>
        <w:tc>
          <w:tcPr>
            <w:tcW w:w="76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Executive Vice President, Sanofi Pasteur</w:t>
            </w: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Swiss citizenship</w:t>
            </w:r>
          </w:p>
        </w:tc>
        <w:tc>
          <w:tcPr>
            <w:tcW w:w="7620" w:type="dxa"/>
            <w:vAlign w:val="bottom"/>
            <w:shd w:val="clear" w:color="auto" w:fill="CCEEFF"/>
          </w:tcPr>
          <w:p>
            <w:pPr>
              <w:spacing w:after="0"/>
              <w:rPr>
                <w:sz w:val="20"/>
                <w:szCs w:val="20"/>
                <w:color w:val="auto"/>
              </w:rPr>
            </w:pPr>
          </w:p>
        </w:tc>
      </w:tr>
      <w:tr>
        <w:trPr>
          <w:trHeight w:val="216"/>
        </w:trPr>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Philippe Luscan</w:t>
            </w:r>
          </w:p>
        </w:tc>
        <w:tc>
          <w:tcPr>
            <w:tcW w:w="7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Executive Vice President, Global Industrial Affairs</w:t>
            </w:r>
          </w:p>
        </w:tc>
      </w:tr>
      <w:tr>
        <w:trPr>
          <w:trHeight w:val="216"/>
        </w:trPr>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Alan Main</w:t>
            </w:r>
          </w:p>
        </w:tc>
        <w:tc>
          <w:tcPr>
            <w:tcW w:w="76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Executive Vice President, Consumer Healthcare</w:t>
            </w: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English citizenship</w:t>
            </w:r>
          </w:p>
        </w:tc>
        <w:tc>
          <w:tcPr>
            <w:tcW w:w="7620" w:type="dxa"/>
            <w:vAlign w:val="bottom"/>
            <w:shd w:val="clear" w:color="auto" w:fill="CCEEFF"/>
          </w:tcPr>
          <w:p>
            <w:pPr>
              <w:spacing w:after="0"/>
              <w:rPr>
                <w:sz w:val="20"/>
                <w:szCs w:val="20"/>
                <w:color w:val="auto"/>
              </w:rPr>
            </w:pPr>
          </w:p>
        </w:tc>
      </w:tr>
      <w:tr>
        <w:trPr>
          <w:trHeight w:val="216"/>
        </w:trPr>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Caroline Luscombe</w:t>
            </w:r>
          </w:p>
        </w:tc>
        <w:tc>
          <w:tcPr>
            <w:tcW w:w="76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Executive Vice President, Human Resources</w:t>
            </w: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English citizenship</w:t>
            </w:r>
          </w:p>
        </w:tc>
        <w:tc>
          <w:tcPr>
            <w:tcW w:w="7620" w:type="dxa"/>
            <w:vAlign w:val="bottom"/>
            <w:shd w:val="clear" w:color="auto" w:fill="CCEEFF"/>
          </w:tcPr>
          <w:p>
            <w:pPr>
              <w:spacing w:after="0"/>
              <w:rPr>
                <w:sz w:val="20"/>
                <w:szCs w:val="20"/>
                <w:color w:val="auto"/>
              </w:rPr>
            </w:pPr>
          </w:p>
        </w:tc>
      </w:tr>
      <w:tr>
        <w:trPr>
          <w:trHeight w:val="216"/>
        </w:trPr>
        <w:tc>
          <w:tcPr>
            <w:tcW w:w="248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Bill Sibold</w:t>
            </w:r>
          </w:p>
        </w:tc>
        <w:tc>
          <w:tcPr>
            <w:tcW w:w="76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Executive Vice President, Sanofi Genzyme</w:t>
            </w: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U.S. and Canadian citizenship</w:t>
            </w:r>
          </w:p>
        </w:tc>
        <w:tc>
          <w:tcPr>
            <w:tcW w:w="7620" w:type="dxa"/>
            <w:vAlign w:val="bottom"/>
            <w:shd w:val="clear" w:color="auto" w:fill="CCEEFF"/>
          </w:tcPr>
          <w:p>
            <w:pPr>
              <w:spacing w:after="0"/>
              <w:rPr>
                <w:sz w:val="20"/>
                <w:szCs w:val="20"/>
                <w:color w:val="auto"/>
              </w:rPr>
            </w:pPr>
          </w:p>
        </w:tc>
      </w:tr>
      <w:tr>
        <w:trPr>
          <w:trHeight w:val="418"/>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Business address:</w:t>
            </w:r>
          </w:p>
        </w:tc>
        <w:tc>
          <w:tcPr>
            <w:tcW w:w="7620" w:type="dxa"/>
            <w:vAlign w:val="bottom"/>
            <w:shd w:val="clear" w:color="auto" w:fill="CCEEFF"/>
          </w:tcPr>
          <w:p>
            <w:pPr>
              <w:spacing w:after="0"/>
              <w:rPr>
                <w:sz w:val="24"/>
                <w:szCs w:val="24"/>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50 Binney Street</w:t>
            </w:r>
          </w:p>
        </w:tc>
        <w:tc>
          <w:tcPr>
            <w:tcW w:w="7620" w:type="dxa"/>
            <w:vAlign w:val="bottom"/>
            <w:shd w:val="clear" w:color="auto" w:fill="CCEEFF"/>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Cambridge, MA 02142</w:t>
            </w:r>
          </w:p>
        </w:tc>
        <w:tc>
          <w:tcPr>
            <w:tcW w:w="7620" w:type="dxa"/>
            <w:vAlign w:val="bottom"/>
            <w:shd w:val="clear" w:color="auto" w:fill="CCEEFF"/>
          </w:tcPr>
          <w:p>
            <w:pPr>
              <w:spacing w:after="0"/>
              <w:rPr>
                <w:sz w:val="20"/>
                <w:szCs w:val="20"/>
                <w:color w:val="auto"/>
              </w:rPr>
            </w:pPr>
          </w:p>
        </w:tc>
      </w:tr>
      <w:tr>
        <w:trPr>
          <w:trHeight w:val="418"/>
        </w:trPr>
        <w:tc>
          <w:tcPr>
            <w:tcW w:w="2480" w:type="dxa"/>
            <w:vAlign w:val="bottom"/>
          </w:tcPr>
          <w:p>
            <w:pPr>
              <w:spacing w:after="0"/>
              <w:rPr>
                <w:sz w:val="20"/>
                <w:szCs w:val="20"/>
                <w:color w:val="auto"/>
              </w:rPr>
            </w:pPr>
            <w:r>
              <w:rPr>
                <w:rFonts w:ascii="Arial" w:cs="Arial" w:eastAsia="Arial" w:hAnsi="Arial"/>
                <w:sz w:val="18"/>
                <w:szCs w:val="18"/>
                <w:color w:val="auto"/>
              </w:rPr>
              <w:t>John Reed</w:t>
            </w:r>
          </w:p>
        </w:tc>
        <w:tc>
          <w:tcPr>
            <w:tcW w:w="7620" w:type="dxa"/>
            <w:vAlign w:val="bottom"/>
          </w:tcPr>
          <w:p>
            <w:pPr>
              <w:ind w:left="300"/>
              <w:spacing w:after="0"/>
              <w:rPr>
                <w:sz w:val="20"/>
                <w:szCs w:val="20"/>
                <w:color w:val="auto"/>
              </w:rPr>
            </w:pPr>
            <w:r>
              <w:rPr>
                <w:rFonts w:ascii="Arial" w:cs="Arial" w:eastAsia="Arial" w:hAnsi="Arial"/>
                <w:sz w:val="18"/>
                <w:szCs w:val="18"/>
                <w:color w:val="auto"/>
              </w:rPr>
              <w:t>Executive Vice President, Global Head of Research and Development</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U.S. citizenship</w:t>
            </w:r>
          </w:p>
        </w:tc>
        <w:tc>
          <w:tcPr>
            <w:tcW w:w="7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822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822960"/>
                    </a:xfrm>
                    <a:prstGeom prst="rect">
                      <a:avLst/>
                    </a:prstGeom>
                    <a:noFill/>
                  </pic:spPr>
                </pic:pic>
              </a:graphicData>
            </a:graphic>
          </wp:anchor>
        </w:drawing>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Business address: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640 Memorial Drive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Cambridge, MA 02139</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11" w:right="89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777 Old Saw Mill River Road</w:t>
      </w:r>
    </w:p>
    <w:p>
      <w:pPr>
        <w:jc w:val="center"/>
        <w:spacing w:after="0"/>
        <w:rPr>
          <w:sz w:val="20"/>
          <w:szCs w:val="20"/>
          <w:color w:val="auto"/>
        </w:rPr>
      </w:pPr>
      <w:r>
        <w:rPr>
          <w:rFonts w:ascii="Arial" w:cs="Arial" w:eastAsia="Arial" w:hAnsi="Arial"/>
          <w:sz w:val="22"/>
          <w:szCs w:val="22"/>
          <w:b w:val="1"/>
          <w:bCs w:val="1"/>
          <w:color w:val="auto"/>
        </w:rPr>
        <w:t>Tarrytown, New York 10591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May 25, 2020</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Sanofi</w:t>
      </w:r>
    </w:p>
    <w:p>
      <w:pPr>
        <w:spacing w:after="0" w:line="238" w:lineRule="auto"/>
        <w:rPr>
          <w:sz w:val="20"/>
          <w:szCs w:val="20"/>
          <w:color w:val="auto"/>
        </w:rPr>
      </w:pPr>
      <w:r>
        <w:rPr>
          <w:rFonts w:ascii="Arial" w:cs="Arial" w:eastAsia="Arial" w:hAnsi="Arial"/>
          <w:sz w:val="22"/>
          <w:szCs w:val="22"/>
          <w:color w:val="auto"/>
        </w:rPr>
        <w:t>54, rue La Boétie</w:t>
      </w:r>
    </w:p>
    <w:p>
      <w:pPr>
        <w:spacing w:after="0" w:line="230" w:lineRule="auto"/>
        <w:rPr>
          <w:sz w:val="20"/>
          <w:szCs w:val="20"/>
          <w:color w:val="auto"/>
        </w:rPr>
      </w:pPr>
      <w:r>
        <w:rPr>
          <w:rFonts w:ascii="Arial" w:cs="Arial" w:eastAsia="Arial" w:hAnsi="Arial"/>
          <w:sz w:val="22"/>
          <w:szCs w:val="22"/>
          <w:color w:val="auto"/>
        </w:rPr>
        <w:t>75008 Paris</w:t>
      </w:r>
    </w:p>
    <w:p>
      <w:pPr>
        <w:spacing w:after="0" w:line="231" w:lineRule="auto"/>
        <w:rPr>
          <w:sz w:val="20"/>
          <w:szCs w:val="20"/>
          <w:color w:val="auto"/>
        </w:rPr>
      </w:pPr>
      <w:r>
        <w:rPr>
          <w:rFonts w:ascii="Arial" w:cs="Arial" w:eastAsia="Arial" w:hAnsi="Arial"/>
          <w:sz w:val="22"/>
          <w:szCs w:val="22"/>
          <w:color w:val="auto"/>
        </w:rPr>
        <w:t>France</w:t>
      </w:r>
    </w:p>
    <w:p>
      <w:pPr>
        <w:spacing w:after="0"/>
        <w:rPr>
          <w:sz w:val="20"/>
          <w:szCs w:val="20"/>
          <w:color w:val="auto"/>
        </w:rPr>
      </w:pPr>
      <w:r>
        <w:rPr>
          <w:rFonts w:ascii="Arial" w:cs="Arial" w:eastAsia="Arial" w:hAnsi="Arial"/>
          <w:sz w:val="22"/>
          <w:szCs w:val="22"/>
          <w:color w:val="auto"/>
        </w:rPr>
        <w:t>Attention: Chief Financial Officer</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of Investor Agreement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Reference is made to the Amended and Restated Investor Agreement (as may be amended from time to time,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Investor Agreement</w:t>
      </w:r>
      <w:r>
        <w:rPr>
          <w:rFonts w:ascii="Arial" w:cs="Arial" w:eastAsia="Arial" w:hAnsi="Arial"/>
          <w:sz w:val="19"/>
          <w:szCs w:val="19"/>
          <w:color w:val="auto"/>
        </w:rPr>
        <w:t>”), dated as of January 11, 2014, by and among Sanofi, a company organized under the laws of France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Sanofi</w:t>
      </w:r>
      <w:r>
        <w:rPr>
          <w:rFonts w:ascii="Arial" w:cs="Arial" w:eastAsia="Arial" w:hAnsi="Arial"/>
          <w:sz w:val="21"/>
          <w:szCs w:val="21"/>
          <w:color w:val="auto"/>
        </w:rPr>
        <w:t>”), sanofi-aventis US LLC, a Delaware limited liability company (“</w:t>
      </w:r>
      <w:r>
        <w:rPr>
          <w:rFonts w:ascii="Arial" w:cs="Arial" w:eastAsia="Arial" w:hAnsi="Arial"/>
          <w:sz w:val="21"/>
          <w:szCs w:val="21"/>
          <w:u w:val="single" w:color="auto"/>
          <w:color w:val="auto"/>
        </w:rPr>
        <w:t>Sanofi US</w:t>
      </w:r>
      <w:r>
        <w:rPr>
          <w:rFonts w:ascii="Arial" w:cs="Arial" w:eastAsia="Arial" w:hAnsi="Arial"/>
          <w:sz w:val="21"/>
          <w:szCs w:val="21"/>
          <w:color w:val="auto"/>
        </w:rPr>
        <w:t>”), Aventisub LLC, a Delaware limited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liability company (formerly Aventis Pharmaceuticals Inc., a Delaware corporation) (“</w:t>
      </w:r>
      <w:r>
        <w:rPr>
          <w:rFonts w:ascii="Arial" w:cs="Arial" w:eastAsia="Arial" w:hAnsi="Arial"/>
          <w:sz w:val="21"/>
          <w:szCs w:val="21"/>
          <w:u w:val="single" w:color="auto"/>
          <w:color w:val="auto"/>
        </w:rPr>
        <w:t>Aventis</w:t>
      </w:r>
      <w:r>
        <w:rPr>
          <w:rFonts w:ascii="Arial" w:cs="Arial" w:eastAsia="Arial" w:hAnsi="Arial"/>
          <w:sz w:val="21"/>
          <w:szCs w:val="21"/>
          <w:color w:val="auto"/>
        </w:rPr>
        <w:t>”), sanofi-aventis Amérique du</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Nord, a </w:t>
      </w:r>
      <w:r>
        <w:rPr>
          <w:rFonts w:ascii="Arial" w:cs="Arial" w:eastAsia="Arial" w:hAnsi="Arial"/>
          <w:sz w:val="19"/>
          <w:szCs w:val="19"/>
          <w:i w:val="1"/>
          <w:iCs w:val="1"/>
          <w:color w:val="auto"/>
        </w:rPr>
        <w:t>société en nom collectif</w:t>
      </w:r>
      <w:r>
        <w:rPr>
          <w:rFonts w:ascii="Arial" w:cs="Arial" w:eastAsia="Arial" w:hAnsi="Arial"/>
          <w:sz w:val="19"/>
          <w:szCs w:val="19"/>
          <w:color w:val="auto"/>
        </w:rPr>
        <w:t xml:space="preserve"> organized under the laws of France (the “</w:t>
      </w:r>
      <w:r>
        <w:rPr>
          <w:rFonts w:ascii="Arial" w:cs="Arial" w:eastAsia="Arial" w:hAnsi="Arial"/>
          <w:sz w:val="19"/>
          <w:szCs w:val="19"/>
          <w:u w:val="single" w:color="auto"/>
          <w:color w:val="auto"/>
        </w:rPr>
        <w:t>Investor</w:t>
      </w:r>
      <w:r>
        <w:rPr>
          <w:rFonts w:ascii="Arial" w:cs="Arial" w:eastAsia="Arial" w:hAnsi="Arial"/>
          <w:sz w:val="19"/>
          <w:szCs w:val="19"/>
          <w:color w:val="auto"/>
        </w:rPr>
        <w:t>”, which was merged with Sanofi on October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30, 2018, and, together with Sanofi, Sanofi US and Aventis, the “</w:t>
      </w:r>
      <w:r>
        <w:rPr>
          <w:rFonts w:ascii="Arial" w:cs="Arial" w:eastAsia="Arial" w:hAnsi="Arial"/>
          <w:sz w:val="19"/>
          <w:szCs w:val="19"/>
          <w:u w:val="single" w:color="auto"/>
          <w:color w:val="auto"/>
        </w:rPr>
        <w:t>Purchaser Parties</w:t>
      </w:r>
      <w:r>
        <w:rPr>
          <w:rFonts w:ascii="Arial" w:cs="Arial" w:eastAsia="Arial" w:hAnsi="Arial"/>
          <w:sz w:val="19"/>
          <w:szCs w:val="19"/>
          <w:color w:val="auto"/>
        </w:rPr>
        <w:t>”), and Regeneron Pharmaceuticals, Inc.,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New York corporation (“</w:t>
      </w:r>
      <w:r>
        <w:rPr>
          <w:rFonts w:ascii="Arial" w:cs="Arial" w:eastAsia="Arial" w:hAnsi="Arial"/>
          <w:sz w:val="19"/>
          <w:szCs w:val="19"/>
          <w:u w:val="single" w:color="auto"/>
          <w:color w:val="auto"/>
        </w:rPr>
        <w:t>Regeneron</w:t>
      </w:r>
      <w:r>
        <w:rPr>
          <w:rFonts w:ascii="Arial" w:cs="Arial" w:eastAsia="Arial" w:hAnsi="Arial"/>
          <w:sz w:val="19"/>
          <w:szCs w:val="19"/>
          <w:color w:val="auto"/>
        </w:rPr>
        <w:t>”), as amended pursuant to that certain letter agreement, dated as of January 7, 2018, by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among Regeneron and the affiliates of the Purchaser Parties party thereto (the “</w:t>
      </w:r>
      <w:r>
        <w:rPr>
          <w:rFonts w:ascii="Arial" w:cs="Arial" w:eastAsia="Arial" w:hAnsi="Arial"/>
          <w:sz w:val="19"/>
          <w:szCs w:val="19"/>
          <w:u w:val="single" w:color="auto"/>
          <w:color w:val="auto"/>
        </w:rPr>
        <w:t>2018 Letter Agreement</w:t>
      </w:r>
      <w:r>
        <w:rPr>
          <w:rFonts w:ascii="Arial" w:cs="Arial" w:eastAsia="Arial" w:hAnsi="Arial"/>
          <w:sz w:val="19"/>
          <w:szCs w:val="19"/>
          <w:color w:val="auto"/>
        </w:rPr>
        <w:t>”). Capitalized terms that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are used but not defined herein have the meanings given to such terms in the Investor Agreement.</w:t>
      </w:r>
    </w:p>
    <w:p>
      <w:pPr>
        <w:spacing w:after="0" w:line="215"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The purpose of this Letter Agreement is to provide for certain matters in connection with (i) the underwritten offering by Sanofi and Aventis of shares (the “</w:t>
      </w:r>
      <w:r>
        <w:rPr>
          <w:rFonts w:ascii="Arial" w:cs="Arial" w:eastAsia="Arial" w:hAnsi="Arial"/>
          <w:sz w:val="19"/>
          <w:szCs w:val="19"/>
          <w:u w:val="single" w:color="auto"/>
          <w:color w:val="auto"/>
        </w:rPr>
        <w:t>Offering Shares</w:t>
      </w:r>
      <w:r>
        <w:rPr>
          <w:rFonts w:ascii="Arial" w:cs="Arial" w:eastAsia="Arial" w:hAnsi="Arial"/>
          <w:sz w:val="19"/>
          <w:szCs w:val="19"/>
          <w:color w:val="auto"/>
        </w:rPr>
        <w:t>”) of common stock, par value $0.001 per share, of Regeneron (“</w:t>
      </w:r>
      <w:r>
        <w:rPr>
          <w:rFonts w:ascii="Arial" w:cs="Arial" w:eastAsia="Arial" w:hAnsi="Arial"/>
          <w:sz w:val="19"/>
          <w:szCs w:val="19"/>
          <w:u w:val="single" w:color="auto"/>
          <w:color w:val="auto"/>
        </w:rPr>
        <w:t>Common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w:t>
      </w:r>
      <w:r>
        <w:rPr>
          <w:rFonts w:ascii="Arial" w:cs="Arial" w:eastAsia="Arial" w:hAnsi="Arial"/>
          <w:sz w:val="19"/>
          <w:szCs w:val="19"/>
          <w:color w:val="auto"/>
        </w:rPr>
        <w:t>”) pursuant to Regeneron’s Registration Statement on Form S-3 (Registration No. 333-228352), with a base public offering size equal to all shares of Common Stock held by Sanofi and its Affiliates as of the date hereof (other than the Repurchase Shares (as defined below), any shares of Common Stock subject to the underwriter overallotment option to purchase additional Offering Shares and 400,000 shares of Common Stock that Sanofi intends to retain) (such offering, the “</w:t>
      </w:r>
      <w:r>
        <w:rPr>
          <w:rFonts w:ascii="Arial" w:cs="Arial" w:eastAsia="Arial" w:hAnsi="Arial"/>
          <w:sz w:val="19"/>
          <w:szCs w:val="19"/>
          <w:u w:val="single" w:color="auto"/>
          <w:color w:val="auto"/>
        </w:rPr>
        <w:t>Offering</w:t>
      </w:r>
      <w:r>
        <w:rPr>
          <w:rFonts w:ascii="Arial" w:cs="Arial" w:eastAsia="Arial" w:hAnsi="Arial"/>
          <w:sz w:val="19"/>
          <w:szCs w:val="19"/>
          <w:color w:val="auto"/>
        </w:rPr>
        <w:t>”) and (ii) the repurchase (the “</w:t>
      </w:r>
      <w:r>
        <w:rPr>
          <w:rFonts w:ascii="Arial" w:cs="Arial" w:eastAsia="Arial" w:hAnsi="Arial"/>
          <w:sz w:val="19"/>
          <w:szCs w:val="19"/>
          <w:u w:val="single" w:color="auto"/>
          <w:color w:val="auto"/>
        </w:rPr>
        <w:t>Repurchase</w:t>
      </w:r>
      <w:r>
        <w:rPr>
          <w:rFonts w:ascii="Arial" w:cs="Arial" w:eastAsia="Arial" w:hAnsi="Arial"/>
          <w:sz w:val="19"/>
          <w:szCs w:val="19"/>
          <w:color w:val="auto"/>
        </w:rPr>
        <w:t>” and, together with the Offering, the “</w:t>
      </w:r>
      <w:r>
        <w:rPr>
          <w:rFonts w:ascii="Arial" w:cs="Arial" w:eastAsia="Arial" w:hAnsi="Arial"/>
          <w:sz w:val="19"/>
          <w:szCs w:val="19"/>
          <w:u w:val="single" w:color="auto"/>
          <w:color w:val="auto"/>
        </w:rPr>
        <w:t>Transaction</w:t>
      </w:r>
      <w:r>
        <w:rPr>
          <w:rFonts w:ascii="Arial" w:cs="Arial" w:eastAsia="Arial" w:hAnsi="Arial"/>
          <w:sz w:val="19"/>
          <w:szCs w:val="19"/>
          <w:color w:val="auto"/>
        </w:rPr>
        <w:t>”) by Regeneron of approximately $5 billion of Common Stock from Sanofi at the price at which the Offering Shares are sold to the public in the Offering, less the underwriting discount (the “</w:t>
      </w:r>
      <w:r>
        <w:rPr>
          <w:rFonts w:ascii="Arial" w:cs="Arial" w:eastAsia="Arial" w:hAnsi="Arial"/>
          <w:sz w:val="19"/>
          <w:szCs w:val="19"/>
          <w:u w:val="single" w:color="auto"/>
          <w:color w:val="auto"/>
        </w:rPr>
        <w:t>Repurchase Shares</w:t>
      </w:r>
      <w:r>
        <w:rPr>
          <w:rFonts w:ascii="Arial" w:cs="Arial" w:eastAsia="Arial" w:hAnsi="Arial"/>
          <w:sz w:val="19"/>
          <w:szCs w:val="19"/>
          <w:color w:val="auto"/>
        </w:rPr>
        <w:t>”) pursuant to the Stock Repurchase Agreement, dated as of the date hereof, by and between Sanofi, Aventis and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May 25,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 of 4</w:t>
      </w:r>
    </w:p>
    <w:p>
      <w:pPr>
        <w:spacing w:after="0" w:line="416" w:lineRule="exact"/>
        <w:rPr>
          <w:sz w:val="20"/>
          <w:szCs w:val="20"/>
          <w:color w:val="auto"/>
        </w:rPr>
      </w:pPr>
    </w:p>
    <w:p>
      <w:pPr>
        <w:sectPr>
          <w:pgSz w:w="11900" w:h="16838" w:orient="portrait"/>
          <w:cols w:equalWidth="0" w:num="2">
            <w:col w:w="9700" w:space="720"/>
            <w:col w:w="820"/>
          </w:cols>
          <w:pgMar w:left="320" w:top="125" w:right="339" w:bottom="1440" w:gutter="0" w:footer="0" w:header="0"/>
        </w:sectPr>
      </w:pPr>
    </w:p>
    <w:p>
      <w:pPr>
        <w:ind w:left="660"/>
        <w:spacing w:after="0"/>
        <w:rPr>
          <w:sz w:val="20"/>
          <w:szCs w:val="20"/>
          <w:color w:val="auto"/>
        </w:rPr>
      </w:pPr>
      <w:r>
        <w:rPr>
          <w:rFonts w:ascii="Arial" w:cs="Arial" w:eastAsia="Arial" w:hAnsi="Arial"/>
          <w:sz w:val="21"/>
          <w:szCs w:val="21"/>
          <w:color w:val="auto"/>
        </w:rPr>
        <w:t>Pursuant to Sections 9.2 and 9.5 of the Investor Agreement, the parties to this Letter Agreement agree as follows:</w:t>
      </w:r>
    </w:p>
    <w:p>
      <w:pPr>
        <w:spacing w:after="0" w:line="252" w:lineRule="exact"/>
        <w:rPr>
          <w:sz w:val="20"/>
          <w:szCs w:val="20"/>
          <w:color w:val="auto"/>
        </w:rPr>
      </w:pPr>
    </w:p>
    <w:p>
      <w:pPr>
        <w:ind w:left="500" w:right="20" w:hanging="492"/>
        <w:spacing w:after="0" w:line="311" w:lineRule="auto"/>
        <w:tabs>
          <w:tab w:leader="none" w:pos="5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of Registration Rights (Section 2 of the Investor Agreement)</w:t>
      </w:r>
      <w:r>
        <w:rPr>
          <w:rFonts w:ascii="Arial" w:cs="Arial" w:eastAsia="Arial" w:hAnsi="Arial"/>
          <w:sz w:val="16"/>
          <w:szCs w:val="16"/>
          <w:color w:val="auto"/>
        </w:rPr>
        <w:t>. Effective as of and conditioned upon the closing of the Offering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regard to any underwriter overallotment option to purchase additional Offering Shares) and the Repurchase (the “</w:t>
      </w:r>
      <w:r>
        <w:rPr>
          <w:rFonts w:ascii="Arial" w:cs="Arial" w:eastAsia="Arial" w:hAnsi="Arial"/>
          <w:sz w:val="16"/>
          <w:szCs w:val="16"/>
          <w:u w:val="single" w:color="auto"/>
          <w:color w:val="auto"/>
        </w:rPr>
        <w:t>Closing</w:t>
      </w:r>
      <w:r>
        <w:rPr>
          <w:rFonts w:ascii="Arial" w:cs="Arial" w:eastAsia="Arial" w:hAnsi="Arial"/>
          <w:sz w:val="16"/>
          <w:szCs w:val="16"/>
          <w:color w:val="auto"/>
        </w:rPr>
        <w:t>”), Section 2 of the Investor Agreement (comprising Sections 2.1 through 2.12 of the Investor Agreement) is hereby terminated and has no further force and effect.</w:t>
      </w:r>
    </w:p>
    <w:p>
      <w:pPr>
        <w:spacing w:after="0" w:line="175" w:lineRule="exact"/>
        <w:rPr>
          <w:rFonts w:ascii="Arial" w:cs="Arial" w:eastAsia="Arial" w:hAnsi="Arial"/>
          <w:sz w:val="16"/>
          <w:szCs w:val="16"/>
          <w:i w:val="1"/>
          <w:iCs w:val="1"/>
          <w:color w:val="auto"/>
        </w:rPr>
      </w:pPr>
    </w:p>
    <w:p>
      <w:pPr>
        <w:ind w:left="500" w:right="220" w:hanging="492"/>
        <w:spacing w:after="0" w:line="277" w:lineRule="auto"/>
        <w:tabs>
          <w:tab w:leader="none" w:pos="5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Board Designation Right (Section 3.1 of the Investor Agreement)</w:t>
      </w:r>
      <w:r>
        <w:rPr>
          <w:rFonts w:ascii="Arial" w:cs="Arial" w:eastAsia="Arial" w:hAnsi="Arial"/>
          <w:sz w:val="18"/>
          <w:szCs w:val="18"/>
          <w:color w:val="auto"/>
        </w:rPr>
        <w:t>. Effective as of and conditioned upon the Closing, Section 3.1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Investor Agreement is hereby terminated and has no further force and effect.</w:t>
      </w:r>
    </w:p>
    <w:p>
      <w:pPr>
        <w:spacing w:after="0" w:line="197" w:lineRule="exact"/>
        <w:rPr>
          <w:rFonts w:ascii="Arial" w:cs="Arial" w:eastAsia="Arial" w:hAnsi="Arial"/>
          <w:sz w:val="18"/>
          <w:szCs w:val="18"/>
          <w:i w:val="1"/>
          <w:iCs w:val="1"/>
          <w:color w:val="auto"/>
        </w:rPr>
      </w:pPr>
    </w:p>
    <w:p>
      <w:pPr>
        <w:ind w:left="500" w:right="220" w:hanging="492"/>
        <w:spacing w:after="0" w:line="277" w:lineRule="auto"/>
        <w:tabs>
          <w:tab w:leader="none" w:pos="5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Survival of Standstill (Section 4.1 of the Investor Agreement)</w:t>
      </w:r>
      <w:r>
        <w:rPr>
          <w:rFonts w:ascii="Arial" w:cs="Arial" w:eastAsia="Arial" w:hAnsi="Arial"/>
          <w:sz w:val="18"/>
          <w:szCs w:val="18"/>
          <w:color w:val="auto"/>
        </w:rPr>
        <w:t>. For the avoidance of doubt, Section 4.1 of the Investor Agreement shall continue in</w:t>
      </w:r>
      <w:r>
        <w:rPr>
          <w:rFonts w:ascii="Arial" w:cs="Arial" w:eastAsia="Arial" w:hAnsi="Arial"/>
          <w:sz w:val="18"/>
          <w:szCs w:val="18"/>
          <w:i w:val="1"/>
          <w:iCs w:val="1"/>
          <w:color w:val="auto"/>
        </w:rPr>
        <w:t xml:space="preserve"> </w:t>
      </w:r>
      <w:r>
        <w:rPr>
          <w:rFonts w:ascii="Arial" w:cs="Arial" w:eastAsia="Arial" w:hAnsi="Arial"/>
          <w:sz w:val="18"/>
          <w:szCs w:val="18"/>
          <w:color w:val="auto"/>
        </w:rPr>
        <w:t>full force and effect pursuant to its terms following the Closing.</w:t>
      </w:r>
    </w:p>
    <w:p>
      <w:pPr>
        <w:spacing w:after="0" w:line="197" w:lineRule="exact"/>
        <w:rPr>
          <w:rFonts w:ascii="Arial" w:cs="Arial" w:eastAsia="Arial" w:hAnsi="Arial"/>
          <w:sz w:val="18"/>
          <w:szCs w:val="18"/>
          <w:i w:val="1"/>
          <w:iCs w:val="1"/>
          <w:color w:val="auto"/>
        </w:rPr>
      </w:pPr>
    </w:p>
    <w:p>
      <w:pPr>
        <w:ind w:left="500" w:right="60" w:hanging="492"/>
        <w:spacing w:after="0" w:line="290" w:lineRule="auto"/>
        <w:tabs>
          <w:tab w:leader="none" w:pos="5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Survival of Restrictions on Dispositions (Section 5 of the Investor Agreement)</w:t>
      </w:r>
      <w:r>
        <w:rPr>
          <w:rFonts w:ascii="Arial" w:cs="Arial" w:eastAsia="Arial" w:hAnsi="Arial"/>
          <w:sz w:val="16"/>
          <w:szCs w:val="16"/>
          <w:color w:val="auto"/>
        </w:rPr>
        <w:t>. Section 5 of the Investor Agreement (comprising Sections 5.1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 5.4 of the Investor Agreement) shall continue in full force and effect pursuant to its terms, including the length of the Lock-Up Term, and shall apply to any shares of Common Stock beneficially owned by any Purchaser Party or Permitted Transferee following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funding mechanics and related provisions set forth in the 2018 Letter Agreement relating to the REGN2810 Development Costs and certain Dupilumab/REGN3500 Eligible Investments (each as defined in the 2018 Letter Agreement) shall apply to any such shares. For the avoidance of doubt, (a) this Letter Agreement shall not modify the rights of any Purchaser Party to transfer shares of Common Stock to a Permitted Transferee pursuant to and in compliance with the terms of the Investor Agreement and (b) Section 5.2(a) of the Investor Agreement shall continue to apply with respect to any underwritten public offering by the Purchaser Parties of shares of Common Stock following the expiration of the Lock-Up Term.</w:t>
      </w:r>
    </w:p>
    <w:p>
      <w:pPr>
        <w:spacing w:after="0" w:line="192" w:lineRule="exact"/>
        <w:rPr>
          <w:rFonts w:ascii="Arial" w:cs="Arial" w:eastAsia="Arial" w:hAnsi="Arial"/>
          <w:sz w:val="16"/>
          <w:szCs w:val="16"/>
          <w:i w:val="1"/>
          <w:iCs w:val="1"/>
          <w:color w:val="auto"/>
        </w:rPr>
      </w:pPr>
    </w:p>
    <w:p>
      <w:pPr>
        <w:ind w:left="500" w:right="100" w:hanging="492"/>
        <w:spacing w:after="0" w:line="275" w:lineRule="auto"/>
        <w:tabs>
          <w:tab w:leader="none" w:pos="5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Survival of Voting Agreement (Section 6 of the Investor Agreement)</w:t>
      </w:r>
      <w:r>
        <w:rPr>
          <w:rFonts w:ascii="Arial" w:cs="Arial" w:eastAsia="Arial" w:hAnsi="Arial"/>
          <w:sz w:val="17"/>
          <w:szCs w:val="17"/>
          <w:color w:val="auto"/>
        </w:rPr>
        <w:t>. Section 6 of the Investor Agreement (comprising Sections 6.1 through 6.3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Investor Agreement) shall continue in full force and effect with respect to any shares of Common Stock beneficially owned by any Purchaser Party following the Closing so long as any Purchaser Party or Permitted Transferee holds any shares of Common Stock held by any Purchaser Party immediately following the consummation of the Transaction; and, for the avoidance of doubt, it shall not terminate as a result of the Offering or the Purchaser Parties ceasing to own five percent (5%) of the voting power of Common Stock.</w:t>
      </w:r>
    </w:p>
    <w:p>
      <w:pPr>
        <w:spacing w:after="0" w:line="203" w:lineRule="exact"/>
        <w:rPr>
          <w:rFonts w:ascii="Arial" w:cs="Arial" w:eastAsia="Arial" w:hAnsi="Arial"/>
          <w:sz w:val="17"/>
          <w:szCs w:val="17"/>
          <w:i w:val="1"/>
          <w:iCs w:val="1"/>
          <w:color w:val="auto"/>
        </w:rPr>
      </w:pPr>
    </w:p>
    <w:p>
      <w:pPr>
        <w:ind w:left="500" w:hanging="492"/>
        <w:spacing w:after="0"/>
        <w:tabs>
          <w:tab w:leader="none" w:pos="5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Termination Provisions (Section 7 of the Investor Agreement)</w:t>
      </w:r>
      <w:r>
        <w:rPr>
          <w:rFonts w:ascii="Arial" w:cs="Arial" w:eastAsia="Arial" w:hAnsi="Arial"/>
          <w:sz w:val="18"/>
          <w:szCs w:val="18"/>
          <w:color w:val="auto"/>
        </w:rPr>
        <w:t>.</w:t>
      </w:r>
    </w:p>
    <w:p>
      <w:pPr>
        <w:spacing w:after="0" w:line="252" w:lineRule="exact"/>
        <w:rPr>
          <w:rFonts w:ascii="Arial" w:cs="Arial" w:eastAsia="Arial" w:hAnsi="Arial"/>
          <w:sz w:val="18"/>
          <w:szCs w:val="18"/>
          <w:i w:val="1"/>
          <w:iCs w:val="1"/>
          <w:color w:val="auto"/>
        </w:rPr>
      </w:pPr>
    </w:p>
    <w:p>
      <w:pPr>
        <w:ind w:left="660" w:hanging="328"/>
        <w:spacing w:after="0"/>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Effective as of and conditioned upon the Closing, Section 7.1 of the Investor Agreement is hereby replaced in its entirety with the following:</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“7.1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May 25,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3 of 4</w:t>
      </w:r>
    </w:p>
    <w:p>
      <w:pPr>
        <w:spacing w:after="0" w:line="423" w:lineRule="exact"/>
        <w:rPr>
          <w:sz w:val="20"/>
          <w:szCs w:val="20"/>
          <w:color w:val="auto"/>
        </w:rPr>
      </w:pPr>
    </w:p>
    <w:p>
      <w:pPr>
        <w:sectPr>
          <w:pgSz w:w="11900" w:h="16838" w:orient="portrait"/>
          <w:cols w:equalWidth="0" w:num="2">
            <w:col w:w="9700" w:space="720"/>
            <w:col w:w="820"/>
          </w:cols>
          <w:pgMar w:left="320" w:top="125" w:right="339" w:bottom="1440" w:gutter="0" w:footer="0" w:header="0"/>
        </w:sectPr>
      </w:pPr>
    </w:p>
    <w:p>
      <w:pPr>
        <w:ind w:left="340"/>
        <w:spacing w:after="0"/>
        <w:rPr>
          <w:sz w:val="20"/>
          <w:szCs w:val="20"/>
          <w:color w:val="auto"/>
        </w:rPr>
      </w:pPr>
      <w:r>
        <w:rPr>
          <w:rFonts w:ascii="Arial" w:cs="Arial" w:eastAsia="Arial" w:hAnsi="Arial"/>
          <w:sz w:val="16"/>
          <w:szCs w:val="16"/>
          <w:color w:val="auto"/>
        </w:rPr>
        <w:t>(b)  Effective as of and conditioned upon the Closing, Section 7.4(c) of the Investor Agreement is hereby replaced in its entirety with the following:</w:t>
      </w:r>
    </w:p>
    <w:p>
      <w:pPr>
        <w:spacing w:after="0" w:line="2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 [Reserved.]”</w:t>
      </w:r>
    </w:p>
    <w:p>
      <w:pPr>
        <w:spacing w:after="0" w:line="240" w:lineRule="exact"/>
        <w:rPr>
          <w:sz w:val="20"/>
          <w:szCs w:val="20"/>
          <w:color w:val="auto"/>
        </w:rPr>
      </w:pPr>
    </w:p>
    <w:p>
      <w:pPr>
        <w:ind w:left="500" w:right="520" w:hanging="492"/>
        <w:spacing w:after="0" w:line="342" w:lineRule="auto"/>
        <w:tabs>
          <w:tab w:leader="none" w:pos="50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of Other Rights (Section 8 of the Investor Agreement)</w:t>
      </w:r>
      <w:r>
        <w:rPr>
          <w:rFonts w:ascii="Arial" w:cs="Arial" w:eastAsia="Arial" w:hAnsi="Arial"/>
          <w:sz w:val="16"/>
          <w:szCs w:val="16"/>
          <w:color w:val="auto"/>
        </w:rPr>
        <w:t>. Effective as of and conditioned upon the Closing, Section 8 of the Investor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(comprising Sections 8.1 and 8.2 of the Investor Agreement) is hereby terminated and has no further force and effect.</w:t>
      </w:r>
    </w:p>
    <w:p>
      <w:pPr>
        <w:spacing w:after="0" w:line="144" w:lineRule="exact"/>
        <w:rPr>
          <w:sz w:val="20"/>
          <w:szCs w:val="20"/>
          <w:color w:val="auto"/>
        </w:rPr>
      </w:pPr>
    </w:p>
    <w:p>
      <w:pPr>
        <w:ind w:right="220" w:firstLine="648"/>
        <w:spacing w:after="0" w:line="287" w:lineRule="auto"/>
        <w:rPr>
          <w:sz w:val="20"/>
          <w:szCs w:val="20"/>
          <w:color w:val="auto"/>
        </w:rPr>
      </w:pPr>
      <w:r>
        <w:rPr>
          <w:rFonts w:ascii="Arial" w:cs="Arial" w:eastAsia="Arial" w:hAnsi="Arial"/>
          <w:sz w:val="19"/>
          <w:szCs w:val="19"/>
          <w:color w:val="auto"/>
        </w:rPr>
        <w:t>Except as expressly set forth herein or in the waiver letter, dated as of the date hereof, by and among Regeneron and the Purchaser Parties, no provision of the Investor Agreement is modified or waived, and the Investor Agreement shall continue in full force and effect in accordance with its terms. All references in the Investor Agreement to the Investor Agreement shall be deemed to be references to the Investor Agreement after giving effect to this Letter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confirm your agreement with the foregoing by returning a countersigned acknowledgement.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REGENERON PHARMACEUTICALS, INC.</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Robert E. Landry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Executive Vice President, Finance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Chief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 as of the Date Set forth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Linehan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Executive Vice President, Legal Affairs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General Counsel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SANOFI-AVENTIS US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Linehan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AVENTISUB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Linehan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Attorney-in-Fact</w:t>
      </w:r>
    </w:p>
    <w:p>
      <w:pPr>
        <w:spacing w:after="0" w:line="23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to the Investor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99.6</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25,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w:t>
      </w:r>
    </w:p>
    <w:p>
      <w:pPr>
        <w:spacing w:after="0" w:line="238" w:lineRule="auto"/>
        <w:rPr>
          <w:sz w:val="20"/>
          <w:szCs w:val="20"/>
          <w:color w:val="auto"/>
        </w:rPr>
      </w:pPr>
      <w:r>
        <w:rPr>
          <w:rFonts w:ascii="Arial" w:cs="Arial" w:eastAsia="Arial" w:hAnsi="Arial"/>
          <w:sz w:val="22"/>
          <w:szCs w:val="22"/>
          <w:color w:val="auto"/>
        </w:rPr>
        <w:t>200 West Street</w:t>
      </w:r>
    </w:p>
    <w:p>
      <w:pPr>
        <w:spacing w:after="0"/>
        <w:rPr>
          <w:sz w:val="20"/>
          <w:szCs w:val="20"/>
          <w:color w:val="auto"/>
        </w:rPr>
      </w:pPr>
      <w:r>
        <w:rPr>
          <w:rFonts w:ascii="Arial" w:cs="Arial" w:eastAsia="Arial" w:hAnsi="Arial"/>
          <w:sz w:val="22"/>
          <w:szCs w:val="22"/>
          <w:color w:val="auto"/>
        </w:rPr>
        <w:t>New York, New York 10282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38" w:lineRule="auto"/>
        <w:rPr>
          <w:sz w:val="20"/>
          <w:szCs w:val="20"/>
          <w:color w:val="auto"/>
        </w:rPr>
      </w:pPr>
      <w:r>
        <w:rPr>
          <w:rFonts w:ascii="Arial" w:cs="Arial" w:eastAsia="Arial" w:hAnsi="Arial"/>
          <w:sz w:val="22"/>
          <w:szCs w:val="22"/>
          <w:color w:val="auto"/>
        </w:rPr>
        <w:t>One Bryant Park, 11th Floor</w:t>
      </w: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Each of the undersigned understands that Goldman Sachs &amp; Co. LLC and BofA Securities, Inc. (the “</w:t>
      </w:r>
      <w:r>
        <w:rPr>
          <w:rFonts w:ascii="Arial" w:cs="Arial" w:eastAsia="Arial" w:hAnsi="Arial"/>
          <w:sz w:val="22"/>
          <w:szCs w:val="22"/>
          <w:b w:val="1"/>
          <w:bCs w:val="1"/>
          <w:color w:val="auto"/>
        </w:rPr>
        <w:t>Representatives</w:t>
      </w:r>
      <w:r>
        <w:rPr>
          <w:rFonts w:ascii="Arial" w:cs="Arial" w:eastAsia="Arial" w:hAnsi="Arial"/>
          <w:sz w:val="22"/>
          <w:szCs w:val="22"/>
          <w:color w:val="auto"/>
        </w:rPr>
        <w:t>”) propose to enter into an Underwriting Agreement (the “</w:t>
      </w:r>
      <w:r>
        <w:rPr>
          <w:rFonts w:ascii="Arial" w:cs="Arial" w:eastAsia="Arial" w:hAnsi="Arial"/>
          <w:sz w:val="22"/>
          <w:szCs w:val="22"/>
          <w:b w:val="1"/>
          <w:bCs w:val="1"/>
          <w:color w:val="auto"/>
        </w:rPr>
        <w:t>Underwriting Agreement</w:t>
      </w:r>
      <w:r>
        <w:rPr>
          <w:rFonts w:ascii="Arial" w:cs="Arial" w:eastAsia="Arial" w:hAnsi="Arial"/>
          <w:sz w:val="22"/>
          <w:szCs w:val="22"/>
          <w:color w:val="auto"/>
        </w:rPr>
        <w:t>”) with Regeneron Pharmaceuticals, Inc., a New York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the Selling Shareholders specified therein, providing for the public offering (the “</w:t>
      </w:r>
      <w:r>
        <w:rPr>
          <w:rFonts w:ascii="Arial" w:cs="Arial" w:eastAsia="Arial" w:hAnsi="Arial"/>
          <w:sz w:val="22"/>
          <w:szCs w:val="22"/>
          <w:b w:val="1"/>
          <w:bCs w:val="1"/>
          <w:color w:val="auto"/>
        </w:rPr>
        <w:t>Public Offering</w:t>
      </w:r>
      <w:r>
        <w:rPr>
          <w:rFonts w:ascii="Arial" w:cs="Arial" w:eastAsia="Arial" w:hAnsi="Arial"/>
          <w:sz w:val="22"/>
          <w:szCs w:val="22"/>
          <w:color w:val="auto"/>
        </w:rPr>
        <w:t>”) of shares (the “</w:t>
      </w:r>
      <w:r>
        <w:rPr>
          <w:rFonts w:ascii="Arial" w:cs="Arial" w:eastAsia="Arial" w:hAnsi="Arial"/>
          <w:sz w:val="22"/>
          <w:szCs w:val="22"/>
          <w:b w:val="1"/>
          <w:bCs w:val="1"/>
          <w:color w:val="auto"/>
        </w:rPr>
        <w:t>Shares</w:t>
      </w:r>
      <w:r>
        <w:rPr>
          <w:rFonts w:ascii="Arial" w:cs="Arial" w:eastAsia="Arial" w:hAnsi="Arial"/>
          <w:sz w:val="22"/>
          <w:szCs w:val="22"/>
          <w:color w:val="auto"/>
        </w:rPr>
        <w:t>”) of the Common Stock ($0.001 par value per share) of the Company (the “</w:t>
      </w:r>
      <w:r>
        <w:rPr>
          <w:rFonts w:ascii="Arial" w:cs="Arial" w:eastAsia="Arial" w:hAnsi="Arial"/>
          <w:sz w:val="22"/>
          <w:szCs w:val="22"/>
          <w:b w:val="1"/>
          <w:bCs w:val="1"/>
          <w:color w:val="auto"/>
        </w:rPr>
        <w:t>Common</w:t>
      </w:r>
      <w:r>
        <w:rPr>
          <w:rFonts w:ascii="Arial" w:cs="Arial" w:eastAsia="Arial" w:hAnsi="Arial"/>
          <w:sz w:val="22"/>
          <w:szCs w:val="22"/>
          <w:color w:val="auto"/>
        </w:rPr>
        <w:t xml:space="preserve"> </w:t>
      </w:r>
      <w:r>
        <w:rPr>
          <w:rFonts w:ascii="Arial" w:cs="Arial" w:eastAsia="Arial" w:hAnsi="Arial"/>
          <w:sz w:val="22"/>
          <w:szCs w:val="22"/>
          <w:b w:val="1"/>
          <w:bCs w:val="1"/>
          <w:color w:val="auto"/>
        </w:rPr>
        <w:t>Stock</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Each of undersigned hereby agrees that, without the prior written consent of the Representatives, it will not, during the period commencing on the date hereof and ending 90 days after the date of the final prospectus supplement relating to the Public Offering,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Public Offering; (b) transfers of shares of Common Stock or any security convertible into Common Stock as a bona fide gift; (c) distributions or transfers to family members, trusts, and/or controlled entities in connection with estate planning,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transferee shall sign and deliver a lock-up letter substantially in the form of this letter; (d) transfers or dispositions of shares of Common Stock or any security convertible or exchangeable into Common Stock to another corporation, partnership, limited liability company, trust or other business entity (or in each case its nominee or custodian) that is an affiliate (as defined in Rule 405 promulgated under the Securities Act of 1933, as amended) of such undersigned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transferee shall sign and deliver a lock-up letter substantially in the form of this letter; (e) the sale of Common Stock in the public market pursuant to a written trading plan in existence prior to the date hereof designed to comply with Rule 10b5-1 under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(f) the exercise of a stock option for, or the conversion of any convertible security into, shares of common stock, including, without limitation, by transferring or submitting for cancellation aged shares or shares otherwise issued or issuable upon the exercise of a stock option to the Company to satisfy the exercise price of a stock option under the Company’s long-term incentive plans (or to satisfy the minimum withholding tax required in connection with such option exercise); or (g) the sale or other transfer of shares of Common Stock to the Company (or any of its affiliates) pursuant to any agreement existing between such undersigned (or any of its affiliates) and the Company (or any of its affiliates) as of the date hereof and included as an exhibit to any document filed under the Exchange Act and incorporated by reference in the preliminary prospectus supplement relating to the Public Offering. In addition, each of the undersigned agrees that, without the prior written consent of the Representatives, it will not, during the period commencing on the date hereof and ending 90 days after the date of the final prospectus supplement, make any demand for or exercise any right with respect to, the registration of any shares of Common Stock or any security convertible into or exercisable or exchangeable for Common Stock. Each of the undersigned agrees and consents to the entry of stop transfer instructions with the Company’s transfer agent and registrar against the transfer of such undersigned’s shares of Common Stock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 w:name="page16"/>
    <w:bookmarkEnd w:id="15"/>
    <w:p>
      <w:pPr>
        <w:jc w:val="both"/>
        <w:ind w:firstLine="648"/>
        <w:spacing w:after="0"/>
        <w:rPr>
          <w:sz w:val="20"/>
          <w:szCs w:val="20"/>
          <w:color w:val="auto"/>
        </w:rPr>
      </w:pPr>
      <w:r>
        <w:rPr>
          <w:rFonts w:ascii="Arial" w:cs="Arial" w:eastAsia="Arial" w:hAnsi="Arial"/>
          <w:sz w:val="22"/>
          <w:szCs w:val="22"/>
          <w:color w:val="auto"/>
        </w:rPr>
        <w:t>Each of the undersigned will be released from its obligations under this agreement if the Underwriting Agreement is not executed prior to June 12, 2020, or if the Underwriting Agreement is terminated in accordance with its terms prior to payment for and delivery of the Shares.</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of the undersigned understands that the Company and the Representatives are relying upon this agreement. Each of the undersigned further understands that this agreement is irrevocable and shall be binding upon such undersigned’s heirs, legal representatives, successors and assigns.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23495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160655</wp:posOffset>
            </wp:positionV>
            <wp:extent cx="35572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8"/>
          <w:szCs w:val="18"/>
          <w:b w:val="1"/>
          <w:bCs w:val="1"/>
          <w:i w:val="1"/>
          <w:iCs w:val="1"/>
          <w:color w:val="auto"/>
        </w:rPr>
        <w:t>Karen Linehan of Sanofi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54, rue La Boétie, 75008,</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Paris,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314960</wp:posOffset>
            </wp:positionV>
            <wp:extent cx="35572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520"/>
        <w:spacing w:after="0"/>
        <w:rPr>
          <w:sz w:val="20"/>
          <w:szCs w:val="20"/>
          <w:color w:val="auto"/>
        </w:rPr>
      </w:pPr>
      <w:r>
        <w:rPr>
          <w:rFonts w:ascii="Arial" w:cs="Arial" w:eastAsia="Arial" w:hAnsi="Arial"/>
          <w:sz w:val="15"/>
          <w:szCs w:val="15"/>
          <w:b w:val="1"/>
          <w:bCs w:val="1"/>
          <w:i w:val="1"/>
          <w:iCs w:val="1"/>
          <w:color w:val="auto"/>
        </w:rPr>
        <w:t>Karen Linehan of Aventisub LLC</w:t>
      </w:r>
    </w:p>
    <w:p>
      <w:pPr>
        <w:spacing w:after="0" w:line="5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55 Corporate Drive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Bridgewater, NJ 08807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391795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11,831,496 Shares of 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26,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38" w:lineRule="auto"/>
        <w:rPr>
          <w:sz w:val="20"/>
          <w:szCs w:val="20"/>
          <w:color w:val="auto"/>
        </w:rPr>
      </w:pPr>
      <w:r>
        <w:rPr>
          <w:rFonts w:ascii="Arial" w:cs="Arial" w:eastAsia="Arial" w:hAnsi="Arial"/>
          <w:sz w:val="22"/>
          <w:szCs w:val="22"/>
          <w:color w:val="auto"/>
        </w:rPr>
        <w:t>One Bryant Park, 11th Floor</w:t>
      </w: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w:t>
      </w:r>
    </w:p>
    <w:p>
      <w:pPr>
        <w:spacing w:after="0" w:line="238" w:lineRule="auto"/>
        <w:rPr>
          <w:sz w:val="20"/>
          <w:szCs w:val="20"/>
          <w:color w:val="auto"/>
        </w:rPr>
      </w:pPr>
      <w:r>
        <w:rPr>
          <w:rFonts w:ascii="Arial" w:cs="Arial" w:eastAsia="Arial" w:hAnsi="Arial"/>
          <w:sz w:val="22"/>
          <w:szCs w:val="22"/>
          <w:color w:val="auto"/>
        </w:rPr>
        <w:t>200 West Street</w:t>
      </w:r>
    </w:p>
    <w:p>
      <w:pPr>
        <w:spacing w:after="0"/>
        <w:rPr>
          <w:sz w:val="20"/>
          <w:szCs w:val="20"/>
          <w:color w:val="auto"/>
        </w:rPr>
      </w:pPr>
      <w:r>
        <w:rPr>
          <w:rFonts w:ascii="Arial" w:cs="Arial" w:eastAsia="Arial" w:hAnsi="Arial"/>
          <w:sz w:val="22"/>
          <w:szCs w:val="22"/>
          <w:color w:val="auto"/>
        </w:rPr>
        <w:t>New York, New York 10282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w:t>
      </w:r>
    </w:p>
    <w:p>
      <w:pPr>
        <w:spacing w:after="0" w:line="238" w:lineRule="auto"/>
        <w:rPr>
          <w:sz w:val="20"/>
          <w:szCs w:val="20"/>
          <w:color w:val="auto"/>
        </w:rPr>
      </w:pPr>
      <w:r>
        <w:rPr>
          <w:rFonts w:ascii="Arial" w:cs="Arial" w:eastAsia="Arial" w:hAnsi="Arial"/>
          <w:sz w:val="22"/>
          <w:szCs w:val="22"/>
          <w:color w:val="auto"/>
        </w:rPr>
        <w:t>Underwriters named in</w:t>
      </w:r>
    </w:p>
    <w:p>
      <w:pPr>
        <w:spacing w:after="0"/>
        <w:rPr>
          <w:sz w:val="20"/>
          <w:szCs w:val="20"/>
          <w:color w:val="auto"/>
        </w:rPr>
      </w:pPr>
      <w:r>
        <w:rPr>
          <w:rFonts w:ascii="Arial" w:cs="Arial" w:eastAsia="Arial" w:hAnsi="Arial"/>
          <w:sz w:val="22"/>
          <w:szCs w:val="22"/>
          <w:color w:val="auto"/>
        </w:rPr>
        <w:t>Schedule A hereto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Regeneron Pharmaceuticals, Inc., a corporation organized under the laws of New York (the “</w:t>
      </w:r>
      <w:r>
        <w:rPr>
          <w:rFonts w:ascii="Arial" w:cs="Arial" w:eastAsia="Arial" w:hAnsi="Arial"/>
          <w:sz w:val="19"/>
          <w:szCs w:val="19"/>
          <w:u w:val="single" w:color="auto"/>
          <w:color w:val="auto"/>
        </w:rPr>
        <w:t>Company</w:t>
      </w:r>
      <w:r>
        <w:rPr>
          <w:rFonts w:ascii="Arial" w:cs="Arial" w:eastAsia="Arial" w:hAnsi="Arial"/>
          <w:sz w:val="19"/>
          <w:szCs w:val="19"/>
          <w:color w:val="auto"/>
        </w:rPr>
        <w:t>”), Sanofi, a French société anonyme (“</w:t>
      </w:r>
      <w:r>
        <w:rPr>
          <w:rFonts w:ascii="Arial" w:cs="Arial" w:eastAsia="Arial" w:hAnsi="Arial"/>
          <w:sz w:val="19"/>
          <w:szCs w:val="19"/>
          <w:u w:val="single" w:color="auto"/>
          <w:color w:val="auto"/>
        </w:rPr>
        <w:t>Sanofi</w:t>
      </w:r>
      <w:r>
        <w:rPr>
          <w:rFonts w:ascii="Arial" w:cs="Arial" w:eastAsia="Arial" w:hAnsi="Arial"/>
          <w:sz w:val="19"/>
          <w:szCs w:val="19"/>
          <w:color w:val="auto"/>
        </w:rPr>
        <w:t>”), and Aventisub LLC, a Delaware limited liability company and wholly owned subsidiary of Sanofi (“</w:t>
      </w:r>
      <w:r>
        <w:rPr>
          <w:rFonts w:ascii="Arial" w:cs="Arial" w:eastAsia="Arial" w:hAnsi="Arial"/>
          <w:sz w:val="19"/>
          <w:szCs w:val="19"/>
          <w:u w:val="single" w:color="auto"/>
          <w:color w:val="auto"/>
        </w:rPr>
        <w:t>Aventisub</w:t>
      </w:r>
      <w:r>
        <w:rPr>
          <w:rFonts w:ascii="Arial" w:cs="Arial" w:eastAsia="Arial" w:hAnsi="Arial"/>
          <w:sz w:val="19"/>
          <w:szCs w:val="19"/>
          <w:color w:val="auto"/>
        </w:rPr>
        <w:t>” and together with Sanofi, the “Selling Shareholders”), confirm their respective agreements with the several underwriters named in Schedule A hereto, acting severally and not jointly (the “</w:t>
      </w:r>
      <w:r>
        <w:rPr>
          <w:rFonts w:ascii="Arial" w:cs="Arial" w:eastAsia="Arial" w:hAnsi="Arial"/>
          <w:sz w:val="19"/>
          <w:szCs w:val="19"/>
          <w:u w:val="single" w:color="auto"/>
          <w:color w:val="auto"/>
        </w:rPr>
        <w:t>Underwriters</w:t>
      </w:r>
      <w:r>
        <w:rPr>
          <w:rFonts w:ascii="Arial" w:cs="Arial" w:eastAsia="Arial" w:hAnsi="Arial"/>
          <w:sz w:val="19"/>
          <w:szCs w:val="19"/>
          <w:color w:val="auto"/>
        </w:rPr>
        <w:t>”), for whom you (in such capacity, the “</w:t>
      </w:r>
      <w:r>
        <w:rPr>
          <w:rFonts w:ascii="Arial" w:cs="Arial" w:eastAsia="Arial" w:hAnsi="Arial"/>
          <w:sz w:val="19"/>
          <w:szCs w:val="19"/>
          <w:u w:val="single" w:color="auto"/>
          <w:color w:val="auto"/>
        </w:rPr>
        <w:t>Representatives</w:t>
      </w:r>
      <w:r>
        <w:rPr>
          <w:rFonts w:ascii="Arial" w:cs="Arial" w:eastAsia="Arial" w:hAnsi="Arial"/>
          <w:sz w:val="19"/>
          <w:szCs w:val="19"/>
          <w:color w:val="auto"/>
        </w:rPr>
        <w:t>”) are acting as representatives, with respect to (i) the sale by the Selling Shareholders of an aggregate of 11,831,496 shares of common stock, par value $0.001 per share, of the Company (the “</w:t>
      </w:r>
      <w:r>
        <w:rPr>
          <w:rFonts w:ascii="Arial" w:cs="Arial" w:eastAsia="Arial" w:hAnsi="Arial"/>
          <w:sz w:val="19"/>
          <w:szCs w:val="19"/>
          <w:u w:val="single" w:color="auto"/>
          <w:color w:val="auto"/>
        </w:rPr>
        <w:t>Common Stock</w:t>
      </w:r>
      <w:r>
        <w:rPr>
          <w:rFonts w:ascii="Arial" w:cs="Arial" w:eastAsia="Arial" w:hAnsi="Arial"/>
          <w:sz w:val="19"/>
          <w:szCs w:val="19"/>
          <w:color w:val="auto"/>
        </w:rPr>
        <w:t>”) and the purchase by the Underwriters, acting severally and not jointly, of the respective number of shares of Common Stock set forth on Schedule A hereto, and (ii) the grant by the Selling Shareholders, to the Underwriters, acting severally and not jointly, of the option described in Section 2(b) hereof to purchase all or any part of 1,183,150 additional shares of Common Stock. The aforesaid 11,831,496 shares of Common Stock (the “</w:t>
      </w:r>
      <w:r>
        <w:rPr>
          <w:rFonts w:ascii="Arial" w:cs="Arial" w:eastAsia="Arial" w:hAnsi="Arial"/>
          <w:sz w:val="19"/>
          <w:szCs w:val="19"/>
          <w:u w:val="single" w:color="auto"/>
          <w:color w:val="auto"/>
        </w:rPr>
        <w:t>Initial Securities</w:t>
      </w:r>
      <w:r>
        <w:rPr>
          <w:rFonts w:ascii="Arial" w:cs="Arial" w:eastAsia="Arial" w:hAnsi="Arial"/>
          <w:sz w:val="19"/>
          <w:szCs w:val="19"/>
          <w:color w:val="auto"/>
        </w:rPr>
        <w:t>”) to be purchased by the Underwriters and all or any part of the 1,183,150 shares of Common Stock subject to the option described in Section 2(b) hereof (the “</w:t>
      </w:r>
      <w:r>
        <w:rPr>
          <w:rFonts w:ascii="Arial" w:cs="Arial" w:eastAsia="Arial" w:hAnsi="Arial"/>
          <w:sz w:val="19"/>
          <w:szCs w:val="19"/>
          <w:u w:val="single" w:color="auto"/>
          <w:color w:val="auto"/>
        </w:rPr>
        <w:t>Option Securities</w:t>
      </w:r>
      <w:r>
        <w:rPr>
          <w:rFonts w:ascii="Arial" w:cs="Arial" w:eastAsia="Arial" w:hAnsi="Arial"/>
          <w:sz w:val="19"/>
          <w:szCs w:val="19"/>
          <w:color w:val="auto"/>
        </w:rPr>
        <w:t>”) are herein called, collectively, the “</w:t>
      </w:r>
      <w:r>
        <w:rPr>
          <w:rFonts w:ascii="Arial" w:cs="Arial" w:eastAsia="Arial" w:hAnsi="Arial"/>
          <w:sz w:val="19"/>
          <w:szCs w:val="19"/>
          <w:u w:val="single" w:color="auto"/>
          <w:color w:val="auto"/>
        </w:rPr>
        <w:t>Securities</w:t>
      </w:r>
      <w:r>
        <w:rPr>
          <w:rFonts w:ascii="Arial" w:cs="Arial" w:eastAsia="Arial" w:hAnsi="Arial"/>
          <w:sz w:val="19"/>
          <w:szCs w:val="19"/>
          <w:color w:val="auto"/>
        </w:rPr>
        <w:t>.” To the extent there are no additional Underwriters listed on Schedule A other than you, the term Representatives as used herein shall mean you, as Underwriters, and the terms Representatives and Underwriters shall mean either the singular or plural as the context requires. Any reference herein to the Registration Statement, the Base Prospectus, any Preliminary Prospectus or the Final Prospectus shall be deemed to refer to and include the documents incorporated by reference therein as of the Execution Time;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 Certain terms used herein are defined in Section 21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 w:name="page19"/>
    <w:bookmarkEnd w:id="18"/>
    <w:p>
      <w:pPr>
        <w:ind w:left="1084" w:hanging="760"/>
        <w:spacing w:after="0"/>
        <w:tabs>
          <w:tab w:leader="none" w:pos="1084"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4" w:hanging="404"/>
        <w:spacing w:after="0"/>
        <w:tabs>
          <w:tab w:leader="none" w:pos="40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Company represents and warrants to, and agrees with, each Underwriter as set forth below in this Section 1(a).</w:t>
      </w:r>
    </w:p>
    <w:p>
      <w:pPr>
        <w:spacing w:after="0" w:line="268" w:lineRule="exact"/>
        <w:rPr>
          <w:sz w:val="20"/>
          <w:szCs w:val="20"/>
          <w:color w:val="auto"/>
        </w:rPr>
      </w:pPr>
    </w:p>
    <w:p>
      <w:pPr>
        <w:ind w:left="4" w:right="20" w:firstLine="320"/>
        <w:spacing w:after="0" w:line="271" w:lineRule="auto"/>
        <w:tabs>
          <w:tab w:leader="none" w:pos="1068"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Company meets the requirements for use of Form S-3 under the Act and has prepared and filed with the Commission an automatic shelf registration statement, as defined in Rule 405, on Form S-3 (File No. 333- 228352), including a related Base Prospectus, for registration under the Act of the offering and sale of the Securities. Such Registration Statement, including any amendments thereto filed prior to the Execution Time, became effective upon filing. The Company may have filed with the Commission, as part of an amendment to the Registration Statement or pursuant to Rule 424(b), one or more preliminary prospectus supplements relating to the Securities, each of which has previously been furnished to you. The Company will file with the Commission a final prospectus supplement relating to the Securities in accordance with Rule 424(b). As filed, such final prospectus supplement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the information contained in the Base Prospectus and any Preliminary Prospectus) as the Company has advised you, prior to the Execution Time, will be included or made therein. The Registration Statement, at the Execution Time, meets the requirements set forth in Rule 415(a)(1)(i).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3" w:lineRule="exact"/>
        <w:rPr>
          <w:rFonts w:ascii="Arial" w:cs="Arial" w:eastAsia="Arial" w:hAnsi="Arial"/>
          <w:sz w:val="19"/>
          <w:szCs w:val="19"/>
          <w:color w:val="auto"/>
        </w:rPr>
      </w:pPr>
    </w:p>
    <w:p>
      <w:pPr>
        <w:ind w:left="4" w:right="60" w:firstLine="320"/>
        <w:spacing w:after="0" w:line="271" w:lineRule="auto"/>
        <w:tabs>
          <w:tab w:leader="none" w:pos="1078" w:val="left"/>
        </w:tabs>
        <w:numPr>
          <w:ilvl w:val="0"/>
          <w:numId w:val="10"/>
        </w:numPr>
        <w:rPr>
          <w:rFonts w:ascii="Arial" w:cs="Arial" w:eastAsia="Arial" w:hAnsi="Arial"/>
          <w:sz w:val="19"/>
          <w:szCs w:val="19"/>
          <w:color w:val="auto"/>
        </w:rPr>
      </w:pPr>
      <w:r>
        <w:rPr>
          <w:rFonts w:ascii="Arial" w:cs="Arial" w:eastAsia="Arial" w:hAnsi="Arial"/>
          <w:sz w:val="19"/>
          <w:szCs w:val="19"/>
          <w:color w:val="auto"/>
        </w:rPr>
        <w:t>On each Effective Date, the Registration Statement did, and when the Final Prospectus is first filed in accordance with Rule 424(b) and on the Closing Date and any Date of Delivery (each as defined herein), the Final Prospectus (and any supplement thereto) will, comply in all material respects with the applicable requirements of the Act and the Exchange Act and the respective rules thereunder; on each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on the Closing Date and on any Date of Delivery, the Final Prospectus (together with any supplement thereto) will not include any untrue statement of a material fact or omit to state a material fact necessary in order to make the statements therein, in the light of the circumstances under which they were made, not misleading; provided, however,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8(c) hereof.</w:t>
      </w:r>
    </w:p>
    <w:p>
      <w:pPr>
        <w:spacing w:after="0" w:line="187" w:lineRule="exact"/>
        <w:rPr>
          <w:rFonts w:ascii="Arial" w:cs="Arial" w:eastAsia="Arial" w:hAnsi="Arial"/>
          <w:sz w:val="19"/>
          <w:szCs w:val="19"/>
          <w:color w:val="auto"/>
        </w:rPr>
      </w:pPr>
    </w:p>
    <w:p>
      <w:pPr>
        <w:ind w:left="4" w:firstLine="320"/>
        <w:spacing w:after="0" w:line="274" w:lineRule="auto"/>
        <w:tabs>
          <w:tab w:leader="none" w:pos="1084"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Company is not an “ineligible issuer” pursuant to Rules 164, 405 and 433 under the Act in connection with the offering. Any Issuer Free Writing Prospectus that the Company is required to file pursuant to Rule 433(d) under the Act has been, or will be, filed with the Commission in accordance with the requirements of the Act and the applicable rules and regulations of the Commission thereunder. Each Issuer Free Writing Prospectus that the Company has filed, or is required to file, pursuant to Rule 433(d) under the Act or that was prepared by or behalf of or used or referred to by the Company complies or will comply in all material respects with the requirements of the Act and the applicable rules and regulations of the Commission thereunder. Except for the Issuer Free Writing Prospectus, if any, identified in Schedule B hereto, and electronic road shows, if any, each furnished to you before first use, the Company has not prepared, used or referred to, and will not, without your prior consent, prepare, use or refer to, any Issuer Free Writing Prospectus.</w:t>
      </w:r>
    </w:p>
    <w:p>
      <w:pPr>
        <w:spacing w:after="0" w:line="363"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18" w:right="399" w:bottom="1440" w:gutter="0" w:footer="0" w:header="0"/>
        </w:sectPr>
      </w:pPr>
    </w:p>
    <w:bookmarkStart w:id="19" w:name="page20"/>
    <w:bookmarkEnd w:id="19"/>
    <w:p>
      <w:pPr>
        <w:ind w:left="-320" w:right="140" w:firstLine="320"/>
        <w:spacing w:after="0" w:line="273" w:lineRule="auto"/>
        <w:tabs>
          <w:tab w:leader="none" w:pos="802"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documents incorporated or deemed to be incorporated by reference in the Registration Statement, the Preliminary Prospectus and the Final Prospectus, at the time they were or hereafter are filed with the Commission (or, in the case of the Preliminary Prospectus, first used, and, in the case of the Final Prospectus, for so long as a prospectus is required to be delivered in connection with the sale of the Securities), complied and will comply in all material respects with the requirements of the Exchange Act and the rules and regulations of the Commission thereunder and, when read together with the other information in (i) the Preliminary Prospectus, at the time the Registration Statement became effective and at the time of each sale of Securities in the offering when the Final Prospectus is not yet available to prospective purchasers, and (ii) the Final Prospectus at the time the Final Prospectus was issued and at the Closing Time, in each case, did not and will not contain an untrue statement of a material fact or omit to state a material fact required to be stated therein or necessary to make the statements therein not misleading.</w:t>
      </w:r>
    </w:p>
    <w:p>
      <w:pPr>
        <w:spacing w:after="0" w:line="188" w:lineRule="exact"/>
        <w:rPr>
          <w:rFonts w:ascii="Arial" w:cs="Arial" w:eastAsia="Arial" w:hAnsi="Arial"/>
          <w:sz w:val="19"/>
          <w:szCs w:val="19"/>
          <w:color w:val="auto"/>
        </w:rPr>
      </w:pPr>
    </w:p>
    <w:p>
      <w:pPr>
        <w:ind w:left="-320" w:right="60" w:firstLine="320"/>
        <w:spacing w:after="0" w:line="279" w:lineRule="auto"/>
        <w:tabs>
          <w:tab w:leader="none" w:pos="796" w:val="left"/>
        </w:tabs>
        <w:numPr>
          <w:ilvl w:val="0"/>
          <w:numId w:val="11"/>
        </w:numPr>
        <w:rPr>
          <w:rFonts w:ascii="Arial" w:cs="Arial" w:eastAsia="Arial" w:hAnsi="Arial"/>
          <w:sz w:val="19"/>
          <w:szCs w:val="19"/>
          <w:color w:val="auto"/>
        </w:rPr>
      </w:pPr>
      <w:r>
        <w:rPr>
          <w:rFonts w:ascii="Arial" w:cs="Arial" w:eastAsia="Arial" w:hAnsi="Arial"/>
          <w:sz w:val="19"/>
          <w:szCs w:val="19"/>
          <w:color w:val="auto"/>
        </w:rPr>
        <w:t>(A) At the original effectiveness of the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the Securities in reliance on the exemption of Rule 163 under the Act, and (D) as of the Execution Time, the Company was and is a “well-known seasoned issuer” (as defined in Rule 405).</w:t>
      </w:r>
    </w:p>
    <w:p>
      <w:pPr>
        <w:spacing w:after="0" w:line="177" w:lineRule="exact"/>
        <w:rPr>
          <w:rFonts w:ascii="Arial" w:cs="Arial" w:eastAsia="Arial" w:hAnsi="Arial"/>
          <w:sz w:val="19"/>
          <w:szCs w:val="19"/>
          <w:color w:val="auto"/>
        </w:rPr>
      </w:pPr>
    </w:p>
    <w:p>
      <w:pPr>
        <w:ind w:left="-320" w:right="300" w:firstLine="320"/>
        <w:spacing w:after="0" w:line="238" w:lineRule="auto"/>
        <w:tabs>
          <w:tab w:leader="none" w:pos="802"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accountants who certified the consolidated historical financial statements of the Company and its consolidated subsidiaries incorporated by reference in the Preliminary Prospectus, the Final Prospectus and the Registration Statement are independent public accountants as required by the 1933 Act and the rules and regulations of the Commission under the Act (the “</w:t>
      </w:r>
      <w:r>
        <w:rPr>
          <w:rFonts w:ascii="Arial" w:cs="Arial" w:eastAsia="Arial" w:hAnsi="Arial"/>
          <w:sz w:val="22"/>
          <w:szCs w:val="22"/>
          <w:u w:val="single" w:color="auto"/>
          <w:color w:val="auto"/>
        </w:rPr>
        <w:t>1933 Act Regulations</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ind w:left="-320" w:firstLine="320"/>
        <w:spacing w:after="0" w:line="244" w:lineRule="auto"/>
        <w:tabs>
          <w:tab w:leader="none" w:pos="754"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consolidated historical financial statements of the Company and its consolidated subsidiaries incorporated by reference in the Preliminary Prospectus, the Final Prospectus and the Registration Statement, together with the related schedules and notes, present fairly the respective financial positions of the Company at the dates indicated and the statement of operations, stockholders’ equity and cash flows of the Company for the periods specified; said financial statements have been prepared in conformity with generally accepted accounting principles (“</w:t>
      </w:r>
      <w:r>
        <w:rPr>
          <w:rFonts w:ascii="Arial" w:cs="Arial" w:eastAsia="Arial" w:hAnsi="Arial"/>
          <w:sz w:val="21"/>
          <w:szCs w:val="21"/>
          <w:u w:val="single" w:color="auto"/>
          <w:color w:val="auto"/>
        </w:rPr>
        <w:t>GAAP</w:t>
      </w:r>
      <w:r>
        <w:rPr>
          <w:rFonts w:ascii="Arial" w:cs="Arial" w:eastAsia="Arial" w:hAnsi="Arial"/>
          <w:sz w:val="21"/>
          <w:szCs w:val="21"/>
          <w:color w:val="auto"/>
        </w:rPr>
        <w:t>”) applied on a consistent basis throughout the periods involved, except as disclosed in the Registration Statement, the Disclosure Package and the Final Prospectus. The selected financial data included in the Final Prospectus present fairly the information shown therein and have been compiled on a basis consistent with that of the audited financial statements included in the Registration Statement, except as disclosed in the Registration Statement, the Disclosure Package and the Final Prospectus. All disclosures in the Registration Statement, the Disclosure Package and the Final Prospectus regarding “non-GAAP financial measures” (as such term is defined by the rules and regulations of the Commission) comply with Regulation G under the Exchange Act and Item 10(e) of Regulation S-K of the 1933 Act Regulations, to the extent applicable.</w:t>
      </w:r>
    </w:p>
    <w:p>
      <w:pPr>
        <w:spacing w:after="0" w:line="210" w:lineRule="exact"/>
        <w:rPr>
          <w:rFonts w:ascii="Arial" w:cs="Arial" w:eastAsia="Arial" w:hAnsi="Arial"/>
          <w:sz w:val="21"/>
          <w:szCs w:val="21"/>
          <w:color w:val="auto"/>
        </w:rPr>
      </w:pPr>
    </w:p>
    <w:p>
      <w:pPr>
        <w:ind w:left="-320" w:right="60" w:firstLine="320"/>
        <w:spacing w:after="0" w:line="272" w:lineRule="auto"/>
        <w:tabs>
          <w:tab w:leader="none" w:pos="7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Company and its subsidiaries maintain systems of “internal control over financial reporting” (as defined in Rule 13a-15(f) of the Exchange Act) that are designed to comply with the requirements of the Exchange Act and have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disclosed in the Registration Statement, the Disclosure Package and the Final Prospectus, the Company is not aware of any material weaknesses in the Company’s internal controls.</w:t>
      </w:r>
    </w:p>
    <w:p>
      <w:pPr>
        <w:spacing w:after="0" w:line="361"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18" w:right="339" w:bottom="1440" w:gutter="0" w:footer="0" w:header="0"/>
        </w:sectPr>
      </w:pPr>
    </w:p>
    <w:bookmarkStart w:id="20" w:name="page21"/>
    <w:bookmarkEnd w:id="20"/>
    <w:p>
      <w:pPr>
        <w:ind w:left="-320" w:right="300" w:firstLine="320"/>
        <w:spacing w:after="0" w:line="297" w:lineRule="auto"/>
        <w:tabs>
          <w:tab w:leader="none" w:pos="748" w:val="left"/>
        </w:tabs>
        <w:numPr>
          <w:ilvl w:val="0"/>
          <w:numId w:val="12"/>
        </w:numPr>
        <w:rPr>
          <w:rFonts w:ascii="Arial" w:cs="Arial" w:eastAsia="Arial" w:hAnsi="Arial"/>
          <w:sz w:val="19"/>
          <w:szCs w:val="19"/>
          <w:color w:val="auto"/>
        </w:rPr>
      </w:pPr>
      <w:r>
        <w:rPr>
          <w:rFonts w:ascii="Arial" w:cs="Arial" w:eastAsia="Arial" w:hAnsi="Arial"/>
          <w:sz w:val="19"/>
          <w:szCs w:val="19"/>
          <w:color w:val="auto"/>
        </w:rPr>
        <w:t>Since the date of the latest audited financial statements included or incorporated by reference in the Preliminary Prospectus, there has been no change in the Company’s internal control over financial reporting that has materially affected, or is reasonably likely to materially affect, the Company’s internal control over financial reporting.</w:t>
      </w:r>
    </w:p>
    <w:p>
      <w:pPr>
        <w:spacing w:after="0" w:line="161" w:lineRule="exact"/>
        <w:rPr>
          <w:rFonts w:ascii="Arial" w:cs="Arial" w:eastAsia="Arial" w:hAnsi="Arial"/>
          <w:sz w:val="19"/>
          <w:szCs w:val="19"/>
          <w:color w:val="auto"/>
        </w:rPr>
      </w:pPr>
    </w:p>
    <w:p>
      <w:pPr>
        <w:ind w:left="-320" w:right="80" w:firstLine="320"/>
        <w:spacing w:after="0" w:line="277" w:lineRule="auto"/>
        <w:tabs>
          <w:tab w:leader="none" w:pos="796" w:val="left"/>
        </w:tabs>
        <w:numPr>
          <w:ilvl w:val="0"/>
          <w:numId w:val="12"/>
        </w:numPr>
        <w:rPr>
          <w:rFonts w:ascii="Arial" w:cs="Arial" w:eastAsia="Arial" w:hAnsi="Arial"/>
          <w:sz w:val="19"/>
          <w:szCs w:val="19"/>
          <w:color w:val="auto"/>
        </w:rPr>
      </w:pPr>
      <w:r>
        <w:rPr>
          <w:rFonts w:ascii="Arial" w:cs="Arial" w:eastAsia="Arial" w:hAnsi="Arial"/>
          <w:sz w:val="19"/>
          <w:szCs w:val="19"/>
          <w:color w:val="auto"/>
        </w:rPr>
        <w:t>Since the respective dates as of which information is given in the Registration Statement, the Disclosure Package and the Final Prospectus, except as otherwise stated therein, (A) there has been no material adverse change or a development known to the Company involving a prospective material adverse change, in the condition, financial or otherwise, or in the earnings or business affairs of the Company, whether or not arising in the ordinary course of business (a “</w:t>
      </w:r>
      <w:r>
        <w:rPr>
          <w:rFonts w:ascii="Arial" w:cs="Arial" w:eastAsia="Arial" w:hAnsi="Arial"/>
          <w:sz w:val="19"/>
          <w:szCs w:val="19"/>
          <w:b w:val="1"/>
          <w:bCs w:val="1"/>
          <w:color w:val="auto"/>
        </w:rPr>
        <w:t>Material Adverse Effect</w:t>
      </w:r>
      <w:r>
        <w:rPr>
          <w:rFonts w:ascii="Arial" w:cs="Arial" w:eastAsia="Arial" w:hAnsi="Arial"/>
          <w:sz w:val="19"/>
          <w:szCs w:val="19"/>
          <w:color w:val="auto"/>
        </w:rPr>
        <w:t>”),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w:t>
      </w:r>
    </w:p>
    <w:p>
      <w:pPr>
        <w:spacing w:after="0" w:line="178" w:lineRule="exact"/>
        <w:rPr>
          <w:rFonts w:ascii="Arial" w:cs="Arial" w:eastAsia="Arial" w:hAnsi="Arial"/>
          <w:sz w:val="19"/>
          <w:szCs w:val="19"/>
          <w:color w:val="auto"/>
        </w:rPr>
      </w:pPr>
    </w:p>
    <w:p>
      <w:pPr>
        <w:ind w:left="-320" w:right="80" w:firstLine="320"/>
        <w:spacing w:after="0" w:line="245" w:lineRule="auto"/>
        <w:tabs>
          <w:tab w:leader="none" w:pos="748" w:val="left"/>
        </w:tabs>
        <w:numPr>
          <w:ilvl w:val="0"/>
          <w:numId w:val="12"/>
        </w:numPr>
        <w:rPr>
          <w:rFonts w:ascii="Arial" w:cs="Arial" w:eastAsia="Arial" w:hAnsi="Arial"/>
          <w:sz w:val="21"/>
          <w:szCs w:val="21"/>
          <w:color w:val="auto"/>
        </w:rPr>
      </w:pPr>
      <w:r>
        <w:rPr>
          <w:rFonts w:ascii="Arial" w:cs="Arial" w:eastAsia="Arial" w:hAnsi="Arial"/>
          <w:sz w:val="21"/>
          <w:szCs w:val="21"/>
          <w:color w:val="auto"/>
        </w:rPr>
        <w:t>Each of the Company and each significant subsidiary of the Company, as defined by Rule 1-02(w) of Regulation S-X (the “</w:t>
      </w:r>
      <w:r>
        <w:rPr>
          <w:rFonts w:ascii="Arial" w:cs="Arial" w:eastAsia="Arial" w:hAnsi="Arial"/>
          <w:sz w:val="21"/>
          <w:szCs w:val="21"/>
          <w:u w:val="single" w:color="auto"/>
          <w:color w:val="auto"/>
        </w:rPr>
        <w:t>subsidiaries</w:t>
      </w:r>
      <w:r>
        <w:rPr>
          <w:rFonts w:ascii="Arial" w:cs="Arial" w:eastAsia="Arial" w:hAnsi="Arial"/>
          <w:sz w:val="21"/>
          <w:szCs w:val="21"/>
          <w:color w:val="auto"/>
        </w:rPr>
        <w:t>”), has been duly incorporated or organized and is validly existing and in good standing (to the extent such concept is recognized by its jurisdiction of incorporation or organization) under the laws of the jurisdiction in which it is chartered or organized with full power and authority to own or lease, as the case may be, and to operate its properties and conduct its business as described in the Disclosure Package and the Final Prospectus, and is duly qualified to do business as a foreign corporation and is in good standing (to the extent such concept is recognized by such jurisdiction) under the laws of each jurisdiction which requires such qualification, except where the failure to be so qualified would not result in a Material Adverse Effect, except as set forth in or contemplated in the Disclosure Package and the Final Prospectus.</w:t>
      </w:r>
    </w:p>
    <w:p>
      <w:pPr>
        <w:spacing w:after="0" w:line="211" w:lineRule="exact"/>
        <w:rPr>
          <w:rFonts w:ascii="Arial" w:cs="Arial" w:eastAsia="Arial" w:hAnsi="Arial"/>
          <w:sz w:val="21"/>
          <w:szCs w:val="21"/>
          <w:color w:val="auto"/>
        </w:rPr>
      </w:pPr>
    </w:p>
    <w:p>
      <w:pPr>
        <w:ind w:left="760" w:hanging="760"/>
        <w:spacing w:after="0"/>
        <w:tabs>
          <w:tab w:leader="none" w:pos="7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33" w:lineRule="exact"/>
        <w:rPr>
          <w:rFonts w:ascii="Arial" w:cs="Arial" w:eastAsia="Arial" w:hAnsi="Arial"/>
          <w:sz w:val="22"/>
          <w:szCs w:val="22"/>
          <w:color w:val="auto"/>
        </w:rPr>
      </w:pPr>
    </w:p>
    <w:p>
      <w:pPr>
        <w:ind w:left="-320" w:right="20" w:firstLine="320"/>
        <w:spacing w:after="0" w:line="245" w:lineRule="auto"/>
        <w:tabs>
          <w:tab w:leader="none" w:pos="76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outstanding shares of capital stock of the Company, including the Securities to be purchased by the Underwriters from the Selling Shareholders, have been duly authorized and validly issued and are fully paid and non-assessable. The authorized, issued and outstanding shares of capital stock of the Company are as set forth in the Disclosure Package and the Final Prospectus in the column entitled “Actual” under the caption “Capitalization” (except for subsequent conversions and issuances, if any, pursuant to this Agreement, pursuant to reservations, agreements or employee benefit plans referred to in the Disclosure Package and the Final Prospectus or pursuant to the disposition or exercise of convertible securities or options referred to in the Disclosure Package and the Final Prospectus). None of the outstanding shares of capital stock of the Company, including the Securities to be purchased by the Underwriters from the Selling Shareholders, were issued in violation of the preemptive or other similar rights of any securityholder of the Company.</w:t>
      </w:r>
    </w:p>
    <w:p>
      <w:pPr>
        <w:spacing w:after="0" w:line="207" w:lineRule="exact"/>
        <w:rPr>
          <w:rFonts w:ascii="Arial" w:cs="Arial" w:eastAsia="Arial" w:hAnsi="Arial"/>
          <w:sz w:val="21"/>
          <w:szCs w:val="21"/>
          <w:color w:val="auto"/>
        </w:rPr>
      </w:pPr>
    </w:p>
    <w:p>
      <w:pPr>
        <w:ind w:left="-320" w:firstLine="320"/>
        <w:spacing w:after="0" w:line="270" w:lineRule="auto"/>
        <w:tabs>
          <w:tab w:leader="none" w:pos="802"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Company is not in violation of its charter or by-laws or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property or assets of the Company is subject (collectively, “</w:t>
      </w:r>
      <w:r>
        <w:rPr>
          <w:rFonts w:ascii="Arial" w:cs="Arial" w:eastAsia="Arial" w:hAnsi="Arial"/>
          <w:sz w:val="19"/>
          <w:szCs w:val="19"/>
          <w:u w:val="single" w:color="auto"/>
          <w:color w:val="auto"/>
        </w:rPr>
        <w:t>Agreements and Instruments</w:t>
      </w:r>
      <w:r>
        <w:rPr>
          <w:rFonts w:ascii="Arial" w:cs="Arial" w:eastAsia="Arial" w:hAnsi="Arial"/>
          <w:sz w:val="19"/>
          <w:szCs w:val="19"/>
          <w:color w:val="auto"/>
        </w:rPr>
        <w:t>”) except for such defaults that would not result in a Material Adverse Effect; and the execution, delivery and performance of this Agreement by the Company and the consummation by the Company of the transactions contemplated herein and in the Final Prospectus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any applicable law, statute, rule, regulation, judgment, order, writ or decree of any government, government instrumentality or court, domestic or foreign, having jurisdiction over the Company or any of its assets, properties or operations except for any such violation that could not be expected to result in a Material Adverse Effect. As used herein, a “</w:t>
      </w:r>
      <w:r>
        <w:rPr>
          <w:rFonts w:ascii="Arial" w:cs="Arial" w:eastAsia="Arial" w:hAnsi="Arial"/>
          <w:sz w:val="19"/>
          <w:szCs w:val="19"/>
          <w:u w:val="single" w:color="auto"/>
          <w:color w:val="auto"/>
        </w:rPr>
        <w:t>Repayment Event</w:t>
      </w:r>
      <w:r>
        <w:rPr>
          <w:rFonts w:ascii="Arial" w:cs="Arial" w:eastAsia="Arial" w:hAnsi="Arial"/>
          <w:sz w:val="19"/>
          <w:szCs w:val="19"/>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w:t>
      </w:r>
    </w:p>
    <w:p>
      <w:pPr>
        <w:sectPr>
          <w:pgSz w:w="11900" w:h="16838" w:orient="portrait"/>
          <w:cols w:equalWidth="0" w:num="1">
            <w:col w:w="10240"/>
          </w:cols>
          <w:pgMar w:left="130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118" w:right="359" w:bottom="1440" w:gutter="0" w:footer="0" w:header="0"/>
          <w:type w:val="continuous"/>
        </w:sectPr>
      </w:pPr>
    </w:p>
    <w:bookmarkStart w:id="21" w:name="page22"/>
    <w:bookmarkEnd w:id="21"/>
    <w:p>
      <w:pPr>
        <w:ind w:left="-320" w:firstLine="320"/>
        <w:spacing w:after="0" w:line="238" w:lineRule="auto"/>
        <w:tabs>
          <w:tab w:leader="none" w:pos="7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 labor dispute with the employees of the Company exists or, to the knowledge of the Company, is imminent, and the Company is not aware of any existing or imminent labor disturbance by the employees of any of its principal suppliers, manufacturers, customers or contractors, which, in any case, may reasonably be expected to result in a Material Adverse Effect.</w:t>
      </w:r>
    </w:p>
    <w:p>
      <w:pPr>
        <w:spacing w:after="0" w:line="212" w:lineRule="exact"/>
        <w:rPr>
          <w:rFonts w:ascii="Arial" w:cs="Arial" w:eastAsia="Arial" w:hAnsi="Arial"/>
          <w:sz w:val="22"/>
          <w:szCs w:val="22"/>
          <w:color w:val="auto"/>
        </w:rPr>
      </w:pPr>
    </w:p>
    <w:p>
      <w:pPr>
        <w:ind w:left="-320" w:firstLine="320"/>
        <w:spacing w:after="0" w:line="277" w:lineRule="auto"/>
        <w:tabs>
          <w:tab w:leader="none" w:pos="748" w:val="left"/>
        </w:tabs>
        <w:numPr>
          <w:ilvl w:val="0"/>
          <w:numId w:val="13"/>
        </w:numPr>
        <w:rPr>
          <w:rFonts w:ascii="Arial" w:cs="Arial" w:eastAsia="Arial" w:hAnsi="Arial"/>
          <w:sz w:val="19"/>
          <w:szCs w:val="19"/>
          <w:color w:val="auto"/>
        </w:rPr>
      </w:pPr>
      <w:r>
        <w:rPr>
          <w:rFonts w:ascii="Arial" w:cs="Arial" w:eastAsia="Arial" w:hAnsi="Arial"/>
          <w:sz w:val="19"/>
          <w:szCs w:val="19"/>
          <w:color w:val="auto"/>
        </w:rPr>
        <w:t>Other than as disclosed in the Registration Statement, the Disclosure Package and the Final Prospectus, there is no action, suit, proceeding, inquiry or investigation before or brought by any court or governmental agency or body, domestic or foreign, now pending, or, to the knowledge of the Company, threatened, against or affecting the Company, which is required to be disclosed in the Registration Statement, the Disclosure Package and the Final Prospectus,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w:t>
      </w:r>
    </w:p>
    <w:p>
      <w:pPr>
        <w:spacing w:after="0" w:line="178" w:lineRule="exact"/>
        <w:rPr>
          <w:rFonts w:ascii="Arial" w:cs="Arial" w:eastAsia="Arial" w:hAnsi="Arial"/>
          <w:sz w:val="19"/>
          <w:szCs w:val="19"/>
          <w:color w:val="auto"/>
        </w:rPr>
      </w:pPr>
    </w:p>
    <w:p>
      <w:pPr>
        <w:ind w:left="-320" w:right="60" w:firstLine="320"/>
        <w:spacing w:after="0" w:line="245" w:lineRule="auto"/>
        <w:tabs>
          <w:tab w:leader="none" w:pos="754" w:val="left"/>
        </w:tabs>
        <w:numPr>
          <w:ilvl w:val="0"/>
          <w:numId w:val="13"/>
        </w:numPr>
        <w:rPr>
          <w:rFonts w:ascii="Arial" w:cs="Arial" w:eastAsia="Arial" w:hAnsi="Arial"/>
          <w:sz w:val="21"/>
          <w:szCs w:val="21"/>
          <w:color w:val="auto"/>
        </w:rPr>
      </w:pPr>
      <w:r>
        <w:rPr>
          <w:rFonts w:ascii="Arial" w:cs="Arial" w:eastAsia="Arial" w:hAnsi="Arial"/>
          <w:sz w:val="21"/>
          <w:szCs w:val="21"/>
          <w:color w:val="auto"/>
        </w:rPr>
        <w:t>Neither the Company nor any of its subsidiaries or affiliates, nor any director, officer, or employee, nor any agent or representative of the Company or of any of its subsidiaries or affiliates, in each case, to the Company’s knowledge,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to the Company’s knowledge, the Company and its subsidiaries and affiliates have conducted their businesses in compliance with applicable anti-corruption laws.</w:t>
      </w:r>
    </w:p>
    <w:p>
      <w:pPr>
        <w:spacing w:after="0" w:line="211" w:lineRule="exact"/>
        <w:rPr>
          <w:rFonts w:ascii="Arial" w:cs="Arial" w:eastAsia="Arial" w:hAnsi="Arial"/>
          <w:sz w:val="21"/>
          <w:szCs w:val="21"/>
          <w:color w:val="auto"/>
        </w:rPr>
      </w:pPr>
    </w:p>
    <w:p>
      <w:pPr>
        <w:ind w:left="-320" w:right="100" w:firstLine="320"/>
        <w:spacing w:after="0" w:line="274" w:lineRule="auto"/>
        <w:tabs>
          <w:tab w:leader="none" w:pos="7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Company or its subsidiaries with respect to the Anti-Money Laundering Laws is pending or, to the knowledge of the Company, threatened.</w:t>
      </w:r>
    </w:p>
    <w:p>
      <w:pPr>
        <w:spacing w:after="0" w:line="185" w:lineRule="exact"/>
        <w:rPr>
          <w:rFonts w:ascii="Arial" w:cs="Arial" w:eastAsia="Arial" w:hAnsi="Arial"/>
          <w:sz w:val="19"/>
          <w:szCs w:val="19"/>
          <w:color w:val="auto"/>
        </w:rPr>
      </w:pPr>
    </w:p>
    <w:p>
      <w:pPr>
        <w:ind w:left="-320" w:right="140" w:firstLine="320"/>
        <w:spacing w:after="0" w:line="275" w:lineRule="auto"/>
        <w:tabs>
          <w:tab w:leader="none" w:pos="748"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Company represents that neither the Company, any of its subsidiaries or, to the Company’s knowledge, any director, officer, employee, agent, affiliate or representative of the Company, is an individual or entity (each, a “</w:t>
      </w:r>
      <w:r>
        <w:rPr>
          <w:rFonts w:ascii="Arial" w:cs="Arial" w:eastAsia="Arial" w:hAnsi="Arial"/>
          <w:sz w:val="19"/>
          <w:szCs w:val="19"/>
          <w:u w:val="single" w:color="auto"/>
          <w:color w:val="auto"/>
        </w:rPr>
        <w:t>Person</w:t>
      </w:r>
      <w:r>
        <w:rPr>
          <w:rFonts w:ascii="Arial" w:cs="Arial" w:eastAsia="Arial" w:hAnsi="Arial"/>
          <w:sz w:val="19"/>
          <w:szCs w:val="19"/>
          <w:color w:val="auto"/>
        </w:rPr>
        <w:t>”) that is, or is owned or controlled by a Person that is: (A) the subject of any sanctions administered or enforced by the U.S. Department of Treasury’s Office of Foreign Assets Control (“</w:t>
      </w:r>
      <w:r>
        <w:rPr>
          <w:rFonts w:ascii="Arial" w:cs="Arial" w:eastAsia="Arial" w:hAnsi="Arial"/>
          <w:sz w:val="19"/>
          <w:szCs w:val="19"/>
          <w:u w:val="single" w:color="auto"/>
          <w:color w:val="auto"/>
        </w:rPr>
        <w:t>OFAC</w:t>
      </w:r>
      <w:r>
        <w:rPr>
          <w:rFonts w:ascii="Arial" w:cs="Arial" w:eastAsia="Arial" w:hAnsi="Arial"/>
          <w:sz w:val="19"/>
          <w:szCs w:val="19"/>
          <w:color w:val="auto"/>
        </w:rPr>
        <w:t>”), the United Nations Security Council (“</w:t>
      </w:r>
      <w:r>
        <w:rPr>
          <w:rFonts w:ascii="Arial" w:cs="Arial" w:eastAsia="Arial" w:hAnsi="Arial"/>
          <w:sz w:val="19"/>
          <w:szCs w:val="19"/>
          <w:u w:val="single" w:color="auto"/>
          <w:color w:val="auto"/>
        </w:rPr>
        <w:t>UNSC</w:t>
      </w:r>
      <w:r>
        <w:rPr>
          <w:rFonts w:ascii="Arial" w:cs="Arial" w:eastAsia="Arial" w:hAnsi="Arial"/>
          <w:sz w:val="19"/>
          <w:szCs w:val="19"/>
          <w:color w:val="auto"/>
        </w:rPr>
        <w:t>”), the European Union (“</w:t>
      </w:r>
      <w:r>
        <w:rPr>
          <w:rFonts w:ascii="Arial" w:cs="Arial" w:eastAsia="Arial" w:hAnsi="Arial"/>
          <w:sz w:val="19"/>
          <w:szCs w:val="19"/>
          <w:u w:val="single" w:color="auto"/>
          <w:color w:val="auto"/>
        </w:rPr>
        <w:t>EU</w:t>
      </w:r>
      <w:r>
        <w:rPr>
          <w:rFonts w:ascii="Arial" w:cs="Arial" w:eastAsia="Arial" w:hAnsi="Arial"/>
          <w:sz w:val="19"/>
          <w:szCs w:val="19"/>
          <w:color w:val="auto"/>
        </w:rPr>
        <w:t>”), Her Majesty’s Treasury (“</w:t>
      </w:r>
      <w:r>
        <w:rPr>
          <w:rFonts w:ascii="Arial" w:cs="Arial" w:eastAsia="Arial" w:hAnsi="Arial"/>
          <w:sz w:val="19"/>
          <w:szCs w:val="19"/>
          <w:u w:val="single" w:color="auto"/>
          <w:color w:val="auto"/>
        </w:rPr>
        <w:t>HMT</w:t>
      </w:r>
      <w:r>
        <w:rPr>
          <w:rFonts w:ascii="Arial" w:cs="Arial" w:eastAsia="Arial" w:hAnsi="Arial"/>
          <w:sz w:val="19"/>
          <w:szCs w:val="19"/>
          <w:color w:val="auto"/>
        </w:rPr>
        <w:t>”), or other relevant sanctions authority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or (B) located, organized or resident in a country or territory that is the subject of Sanctions. The Company represents that it is not knowingly engaged in any dealings or transactions with any Person, or in any country or territory, that at the time of the dealing or transaction is or was the subject of Sanctions.</w:t>
      </w:r>
    </w:p>
    <w:p>
      <w:pPr>
        <w:spacing w:after="0" w:line="362"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118" w:right="359" w:bottom="1440" w:gutter="0" w:footer="0" w:header="0"/>
        </w:sectPr>
      </w:pPr>
    </w:p>
    <w:bookmarkStart w:id="22" w:name="page23"/>
    <w:bookmarkEnd w:id="22"/>
    <w:p>
      <w:pPr>
        <w:ind w:right="300" w:firstLine="320"/>
        <w:spacing w:after="0"/>
        <w:tabs>
          <w:tab w:leader="none" w:pos="111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There are no contracts or documents which are required to be described in the Registration Statement, the Disclosure Package, the Final Prospectus or the documents incorporated by reference therein or to be filed as exhibits thereto which have not been so described and filed as required.</w:t>
      </w:r>
    </w:p>
    <w:p>
      <w:pPr>
        <w:spacing w:after="0" w:line="213" w:lineRule="exact"/>
        <w:rPr>
          <w:rFonts w:ascii="Arial" w:cs="Arial" w:eastAsia="Arial" w:hAnsi="Arial"/>
          <w:sz w:val="22"/>
          <w:szCs w:val="22"/>
          <w:color w:val="auto"/>
        </w:rPr>
      </w:pPr>
    </w:p>
    <w:p>
      <w:pPr>
        <w:ind w:firstLine="320"/>
        <w:spacing w:after="0" w:line="271" w:lineRule="auto"/>
        <w:tabs>
          <w:tab w:leader="none" w:pos="1068"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owns or possesses, or will use its commercially reasonable efforts to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necessary to carry on the business now operated by them. Except as disclosed in the Disclosure Package and Final Prospectus, (i) there is no litigation or other proceeding pending or, to the Company’s knowledge, threatened and no claims (such litigation, other proceedings and claims, collectively, “</w:t>
      </w:r>
      <w:r>
        <w:rPr>
          <w:rFonts w:ascii="Arial" w:cs="Arial" w:eastAsia="Arial" w:hAnsi="Arial"/>
          <w:sz w:val="19"/>
          <w:szCs w:val="19"/>
          <w:u w:val="single" w:color="auto"/>
          <w:color w:val="auto"/>
        </w:rPr>
        <w:t>IP Proceedings and Claims</w:t>
      </w:r>
      <w:r>
        <w:rPr>
          <w:rFonts w:ascii="Arial" w:cs="Arial" w:eastAsia="Arial" w:hAnsi="Arial"/>
          <w:sz w:val="19"/>
          <w:szCs w:val="19"/>
          <w:color w:val="auto"/>
        </w:rPr>
        <w:t>”) are presently being asserted by any third party challenging or questioning the ownership, validity, enforceability of the Company’s right to use or own any Intellectual Property or asserting that the use of any Intellectual Property by the Company or the operation of the business of the Company infringes upon or misappropriates the Intellectual Property of any third party, other than IP Proceedings and Claims which would not be reasonably likely to have a Material Adverse Effect, and (ii) the Company is not otherwise aware of any infringement of or conflict with asserted rights of others with respect to any Intellectual Property or of any facts or circumstances which would render any Intellectual Property invalid or inadequate to protect the interest of the Company therein, and which infringement or conflict (if the subject of any unfavorable decision, ruling or finding) or invalidity or inadequacy, singly or in the aggregate, would result in a Material Adverse Effect.</w:t>
      </w:r>
    </w:p>
    <w:p>
      <w:pPr>
        <w:spacing w:after="0" w:line="187" w:lineRule="exact"/>
        <w:rPr>
          <w:rFonts w:ascii="Arial" w:cs="Arial" w:eastAsia="Arial" w:hAnsi="Arial"/>
          <w:sz w:val="19"/>
          <w:szCs w:val="19"/>
          <w:color w:val="auto"/>
        </w:rPr>
      </w:pPr>
    </w:p>
    <w:p>
      <w:pPr>
        <w:ind w:right="40" w:firstLine="320"/>
        <w:spacing w:after="0" w:line="236" w:lineRule="auto"/>
        <w:tabs>
          <w:tab w:leader="none" w:pos="1074"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or sale of the Securities hereunder or the consummation of the transactions contemplated by this Agreement, except such as have been already obtained or as may be required under the Act or state securities laws.</w:t>
      </w:r>
    </w:p>
    <w:p>
      <w:pPr>
        <w:spacing w:after="0" w:line="214" w:lineRule="exact"/>
        <w:rPr>
          <w:rFonts w:ascii="Arial" w:cs="Arial" w:eastAsia="Arial" w:hAnsi="Arial"/>
          <w:sz w:val="22"/>
          <w:szCs w:val="22"/>
          <w:color w:val="auto"/>
        </w:rPr>
      </w:pPr>
    </w:p>
    <w:p>
      <w:pPr>
        <w:ind w:left="1080" w:hanging="760"/>
        <w:spacing w:after="0"/>
        <w:tabs>
          <w:tab w:leader="none" w:pos="10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possesses such permits, licenses, approvals, consents and other authorizations (collectively,</w:t>
      </w:r>
    </w:p>
    <w:p>
      <w:pPr>
        <w:spacing w:after="0" w:line="43"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Licenses</w:t>
      </w:r>
      <w:r>
        <w:rPr>
          <w:rFonts w:ascii="Arial" w:cs="Arial" w:eastAsia="Arial" w:hAnsi="Arial"/>
          <w:sz w:val="19"/>
          <w:szCs w:val="19"/>
          <w:color w:val="auto"/>
        </w:rPr>
        <w:t>”) issued by the appropriate federal, state, local or foreign regulatory agencies or bodies necessary to conduct the business now operated by them; the Company is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the Company has not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88" w:lineRule="exact"/>
        <w:rPr>
          <w:sz w:val="20"/>
          <w:szCs w:val="20"/>
          <w:color w:val="auto"/>
        </w:rPr>
      </w:pPr>
    </w:p>
    <w:p>
      <w:pPr>
        <w:ind w:right="140" w:firstLine="320"/>
        <w:spacing w:after="0" w:line="273" w:lineRule="auto"/>
        <w:tabs>
          <w:tab w:leader="none" w:pos="1068"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Company has good and marketable title to all real property owned by the Company and good title to all other properties owned by it, in each case, free and clear of all mortgages, pledges, liens, security interests, claims, restrictions or encumbrances of any kind except such as (a) are described in the Disclosure Package and the Final Prospectus or (b) do not, singly or in the aggregate, materially affect the value of such property and do not interfere with the use made and proposed to be made of such property by the Company; and all of the leases and subleases material to the business of the Company considered as one enterprise, and under which the Company holds properties described in the Disclosure Package and the Final Prospectus, are in full force and effect, and the Company has no notice of any material claim of any sort that has been asserted by anyone adverse to the rights of the Company any of the leases or subleases mentioned above, or affecting or questioning the rights of the Company to the continued possession of the leased or subleased premises under any such lease or sublease.</w:t>
      </w:r>
    </w:p>
    <w:p>
      <w:pPr>
        <w:spacing w:after="0" w:line="366"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8" w:right="379" w:bottom="1440" w:gutter="0" w:footer="0" w:header="0"/>
        </w:sectPr>
      </w:pPr>
    </w:p>
    <w:bookmarkStart w:id="23" w:name="page24"/>
    <w:bookmarkEnd w:id="23"/>
    <w:p>
      <w:pPr>
        <w:ind w:left="-320" w:right="40" w:firstLine="320"/>
        <w:spacing w:after="0" w:line="271" w:lineRule="auto"/>
        <w:tabs>
          <w:tab w:leader="none" w:pos="742" w:val="left"/>
        </w:tabs>
        <w:numPr>
          <w:ilvl w:val="0"/>
          <w:numId w:val="16"/>
        </w:numPr>
        <w:rPr>
          <w:rFonts w:ascii="Arial" w:cs="Arial" w:eastAsia="Arial" w:hAnsi="Arial"/>
          <w:sz w:val="19"/>
          <w:szCs w:val="19"/>
          <w:color w:val="auto"/>
        </w:rPr>
      </w:pPr>
      <w:r>
        <w:rPr>
          <w:rFonts w:ascii="Arial" w:cs="Arial" w:eastAsia="Arial" w:hAnsi="Arial"/>
          <w:sz w:val="19"/>
          <w:szCs w:val="19"/>
          <w:color w:val="auto"/>
        </w:rPr>
        <w:t>Except as described in the Registration Statement, the Disclosure Package and the Final Prospectus and except as would not, singly or in the aggregate, result in a Material Adverse Effect,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9"/>
          <w:szCs w:val="19"/>
          <w:u w:val="single" w:color="auto"/>
          <w:color w:val="auto"/>
        </w:rPr>
        <w:t>Hazardous Materials</w:t>
      </w:r>
      <w:r>
        <w:rPr>
          <w:rFonts w:ascii="Arial" w:cs="Arial" w:eastAsia="Arial" w:hAnsi="Arial"/>
          <w:sz w:val="19"/>
          <w:szCs w:val="19"/>
          <w:color w:val="auto"/>
        </w:rPr>
        <w:t>”) or to the manufacture, processing, distribution, use, treatment, storage, disposal, transport or handling of Hazardous Materials (collectively, “</w:t>
      </w:r>
      <w:r>
        <w:rPr>
          <w:rFonts w:ascii="Arial" w:cs="Arial" w:eastAsia="Arial" w:hAnsi="Arial"/>
          <w:sz w:val="19"/>
          <w:szCs w:val="19"/>
          <w:u w:val="single" w:color="auto"/>
          <w:color w:val="auto"/>
        </w:rPr>
        <w:t>Environmental Laws</w:t>
      </w:r>
      <w:r>
        <w:rPr>
          <w:rFonts w:ascii="Arial" w:cs="Arial" w:eastAsia="Arial" w:hAnsi="Arial"/>
          <w:sz w:val="19"/>
          <w:szCs w:val="19"/>
          <w:color w:val="auto"/>
        </w:rPr>
        <w:t>”), (B) the Company has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and (D) there are no events or circumstances that might reasonably be expected to form the basis of an order for clean-up or remediation, or an action, suit or proceeding by any private party or governmental body.</w:t>
      </w:r>
    </w:p>
    <w:p>
      <w:pPr>
        <w:spacing w:after="0" w:line="187" w:lineRule="exact"/>
        <w:rPr>
          <w:rFonts w:ascii="Arial" w:cs="Arial" w:eastAsia="Arial" w:hAnsi="Arial"/>
          <w:sz w:val="19"/>
          <w:szCs w:val="19"/>
          <w:color w:val="auto"/>
        </w:rPr>
      </w:pPr>
    </w:p>
    <w:p>
      <w:pPr>
        <w:ind w:left="-320" w:firstLine="320"/>
        <w:spacing w:after="0" w:line="238" w:lineRule="auto"/>
        <w:tabs>
          <w:tab w:leader="none" w:pos="748"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Company is not, and upon the sale of the Securities as herein contemplated as described in the Disclosure Package and the Final Prospectus will not be, required to register as an “investment company” or an entity controlled by an “investment company” as such terms are defined in the Investment Company Act of 1940, as amended (the “</w:t>
      </w:r>
      <w:r>
        <w:rPr>
          <w:rFonts w:ascii="Arial" w:cs="Arial" w:eastAsia="Arial" w:hAnsi="Arial"/>
          <w:sz w:val="22"/>
          <w:szCs w:val="22"/>
          <w:u w:val="single" w:color="auto"/>
          <w:color w:val="auto"/>
        </w:rPr>
        <w:t>1940</w:t>
      </w:r>
      <w:r>
        <w:rPr>
          <w:rFonts w:ascii="Arial" w:cs="Arial" w:eastAsia="Arial" w:hAnsi="Arial"/>
          <w:sz w:val="22"/>
          <w:szCs w:val="22"/>
          <w:color w:val="auto"/>
        </w:rPr>
        <w:t xml:space="preserve"> </w:t>
      </w:r>
      <w:r>
        <w:rPr>
          <w:rFonts w:ascii="Arial" w:cs="Arial" w:eastAsia="Arial" w:hAnsi="Arial"/>
          <w:sz w:val="22"/>
          <w:szCs w:val="22"/>
          <w:u w:val="single" w:color="auto"/>
          <w:color w:val="auto"/>
        </w:rPr>
        <w:t>Act</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ind w:left="-320" w:right="40" w:firstLine="320"/>
        <w:spacing w:after="0" w:line="235" w:lineRule="auto"/>
        <w:tabs>
          <w:tab w:leader="none" w:pos="754" w:val="left"/>
        </w:tabs>
        <w:numPr>
          <w:ilvl w:val="0"/>
          <w:numId w:val="16"/>
        </w:numPr>
        <w:rPr>
          <w:rFonts w:ascii="Arial" w:cs="Arial" w:eastAsia="Arial" w:hAnsi="Arial"/>
          <w:sz w:val="22"/>
          <w:szCs w:val="22"/>
          <w:color w:val="auto"/>
        </w:rPr>
      </w:pPr>
      <w:r>
        <w:rPr>
          <w:rFonts w:ascii="Arial" w:cs="Arial" w:eastAsia="Arial" w:hAnsi="Arial"/>
          <w:sz w:val="22"/>
          <w:szCs w:val="22"/>
          <w:color w:val="auto"/>
        </w:rPr>
        <w:t>To the Company’s knowledge, except as disclosed in the Disclosure Package and the Final Prospectus, there are no rulemaking or similar proceedings before the U.S. Food and Drug Administration (the “</w:t>
      </w:r>
      <w:r>
        <w:rPr>
          <w:rFonts w:ascii="Arial" w:cs="Arial" w:eastAsia="Arial" w:hAnsi="Arial"/>
          <w:sz w:val="22"/>
          <w:szCs w:val="22"/>
          <w:u w:val="single" w:color="auto"/>
          <w:color w:val="auto"/>
        </w:rPr>
        <w:t>FDA</w:t>
      </w:r>
      <w:r>
        <w:rPr>
          <w:rFonts w:ascii="Arial" w:cs="Arial" w:eastAsia="Arial" w:hAnsi="Arial"/>
          <w:sz w:val="22"/>
          <w:szCs w:val="22"/>
          <w:color w:val="auto"/>
        </w:rPr>
        <w:t>”), the U.S. Patent and Trademark Office or the European Patent Office which affect or involve the Company or any of the processes or products which the Disclosure Package and the Final Prospectus disclose the Company to have developed, to be developing or to propose to develop or use or propose to use which, if the subject of an action unfavorable to the Company, would have a Material Adverse Effect.</w:t>
      </w:r>
    </w:p>
    <w:p>
      <w:pPr>
        <w:spacing w:after="0" w:line="214" w:lineRule="exact"/>
        <w:rPr>
          <w:rFonts w:ascii="Arial" w:cs="Arial" w:eastAsia="Arial" w:hAnsi="Arial"/>
          <w:sz w:val="22"/>
          <w:szCs w:val="22"/>
          <w:color w:val="auto"/>
        </w:rPr>
      </w:pPr>
    </w:p>
    <w:p>
      <w:pPr>
        <w:ind w:left="-320" w:right="20" w:firstLine="320"/>
        <w:spacing w:after="0" w:line="271" w:lineRule="auto"/>
        <w:tabs>
          <w:tab w:leader="none" w:pos="7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To the Company’s knowledge, the preclinical tests and clinical trials, and other studies conducted by or on behalf of or sponsored by the Company or its subsidiaries, or in which the Company or its subsidiaries or the Company’s or its subsidiaries’ product candidates participated, in each case that are described in the Registration Statement, the Disclosure Package and the Final Prospectus (collectively, “</w:t>
      </w:r>
      <w:r>
        <w:rPr>
          <w:rFonts w:ascii="Arial" w:cs="Arial" w:eastAsia="Arial" w:hAnsi="Arial"/>
          <w:sz w:val="19"/>
          <w:szCs w:val="19"/>
          <w:u w:val="single" w:color="auto"/>
          <w:color w:val="auto"/>
        </w:rPr>
        <w:t>studies</w:t>
      </w:r>
      <w:r>
        <w:rPr>
          <w:rFonts w:ascii="Arial" w:cs="Arial" w:eastAsia="Arial" w:hAnsi="Arial"/>
          <w:sz w:val="19"/>
          <w:szCs w:val="19"/>
          <w:color w:val="auto"/>
        </w:rPr>
        <w:t>”) were and, if still pending, are being, conducted in all material respects in accordance with the protocols submitted to the FDA, the European Medicines Agency (the “</w:t>
      </w:r>
      <w:r>
        <w:rPr>
          <w:rFonts w:ascii="Arial" w:cs="Arial" w:eastAsia="Arial" w:hAnsi="Arial"/>
          <w:sz w:val="19"/>
          <w:szCs w:val="19"/>
          <w:u w:val="single" w:color="auto"/>
          <w:color w:val="auto"/>
        </w:rPr>
        <w:t>EMA</w:t>
      </w:r>
      <w:r>
        <w:rPr>
          <w:rFonts w:ascii="Arial" w:cs="Arial" w:eastAsia="Arial" w:hAnsi="Arial"/>
          <w:sz w:val="19"/>
          <w:szCs w:val="19"/>
          <w:color w:val="auto"/>
        </w:rPr>
        <w:t>”) or any foreign governmental body exercising comparable authority, procedures and controls pursuant to, where applicable, accepted professional and scientific standards, and all applicable laws and regulations; the descriptions of the studies conducted by or, to the Company’s knowledge, on behalf of the Company, and, to the Company’s knowledge, the results thereof, contained in the Registration Statement, the Disclosure Package and the Final Prospectus are accurate and complete in all material respects; and the Company has not received any written notices or correspondence from the FDA, any foreign, state or local governmental body exercising comparable authority or any Institutional Review Board requiring the termination, suspension, material modification or clinical hold of any studies conducted by or on behalf of the Company that are material to the Company or that are related to any material product candidate of the Company, other than ordinary course communications with respect to modifications in connection with the design and implementation of such trials.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18" w:right="339" w:bottom="1440" w:gutter="0" w:footer="0" w:header="0"/>
        </w:sectPr>
      </w:pPr>
    </w:p>
    <w:bookmarkStart w:id="24" w:name="page25"/>
    <w:bookmarkEnd w:id="24"/>
    <w:p>
      <w:pPr>
        <w:ind w:left="-320" w:firstLine="320"/>
        <w:spacing w:after="0" w:line="269" w:lineRule="auto"/>
        <w:tabs>
          <w:tab w:leader="none" w:pos="802" w:val="left"/>
        </w:tabs>
        <w:numPr>
          <w:ilvl w:val="0"/>
          <w:numId w:val="17"/>
        </w:numPr>
        <w:rPr>
          <w:rFonts w:ascii="Arial" w:cs="Arial" w:eastAsia="Arial" w:hAnsi="Arial"/>
          <w:sz w:val="19"/>
          <w:szCs w:val="19"/>
          <w:color w:val="auto"/>
        </w:rPr>
      </w:pPr>
      <w:r>
        <w:rPr>
          <w:rFonts w:ascii="Arial" w:cs="Arial" w:eastAsia="Arial" w:hAnsi="Arial"/>
          <w:sz w:val="19"/>
          <w:szCs w:val="19"/>
          <w:color w:val="auto"/>
        </w:rPr>
        <w:t>Except to the extent disclosed in each of the Registration Statement, the Disclosure Package or the Final Prospectus and except as would not, singly or in the aggregate, result in a Material Adverse Effect, (A) each of the Company and its subsidiaries is and has been, since January 1, 2017, in compliance with all applicable healthcare laws and regulations, including, without limitation, the federal Anti-Kickback Statute (42 U.S.C. § 1320a-7b(b)), the Civil Monetary Penalties Law (42 U.S.C. § 1320a-7a), the civil False Claims Act (31 U.S.C. §§ 3729 et seq.), the administrative False Claims Law (42 U.S.C. § 1320a-7b(a)), the federal Physician Payment Sunshine Act (42 U.S.C. § 1320a-7h), all federal and state fraud and abuse laws, Health Insurance Portability and Accountability Act of 1996 (“</w:t>
      </w:r>
      <w:r>
        <w:rPr>
          <w:rFonts w:ascii="Arial" w:cs="Arial" w:eastAsia="Arial" w:hAnsi="Arial"/>
          <w:sz w:val="19"/>
          <w:szCs w:val="19"/>
          <w:u w:val="single" w:color="auto"/>
          <w:color w:val="auto"/>
        </w:rPr>
        <w:t>HIPAA</w:t>
      </w:r>
      <w:r>
        <w:rPr>
          <w:rFonts w:ascii="Arial" w:cs="Arial" w:eastAsia="Arial" w:hAnsi="Arial"/>
          <w:sz w:val="19"/>
          <w:szCs w:val="19"/>
          <w:color w:val="auto"/>
        </w:rPr>
        <w:t>”) (42 U.S.C. Section 1320d et seq.), as amended by the Health Information Technology for Economic and Clinical Health Act (42 U.S.C. Section 17921 et seq.) and its implementing regulations, state laws governing the privacy, security and/or data breach notification requirements of personally identifiable information or any information that constitutes personal data under such laws, the exclusion laws (42 U.S.C. § 1320a-7), the Medicare Statute (Title XVIII of the Social Security Act), the Medicaid Statute (Title XIX of the Social Security Act), all applicable federal, state, local laws governing scope and permissible interactions between pharmaceutical manufacturers and health care providers, third party payors such as health plans, patients and patient organizations, laws governing government pricing or price reporting programs including, without limitation, the Medicaid Drug Rebate Program (42 U.S.C. § 1396r-8), any state supplemental rebate program, the Public Health Service Act (42 U.S.C. § 256b), the VA Federal Supply Schedule (38 U.S.C. § 8126) or any state pharmaceutical assistance program or U.S. Department of Veterans Affairs agreement, and any successor government programs, and Medicare Part B average sales price reporting (applicable provisions of 42 U.S.C. § 1395w-3a), the Federal Food, Drug, and Cosmetic Act (21 U.S.C. § 301, et seq.), the Public Health Service Act (42 U.S.C. § 201 et seq.), and all statutes, rules or regulations of applicable governmental authorities applicable to the ownership, testing, research, development, manufacture, quality, safety, accreditation, packaging, storage, use, distribution, labeling, promotion, sale, offer for sale, import, export or disposal of any product manufactured or distributed by the Company or its subsidiaries, in each case including any regulations promulgated or administrative guidance issued thereunder and in each case as may be amended from time to time (collectively, the “</w:t>
      </w:r>
      <w:r>
        <w:rPr>
          <w:rFonts w:ascii="Arial" w:cs="Arial" w:eastAsia="Arial" w:hAnsi="Arial"/>
          <w:sz w:val="19"/>
          <w:szCs w:val="19"/>
          <w:u w:val="single" w:color="auto"/>
          <w:color w:val="auto"/>
        </w:rPr>
        <w:t>Health Care Laws</w:t>
      </w:r>
      <w:r>
        <w:rPr>
          <w:rFonts w:ascii="Arial" w:cs="Arial" w:eastAsia="Arial" w:hAnsi="Arial"/>
          <w:sz w:val="19"/>
          <w:szCs w:val="19"/>
          <w:color w:val="auto"/>
        </w:rPr>
        <w:t>”); (B) the Company, along with its employees, officers and directors, and to the Company’s knowledge, independent contractors and agents, is not a party to or has any ongoing reporting obligations pursuant to any corporate integrity agreements, deferred prosecution agreements, monitoring agreements, consent decrees, settlement orders, plans of correction or similar agreements with or imposed by any governmental entity; and (C) the Company, along with its employees, officers and directors, and to the Company’s knowledge, independent contractors and agents, has not been excluded, suspended or debarred from, or otherwise ineligible for participation in any government health care program or human clinical research.</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320" w:right="100" w:firstLine="320"/>
        <w:spacing w:after="0" w:line="271" w:lineRule="auto"/>
        <w:tabs>
          <w:tab w:leader="none" w:pos="742" w:val="left"/>
        </w:tabs>
        <w:numPr>
          <w:ilvl w:val="0"/>
          <w:numId w:val="17"/>
        </w:numPr>
        <w:rPr>
          <w:rFonts w:ascii="Arial" w:cs="Arial" w:eastAsia="Arial" w:hAnsi="Arial"/>
          <w:sz w:val="19"/>
          <w:szCs w:val="19"/>
          <w:color w:val="auto"/>
        </w:rPr>
      </w:pPr>
      <w:r>
        <w:rPr>
          <w:rFonts w:ascii="Arial" w:cs="Arial" w:eastAsia="Arial" w:hAnsi="Arial"/>
          <w:sz w:val="19"/>
          <w:szCs w:val="19"/>
          <w:color w:val="auto"/>
        </w:rPr>
        <w:t>Except as would not, singly or in the aggregate, result in a Material Adverse Effect, (A) each of the Company’s and its subsidiaries’ information technology assets and equipment, computers, systems, networks, hardware, software, websites, applications, and databases (collectively, “</w:t>
      </w:r>
      <w:r>
        <w:rPr>
          <w:rFonts w:ascii="Arial" w:cs="Arial" w:eastAsia="Arial" w:hAnsi="Arial"/>
          <w:sz w:val="19"/>
          <w:szCs w:val="19"/>
          <w:u w:val="single" w:color="auto"/>
          <w:color w:val="auto"/>
        </w:rPr>
        <w:t>IT Systems</w:t>
      </w:r>
      <w:r>
        <w:rPr>
          <w:rFonts w:ascii="Arial" w:cs="Arial" w:eastAsia="Arial" w:hAnsi="Arial"/>
          <w:sz w:val="19"/>
          <w:szCs w:val="19"/>
          <w:color w:val="auto"/>
        </w:rPr>
        <w:t>”) are adequate for, and operate and perform in all respects as required in connection with, the operation of the business of the Company and the subsidiaries as currently conducted, and to the knowledge of the Company are free and clear of all bugs, errors, defects, Trojan horses, time bombs, malware and other corruptants; (B) the Company and the subsidiaries have implemented and maintained commercially reasonably necessary controls, policies, procedures, and safeguards to maintain and protect their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9"/>
          <w:szCs w:val="19"/>
          <w:u w:val="single" w:color="auto"/>
          <w:color w:val="auto"/>
        </w:rPr>
        <w:t>Personal Data</w:t>
      </w:r>
      <w:r>
        <w:rPr>
          <w:rFonts w:ascii="Arial" w:cs="Arial" w:eastAsia="Arial" w:hAnsi="Arial"/>
          <w:sz w:val="19"/>
          <w:szCs w:val="19"/>
          <w:color w:val="auto"/>
        </w:rPr>
        <w:t>”)) used in connection with their businesses, and, to the Company’s knowledge, there have been no breaches, violations, outages or unauthorized uses of or accesses to same; and (C)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including, to the extent applicable, HIPAA and the European Union General Data Protection Regulation (EU 2016/679).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18" w:right="339" w:bottom="1440" w:gutter="0" w:footer="0" w:header="0"/>
        </w:sectPr>
      </w:pPr>
    </w:p>
    <w:bookmarkStart w:id="25" w:name="page26"/>
    <w:bookmarkEnd w:id="25"/>
    <w:p>
      <w:pPr>
        <w:ind w:left="-316" w:right="460" w:firstLine="316"/>
        <w:spacing w:after="0" w:line="251" w:lineRule="auto"/>
        <w:tabs>
          <w:tab w:leader="none" w:pos="368" w:val="left"/>
        </w:tabs>
        <w:numPr>
          <w:ilvl w:val="0"/>
          <w:numId w:val="18"/>
        </w:numPr>
        <w:rPr>
          <w:rFonts w:ascii="Arial" w:cs="Arial" w:eastAsia="Arial" w:hAnsi="Arial"/>
          <w:sz w:val="22"/>
          <w:szCs w:val="22"/>
          <w:color w:val="auto"/>
        </w:rPr>
      </w:pPr>
      <w:r>
        <w:rPr>
          <w:rFonts w:ascii="Arial" w:cs="Arial" w:eastAsia="Arial" w:hAnsi="Arial"/>
          <w:sz w:val="22"/>
          <w:szCs w:val="22"/>
          <w:color w:val="auto"/>
        </w:rPr>
        <w:t>Each Selling Shareholder represents and warrants to, and agrees with, each Underwriter as set forth below in this Section 1(b).</w:t>
      </w:r>
    </w:p>
    <w:p>
      <w:pPr>
        <w:spacing w:after="0" w:line="200" w:lineRule="exact"/>
        <w:rPr>
          <w:rFonts w:ascii="Arial" w:cs="Arial" w:eastAsia="Arial" w:hAnsi="Arial"/>
          <w:sz w:val="22"/>
          <w:szCs w:val="22"/>
          <w:color w:val="auto"/>
        </w:rPr>
      </w:pPr>
    </w:p>
    <w:p>
      <w:pPr>
        <w:ind w:left="4" w:right="80" w:firstLine="320"/>
        <w:spacing w:after="0" w:line="272" w:lineRule="auto"/>
        <w:tabs>
          <w:tab w:leader="none" w:pos="10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At the Execution Time, the Registration Statement does not contain any untrue statement of a material fact or omit to state any material fact required to be stated therein or necessary in order to make the statements therein not misleading; and on the date of any filing pursuant to Rule 424(b)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provided, however, that such representations or warranties set forth in this Section 1(b)(i) apply only to statements or omissions made in reliance upon and in conformity with information relating to such Selling Shareholder furnished in writing by or on behalf of such Selling Shareholder specifically for inclusion in the Registration Statement, the Disclosure Package, the Final Prospectus or any Issuer Free Writing Prospectus or any amendment or supplement thereto (the “</w:t>
      </w:r>
      <w:r>
        <w:rPr>
          <w:rFonts w:ascii="Arial" w:cs="Arial" w:eastAsia="Arial" w:hAnsi="Arial"/>
          <w:sz w:val="19"/>
          <w:szCs w:val="19"/>
          <w:u w:val="single" w:color="auto"/>
          <w:color w:val="auto"/>
        </w:rPr>
        <w:t>Selling Shareholder Information</w:t>
      </w:r>
      <w:r>
        <w:rPr>
          <w:rFonts w:ascii="Arial" w:cs="Arial" w:eastAsia="Arial" w:hAnsi="Arial"/>
          <w:sz w:val="19"/>
          <w:szCs w:val="19"/>
          <w:color w:val="auto"/>
        </w:rPr>
        <w:t>”); such Selling Shareholder further represents and warrants that it is not prompted to sell the Securities to be sold by such Selling Shareholder hereunder by any information concerning the Company or any subsidiary of the Company which is not set forth in the Disclosure Package or the Final Prospectus.</w:t>
      </w:r>
    </w:p>
    <w:p>
      <w:pPr>
        <w:spacing w:after="0" w:line="187" w:lineRule="exact"/>
        <w:rPr>
          <w:rFonts w:ascii="Arial" w:cs="Arial" w:eastAsia="Arial" w:hAnsi="Arial"/>
          <w:sz w:val="19"/>
          <w:szCs w:val="19"/>
          <w:color w:val="auto"/>
        </w:rPr>
      </w:pPr>
    </w:p>
    <w:p>
      <w:pPr>
        <w:ind w:left="1124" w:hanging="800"/>
        <w:spacing w:after="0"/>
        <w:tabs>
          <w:tab w:leader="none" w:pos="1124"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such Selling Shareholder.</w:t>
      </w:r>
    </w:p>
    <w:p>
      <w:pPr>
        <w:spacing w:after="0" w:line="233" w:lineRule="exact"/>
        <w:rPr>
          <w:rFonts w:ascii="Arial" w:cs="Arial" w:eastAsia="Arial" w:hAnsi="Arial"/>
          <w:sz w:val="22"/>
          <w:szCs w:val="22"/>
          <w:color w:val="auto"/>
        </w:rPr>
      </w:pPr>
    </w:p>
    <w:p>
      <w:pPr>
        <w:ind w:left="4" w:right="60" w:firstLine="320"/>
        <w:spacing w:after="0" w:line="270" w:lineRule="auto"/>
        <w:tabs>
          <w:tab w:leader="none" w:pos="1084"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execution and delivery of this Agreement and the sale and delivery of the Securities to be sold by such Selling Shareholder and the consummation of the transactions contemplated herein and compliance by such Selling Shareholder with its obligations hereunder do not and will not, whether with or without the giving of notice or passage of time or both, (A) conflict with or constitute a breach of, or default under, or result in the creation or imposition of any tax, lien, charge or encumbrance upon the Securities to be sold by such Selling Shareholder or any property or assets of the Selling Shareholder pursuant to any contract, indenture, mortgage, deed of trust, loan or credit agreement, note, license, lease or other agreement or instrument to which such Selling Shareholder is a party or by which such Selling Shareholder may be bound, or to which any of the property or assets of such Selling Shareholder is subject, (B) result in any violation of the provisions of the charter, by-laws, articles of association or other organizational instrument of such Selling Shareholder, if applicable, or (C) result in any violation of any applicable treaty, law, statute, rule, regulation, judgment, order, writ or decree of any government, government instrumentality or court, domestic or foreign, having jurisdiction over such Selling Shareholder or any of its properties, except, in the case of clauses (A) and (C) only, for such conflicts, breaches, defaults, violations, taxes, liens, charges or encumbrances that, individually or in the aggregate, (1) do not have any impact on the performance by such Selling Shareholder of its obligations under this Agreement, and (2) would not reasonably be expected to have a material adverse effect on the condition (financial or otherwise), earnings, business or properties of such Selling Shareholder and its subsidiaries (if any), taken as a whole, whether or not arising from transactions in the ordinary course of business.</w:t>
      </w:r>
    </w:p>
    <w:p>
      <w:pPr>
        <w:spacing w:after="0" w:line="195" w:lineRule="exact"/>
        <w:rPr>
          <w:rFonts w:ascii="Arial" w:cs="Arial" w:eastAsia="Arial" w:hAnsi="Arial"/>
          <w:sz w:val="19"/>
          <w:szCs w:val="19"/>
          <w:color w:val="auto"/>
        </w:rPr>
      </w:pPr>
    </w:p>
    <w:p>
      <w:pPr>
        <w:ind w:left="1064" w:hanging="740"/>
        <w:spacing w:after="0"/>
        <w:tabs>
          <w:tab w:leader="none" w:pos="1064" w:val="left"/>
        </w:tabs>
        <w:numPr>
          <w:ilvl w:val="1"/>
          <w:numId w:val="18"/>
        </w:numPr>
        <w:rPr>
          <w:rFonts w:ascii="Arial" w:cs="Arial" w:eastAsia="Arial" w:hAnsi="Arial"/>
          <w:sz w:val="19"/>
          <w:szCs w:val="19"/>
          <w:color w:val="auto"/>
        </w:rPr>
      </w:pPr>
      <w:r>
        <w:rPr>
          <w:rFonts w:ascii="Arial" w:cs="Arial" w:eastAsia="Arial" w:hAnsi="Arial"/>
          <w:sz w:val="19"/>
          <w:szCs w:val="19"/>
          <w:color w:val="auto"/>
        </w:rPr>
        <w:t>Such Selling Shareholder has, and immediately prior to the Closing Date and any Date of Delivery, will have,</w:t>
      </w:r>
    </w:p>
    <w:p>
      <w:pPr>
        <w:spacing w:after="0" w:line="42" w:lineRule="exact"/>
        <w:rPr>
          <w:rFonts w:ascii="Arial" w:cs="Arial" w:eastAsia="Arial" w:hAnsi="Arial"/>
          <w:sz w:val="19"/>
          <w:szCs w:val="19"/>
          <w:color w:val="auto"/>
        </w:rPr>
      </w:pPr>
    </w:p>
    <w:p>
      <w:pPr>
        <w:ind w:left="4" w:right="240"/>
        <w:spacing w:after="0" w:line="245" w:lineRule="auto"/>
        <w:rPr>
          <w:rFonts w:ascii="Arial" w:cs="Arial" w:eastAsia="Arial" w:hAnsi="Arial"/>
          <w:sz w:val="19"/>
          <w:szCs w:val="19"/>
          <w:color w:val="auto"/>
        </w:rPr>
      </w:pPr>
      <w:r>
        <w:rPr>
          <w:rFonts w:ascii="Arial" w:cs="Arial" w:eastAsia="Arial" w:hAnsi="Arial"/>
          <w:sz w:val="21"/>
          <w:szCs w:val="21"/>
          <w:color w:val="auto"/>
        </w:rPr>
        <w:t>(A) valid title to, or a valid “security entitlement” within the meaning of Sections 8-102 and 8-501 of the Uniform Commercial Code of the State of New York (the “</w:t>
      </w:r>
      <w:r>
        <w:rPr>
          <w:rFonts w:ascii="Arial" w:cs="Arial" w:eastAsia="Arial" w:hAnsi="Arial"/>
          <w:sz w:val="21"/>
          <w:szCs w:val="21"/>
          <w:u w:val="single" w:color="auto"/>
          <w:color w:val="auto"/>
        </w:rPr>
        <w:t>UCC</w:t>
      </w:r>
      <w:r>
        <w:rPr>
          <w:rFonts w:ascii="Arial" w:cs="Arial" w:eastAsia="Arial" w:hAnsi="Arial"/>
          <w:sz w:val="21"/>
          <w:szCs w:val="21"/>
          <w:color w:val="auto"/>
        </w:rPr>
        <w:t>”) in respect of, (1) the Securities to be sold by such Selling Shareholder, free and clear of all security interests, claims, liens, equities or other encumbrances; and (B) the legal right and power, and all authorization and approval required by law, to enter into this Agreement and to sell, transfer and deliver the Securities to be sold by such Selling Shareholder.</w:t>
      </w:r>
    </w:p>
    <w:p>
      <w:pPr>
        <w:spacing w:after="0" w:line="207" w:lineRule="exact"/>
        <w:rPr>
          <w:rFonts w:ascii="Arial" w:cs="Arial" w:eastAsia="Arial" w:hAnsi="Arial"/>
          <w:sz w:val="19"/>
          <w:szCs w:val="19"/>
          <w:color w:val="auto"/>
        </w:rPr>
      </w:pPr>
    </w:p>
    <w:p>
      <w:pPr>
        <w:ind w:left="4" w:right="100" w:firstLine="320"/>
        <w:spacing w:after="0"/>
        <w:tabs>
          <w:tab w:leader="none" w:pos="1066" w:val="left"/>
        </w:tabs>
        <w:numPr>
          <w:ilvl w:val="1"/>
          <w:numId w:val="18"/>
        </w:numPr>
        <w:rPr>
          <w:rFonts w:ascii="Arial" w:cs="Arial" w:eastAsia="Arial" w:hAnsi="Arial"/>
          <w:sz w:val="22"/>
          <w:szCs w:val="22"/>
          <w:color w:val="auto"/>
        </w:rPr>
      </w:pPr>
      <w:r>
        <w:rPr>
          <w:rFonts w:ascii="Arial" w:cs="Arial" w:eastAsia="Arial" w:hAnsi="Arial"/>
          <w:sz w:val="22"/>
          <w:szCs w:val="22"/>
          <w:color w:val="auto"/>
        </w:rPr>
        <w:t>Such Selling Shareholder has not taken, and will not take, directly or indirectly, any action which is designed to or which has constituted or would be expected to cause or result in stabilization or manipulation of the price of any security of the Company to facilitate the sale or resale of the Securities.</w:t>
      </w:r>
    </w:p>
    <w:p>
      <w:pPr>
        <w:spacing w:after="0" w:line="213" w:lineRule="exact"/>
        <w:rPr>
          <w:rFonts w:ascii="Arial" w:cs="Arial" w:eastAsia="Arial" w:hAnsi="Arial"/>
          <w:sz w:val="22"/>
          <w:szCs w:val="22"/>
          <w:color w:val="auto"/>
        </w:rPr>
      </w:pPr>
    </w:p>
    <w:p>
      <w:pPr>
        <w:ind w:left="4" w:firstLine="320"/>
        <w:spacing w:after="0" w:line="277" w:lineRule="auto"/>
        <w:tabs>
          <w:tab w:leader="none" w:pos="1072" w:val="left"/>
        </w:tabs>
        <w:numPr>
          <w:ilvl w:val="1"/>
          <w:numId w:val="18"/>
        </w:numPr>
        <w:rPr>
          <w:rFonts w:ascii="Arial" w:cs="Arial" w:eastAsia="Arial" w:hAnsi="Arial"/>
          <w:sz w:val="19"/>
          <w:szCs w:val="19"/>
          <w:color w:val="auto"/>
        </w:rPr>
      </w:pPr>
      <w:r>
        <w:rPr>
          <w:rFonts w:ascii="Arial" w:cs="Arial" w:eastAsia="Arial" w:hAnsi="Arial"/>
          <w:sz w:val="19"/>
          <w:szCs w:val="19"/>
          <w:color w:val="auto"/>
        </w:rPr>
        <w:t>No consent, approval, authorization, filing with or order of any court or governmental agency or body is required for the performance by such Selling Shareholder of its obligations hereunder or in connection with the sale and delivery of the Securities hereunder or the consummation of the transactions contemplated herein, except such as have been obtained under the Act, the rules of the Nasdaq Global Select Market, the rules of the Financial Industry Regulatory Authority, Inc. (“</w:t>
      </w:r>
      <w:r>
        <w:rPr>
          <w:rFonts w:ascii="Arial" w:cs="Arial" w:eastAsia="Arial" w:hAnsi="Arial"/>
          <w:sz w:val="19"/>
          <w:szCs w:val="19"/>
          <w:u w:val="single" w:color="auto"/>
          <w:color w:val="auto"/>
        </w:rPr>
        <w:t>FINRA</w:t>
      </w:r>
      <w:r>
        <w:rPr>
          <w:rFonts w:ascii="Arial" w:cs="Arial" w:eastAsia="Arial" w:hAnsi="Arial"/>
          <w:sz w:val="19"/>
          <w:szCs w:val="19"/>
          <w:color w:val="auto"/>
        </w:rPr>
        <w:t>”) and such as may be required under the blue sky laws of any U.S. jurisdiction or the laws of any non-U.S. jurisdiction in connection with the purchase and distribution of the Securities by the Underwriters in the manner contemplated herein and in the Disclosure Package and the Final Prospectus.</w:t>
      </w:r>
    </w:p>
    <w:p>
      <w:pPr>
        <w:sectPr>
          <w:pgSz w:w="11900" w:h="16838" w:orient="portrait"/>
          <w:cols w:equalWidth="0" w:num="1">
            <w:col w:w="10584"/>
          </w:cols>
          <w:pgMar w:left="976" w:top="118" w:right="339" w:bottom="1440" w:gutter="0" w:footer="0" w:header="0"/>
        </w:sectPr>
      </w:pPr>
    </w:p>
    <w:p>
      <w:pPr>
        <w:spacing w:after="0" w:line="357" w:lineRule="exact"/>
        <w:rPr>
          <w:sz w:val="20"/>
          <w:szCs w:val="20"/>
          <w:color w:val="auto"/>
        </w:rPr>
      </w:pPr>
    </w:p>
    <w:p>
      <w:pPr>
        <w:jc w:val="center"/>
        <w:ind w:right="656"/>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type w:val="continuous"/>
        </w:sectPr>
      </w:pPr>
    </w:p>
    <w:bookmarkStart w:id="26" w:name="page27"/>
    <w:bookmarkEnd w:id="26"/>
    <w:p>
      <w:pPr>
        <w:ind w:left="320" w:right="20" w:firstLine="320"/>
        <w:spacing w:after="0" w:line="274" w:lineRule="auto"/>
        <w:tabs>
          <w:tab w:leader="none" w:pos="1394" w:val="left"/>
        </w:tabs>
        <w:numPr>
          <w:ilvl w:val="1"/>
          <w:numId w:val="19"/>
        </w:numPr>
        <w:rPr>
          <w:rFonts w:ascii="Arial" w:cs="Arial" w:eastAsia="Arial" w:hAnsi="Arial"/>
          <w:sz w:val="19"/>
          <w:szCs w:val="19"/>
          <w:color w:val="auto"/>
        </w:rPr>
      </w:pPr>
      <w:r>
        <w:rPr>
          <w:rFonts w:ascii="Arial" w:cs="Arial" w:eastAsia="Arial" w:hAnsi="Arial"/>
          <w:sz w:val="19"/>
          <w:szCs w:val="19"/>
          <w:color w:val="auto"/>
        </w:rPr>
        <w:t>Any Selling Shareholder Free Writing Prospectus that each Selling Shareholder is required to file pursuant to Rule 433(d) under the Act has been, or will be, filed with the Commission in accordance with the requirements of the Act and the applicable rules and regulations of the Commission thereunder. Each Selling Shareholder Free Writing Prospectus that each Selling Shareholder has filed, or is required to file, pursuant to Rule 433(d) under the Act or that was prepared by or behalf of or used or referred to by such Selling Shareholder complies or will comply in all material respects with the requirements of the Act and the applicable rules and regulations of the Commission thereunder. Except for the Selling Shareholder Free Writing Prospectus, if any, identified in Schedule C hereto, and electronic road shows, if any, each furnished to you before first use, each Selling Shareholder has not prepared, used or referred to, and will not, without your prior consent, prepare, use or refer to, any Selling Shareholder Free Writing Prospectus.</w:t>
      </w:r>
    </w:p>
    <w:p>
      <w:pPr>
        <w:spacing w:after="0" w:line="185" w:lineRule="exact"/>
        <w:rPr>
          <w:rFonts w:ascii="Arial" w:cs="Arial" w:eastAsia="Arial" w:hAnsi="Arial"/>
          <w:sz w:val="19"/>
          <w:szCs w:val="19"/>
          <w:color w:val="auto"/>
        </w:rPr>
      </w:pPr>
    </w:p>
    <w:p>
      <w:pPr>
        <w:ind w:left="320" w:right="100" w:firstLine="320"/>
        <w:spacing w:after="0" w:line="279" w:lineRule="auto"/>
        <w:tabs>
          <w:tab w:leader="none" w:pos="14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Each person who, as an officer of such Selling Shareholder, signed this Agreement and any other document executed and delivered prior hereto or on the date hereof in connection with the sale of the Securities, at the time or the respective times of such execution of such documents, was qualified and acting as such officer, and the signature of each such person (including any electronic signature covered by the U.S. federal ESIGN Act of 2000, Uniform Electronic Transactions Act, the Electronic Signatures and Records Act or other applicable law, e.g., www.docusign.com) appearing on any such document is his or her genuine signature or true facsimile thereof.</w:t>
      </w:r>
    </w:p>
    <w:p>
      <w:pPr>
        <w:spacing w:after="0" w:line="177" w:lineRule="exact"/>
        <w:rPr>
          <w:rFonts w:ascii="Arial" w:cs="Arial" w:eastAsia="Arial" w:hAnsi="Arial"/>
          <w:sz w:val="19"/>
          <w:szCs w:val="19"/>
          <w:color w:val="auto"/>
        </w:rPr>
      </w:pPr>
    </w:p>
    <w:p>
      <w:pPr>
        <w:ind w:firstLine="316"/>
        <w:spacing w:after="0" w:line="235" w:lineRule="auto"/>
        <w:tabs>
          <w:tab w:leader="none" w:pos="672"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 and any certificate signed by or on behalf of any of the Selling Shareholders and delivered to the Representatives or counsel for the Underwriters in connection with the offering of the Securities shall be deemed a representation and warranty solely by such Selling Shareholder, as to matters covered thereby, to each Underwriter.</w:t>
      </w:r>
    </w:p>
    <w:p>
      <w:pPr>
        <w:spacing w:after="0" w:line="215" w:lineRule="exact"/>
        <w:rPr>
          <w:sz w:val="20"/>
          <w:szCs w:val="20"/>
          <w:color w:val="auto"/>
        </w:rPr>
      </w:pPr>
    </w:p>
    <w:p>
      <w:pPr>
        <w:ind w:left="1400" w:hanging="760"/>
        <w:spacing w:after="0"/>
        <w:tabs>
          <w:tab w:leader="none" w:pos="140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Purchase and Sale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316"/>
        <w:spacing w:after="0" w:line="246" w:lineRule="auto"/>
        <w:tabs>
          <w:tab w:leader="none" w:pos="672" w:val="left"/>
        </w:tabs>
        <w:numPr>
          <w:ilvl w:val="0"/>
          <w:numId w:val="22"/>
        </w:numPr>
        <w:rPr>
          <w:rFonts w:ascii="Arial" w:cs="Arial" w:eastAsia="Arial" w:hAnsi="Arial"/>
          <w:sz w:val="21"/>
          <w:szCs w:val="21"/>
          <w:color w:val="auto"/>
        </w:rPr>
      </w:pPr>
      <w:r>
        <w:rPr>
          <w:rFonts w:ascii="Arial" w:cs="Arial" w:eastAsia="Arial" w:hAnsi="Arial"/>
          <w:sz w:val="21"/>
          <w:szCs w:val="21"/>
          <w:color w:val="auto"/>
        </w:rPr>
        <w:t>Subject to the terms and conditions and in reliance upon the representations and warranties herein set forth, the Selling Shareholders agree to sell to each Underwriter, and each Underwriter agrees, severally and not jointly, to purchase from the Selling Shareholders, at the purchase price set forth in Schedule A hereto, that proportion of the number of Initial Securities which the number of Initial Securities set forth in Schedule A opposite the name of such Underwriter, plus any additional number of Initial Securities which such Underwriter may become obligated to purchase pursuant to the provisions of Section 9 hereof, bears to the total number of Initial Securities to be sold by the Selling Shareholders in the aggregate, subject, in each case, to such adjustments among the Underwriters as the Representatives in their sole discretion shall make to eliminate any sales or purchases of fractional shares.</w:t>
      </w:r>
    </w:p>
    <w:p>
      <w:pPr>
        <w:spacing w:after="0" w:line="206" w:lineRule="exact"/>
        <w:rPr>
          <w:rFonts w:ascii="Arial" w:cs="Arial" w:eastAsia="Arial" w:hAnsi="Arial"/>
          <w:sz w:val="21"/>
          <w:szCs w:val="21"/>
          <w:color w:val="auto"/>
        </w:rPr>
      </w:pPr>
    </w:p>
    <w:p>
      <w:pPr>
        <w:ind w:firstLine="316"/>
        <w:spacing w:after="0" w:line="271" w:lineRule="auto"/>
        <w:tabs>
          <w:tab w:leader="none" w:pos="684"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 addition, subject to the terms and conditions and in reliance upon the representations and warranties herein set forth, the Selling Shareholders hereby grant an option to the Underwriters, severally and not jointly, to purchase up to an additional 1,183,150 Securities in the aggregate, at the price per share set forth in Schedule A hereto,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from time to time upon notice by the Representatives to the Company and the Selling Shareholders setting forth the number of Option Securities as to which the several Underwriters are then exercising the option and the time and date of payment and delivery for such Option Securities. Any such time and date of delivery (a “</w:t>
      </w:r>
      <w:r>
        <w:rPr>
          <w:rFonts w:ascii="Arial" w:cs="Arial" w:eastAsia="Arial" w:hAnsi="Arial"/>
          <w:sz w:val="19"/>
          <w:szCs w:val="19"/>
          <w:u w:val="single" w:color="auto"/>
          <w:color w:val="auto"/>
        </w:rPr>
        <w:t>Date of Delivery</w:t>
      </w:r>
      <w:r>
        <w:rPr>
          <w:rFonts w:ascii="Arial" w:cs="Arial" w:eastAsia="Arial" w:hAnsi="Arial"/>
          <w:sz w:val="19"/>
          <w:szCs w:val="19"/>
          <w:color w:val="auto"/>
        </w:rPr>
        <w:t>”) shall be determined by the Representatives, but shall not be later than seven full Business Days after the exercise of said option, nor in any event prior to the Closing Date.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hereto opposite the name of such Underwriter bears to the total number of Initial Securities to be sold by the Selling Shareholders in the aggregate, subject, in each case, to such adjustments as the Representatives in their sole discretion shall make to eliminate any sales or purchases of fractional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bookmarkStart w:id="27" w:name="page28"/>
    <w:bookmarkEnd w:id="27"/>
    <w:p>
      <w:pPr>
        <w:ind w:left="1400" w:hanging="760"/>
        <w:spacing w:after="0"/>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Delivery and Payment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316"/>
        <w:spacing w:after="0" w:line="282" w:lineRule="auto"/>
        <w:tabs>
          <w:tab w:leader="none" w:pos="672"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Delivery of and payment for the Initial Securities shall be made at the offices of Ropes &amp; Gray LLP, 800 Boylston Street Boston, Massachusetts 02199-3600 on May 29, 2020 or at such time on such later date not more than three Business Days after the foregoing date as the Representatives shall designate, which date and time may be postponed by agreement among the Representatives, the Company and the Selling Shareholders or as provided in Section 9 hereof (such date and time of delivery and payment for the Initial Securities being herein called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right="140" w:firstLine="316"/>
        <w:spacing w:after="0" w:line="279" w:lineRule="auto"/>
        <w:tabs>
          <w:tab w:leader="none" w:pos="684"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 addition, in the event that any or all of the Option Securities are purchased by the Underwriters, delivery of and payment for such Option Securities shall be made at the offices of Ropes &amp; Gray LLP, 800 Boylston Street Boston, Massachusetts 02199-3600 on each Date of Delivery as specified in the notice from the Representatives to the Company and the Selling Shareholders or at such time on such later date not more than three Business Days after the foregoing date as the Representatives shall designate, which date and time may be postponed by agreement among the Representatives, the Company and the Selling Shareholders or as provided in Section 9 hereof.</w:t>
      </w:r>
    </w:p>
    <w:p>
      <w:pPr>
        <w:spacing w:after="0" w:line="177" w:lineRule="exact"/>
        <w:rPr>
          <w:rFonts w:ascii="Arial" w:cs="Arial" w:eastAsia="Arial" w:hAnsi="Arial"/>
          <w:sz w:val="19"/>
          <w:szCs w:val="19"/>
          <w:color w:val="auto"/>
        </w:rPr>
      </w:pPr>
    </w:p>
    <w:p>
      <w:pPr>
        <w:jc w:val="both"/>
        <w:ind w:right="40" w:firstLine="316"/>
        <w:spacing w:after="0" w:line="273" w:lineRule="auto"/>
        <w:tabs>
          <w:tab w:leader="none" w:pos="672"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Delivery of the Securities shall be made to the Representatives for the respective accounts of the several Underwriters against payment by the several Underwriters through the Representatives of the purchase price thereof to or upon the order of the Selling Shareholders by wire transfer payable in same-day funds to an account specified by the Selling Shareholders.</w:t>
      </w:r>
    </w:p>
    <w:p>
      <w:pPr>
        <w:spacing w:after="0" w:line="1" w:lineRule="exact"/>
        <w:rPr>
          <w:rFonts w:ascii="Arial" w:cs="Arial" w:eastAsia="Arial" w:hAnsi="Arial"/>
          <w:sz w:val="19"/>
          <w:szCs w:val="19"/>
          <w:color w:val="auto"/>
        </w:rPr>
      </w:pPr>
    </w:p>
    <w:p>
      <w:pPr>
        <w:ind w:right="120"/>
        <w:spacing w:after="0" w:line="236" w:lineRule="auto"/>
        <w:rPr>
          <w:rFonts w:ascii="Arial" w:cs="Arial" w:eastAsia="Arial" w:hAnsi="Arial"/>
          <w:sz w:val="19"/>
          <w:szCs w:val="19"/>
          <w:color w:val="auto"/>
        </w:rPr>
      </w:pPr>
      <w:r>
        <w:rPr>
          <w:rFonts w:ascii="Arial" w:cs="Arial" w:eastAsia="Arial" w:hAnsi="Arial"/>
          <w:sz w:val="22"/>
          <w:szCs w:val="22"/>
          <w:color w:val="auto"/>
        </w:rPr>
        <w:t>Delivery of the Securities shall be made through the facilities of American Stock Transfer &amp; Trust Company, LLC unless the Representatives shall otherwise instruct.</w:t>
      </w:r>
    </w:p>
    <w:p>
      <w:pPr>
        <w:spacing w:after="0" w:line="213" w:lineRule="exact"/>
        <w:rPr>
          <w:rFonts w:ascii="Arial" w:cs="Arial" w:eastAsia="Arial" w:hAnsi="Arial"/>
          <w:sz w:val="19"/>
          <w:szCs w:val="19"/>
          <w:color w:val="auto"/>
        </w:rPr>
      </w:pPr>
    </w:p>
    <w:p>
      <w:pPr>
        <w:ind w:left="320" w:right="280" w:firstLine="320"/>
        <w:spacing w:after="0" w:line="250" w:lineRule="auto"/>
        <w:tabs>
          <w:tab w:leader="none" w:pos="140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Offering by Underwriters</w:t>
      </w:r>
      <w:r>
        <w:rPr>
          <w:rFonts w:ascii="Arial" w:cs="Arial" w:eastAsia="Arial" w:hAnsi="Arial"/>
          <w:sz w:val="22"/>
          <w:szCs w:val="22"/>
          <w:color w:val="auto"/>
        </w:rPr>
        <w:t>. It is understood that the several Underwriters propose to offer the Securities for sale to the public as set forth in the Final Prospectus.</w:t>
      </w:r>
    </w:p>
    <w:p>
      <w:pPr>
        <w:spacing w:after="0" w:line="201" w:lineRule="exact"/>
        <w:rPr>
          <w:rFonts w:ascii="Arial" w:cs="Arial" w:eastAsia="Arial" w:hAnsi="Arial"/>
          <w:sz w:val="22"/>
          <w:szCs w:val="22"/>
          <w:color w:val="auto"/>
        </w:rPr>
      </w:pPr>
    </w:p>
    <w:p>
      <w:pPr>
        <w:ind w:left="320" w:right="700" w:firstLine="320"/>
        <w:spacing w:after="0" w:line="250" w:lineRule="auto"/>
        <w:tabs>
          <w:tab w:leader="none" w:pos="140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Agreements</w:t>
      </w:r>
      <w:r>
        <w:rPr>
          <w:rFonts w:ascii="Arial" w:cs="Arial" w:eastAsia="Arial" w:hAnsi="Arial"/>
          <w:sz w:val="22"/>
          <w:szCs w:val="22"/>
          <w:color w:val="auto"/>
        </w:rPr>
        <w:t>. Each of the Company and each of the Selling Shareholders, in each case as noted in this Section 5, agrees with each Underwriter that:</w:t>
      </w:r>
    </w:p>
    <w:p>
      <w:pPr>
        <w:spacing w:after="0" w:line="202" w:lineRule="exact"/>
        <w:rPr>
          <w:sz w:val="20"/>
          <w:szCs w:val="20"/>
          <w:color w:val="auto"/>
        </w:rPr>
      </w:pPr>
    </w:p>
    <w:p>
      <w:pPr>
        <w:ind w:firstLine="316"/>
        <w:spacing w:after="0" w:line="270" w:lineRule="auto"/>
        <w:tabs>
          <w:tab w:leader="none" w:pos="726" w:val="left"/>
        </w:tabs>
        <w:numPr>
          <w:ilvl w:val="0"/>
          <w:numId w:val="25"/>
        </w:numPr>
        <w:rPr>
          <w:rFonts w:ascii="Arial" w:cs="Arial" w:eastAsia="Arial" w:hAnsi="Arial"/>
          <w:sz w:val="19"/>
          <w:szCs w:val="19"/>
          <w:color w:val="auto"/>
        </w:rPr>
      </w:pPr>
      <w:r>
        <w:rPr>
          <w:rFonts w:ascii="Arial" w:cs="Arial" w:eastAsia="Arial" w:hAnsi="Arial"/>
          <w:sz w:val="19"/>
          <w:szCs w:val="19"/>
          <w:color w:val="auto"/>
        </w:rPr>
        <w:t>Prior to the termination of the offering of the Securities, the Company will not file any amendment of the Registration Statement or supplement (including the Final Prospectus or any Preliminary Prospectus) to the Base Prospectus unless the Company has furnished you a copy for your review prior to filing and will not file any such proposed amendment or supplement to which you reasonably object. The Company will cause the Final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Final Prospectus, and any supplement thereto, shall have been filed (if required) with the Commission pursuant to Rule 424(b),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Final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bookmarkStart w:id="28" w:name="page29"/>
    <w:bookmarkEnd w:id="28"/>
    <w:p>
      <w:pPr>
        <w:ind w:right="40" w:firstLine="316"/>
        <w:spacing w:after="0" w:line="234" w:lineRule="auto"/>
        <w:tabs>
          <w:tab w:leader="none" w:pos="684" w:val="left"/>
        </w:tabs>
        <w:numPr>
          <w:ilvl w:val="0"/>
          <w:numId w:val="26"/>
        </w:numPr>
        <w:rPr>
          <w:rFonts w:ascii="Arial" w:cs="Arial" w:eastAsia="Arial" w:hAnsi="Arial"/>
          <w:sz w:val="22"/>
          <w:szCs w:val="22"/>
          <w:color w:val="auto"/>
        </w:rPr>
      </w:pPr>
      <w:r>
        <w:rPr>
          <w:rFonts w:ascii="Arial" w:cs="Arial" w:eastAsia="Arial" w:hAnsi="Arial"/>
          <w:sz w:val="22"/>
          <w:szCs w:val="22"/>
          <w:color w:val="auto"/>
        </w:rPr>
        <w:t>If, at any time prior to the filing of the Final Prospectus pursuant to Rule 424(b), any event occurs as a result of which the Disclosure Package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218" w:lineRule="exact"/>
        <w:rPr>
          <w:rFonts w:ascii="Arial" w:cs="Arial" w:eastAsia="Arial" w:hAnsi="Arial"/>
          <w:sz w:val="22"/>
          <w:szCs w:val="22"/>
          <w:color w:val="auto"/>
        </w:rPr>
      </w:pPr>
    </w:p>
    <w:p>
      <w:pPr>
        <w:ind w:right="20" w:firstLine="316"/>
        <w:spacing w:after="0" w:line="272" w:lineRule="auto"/>
        <w:tabs>
          <w:tab w:leader="none" w:pos="672"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at any time when a prospectus relating to the Securities is required to be 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Final Prospectus to comply with the Act or the Exchange Act or the respective rules thereunder, including in connection with use or delivery of the Final Prospectus, the Company promptly will (i) notify the Representatives of any such event, (ii) prepare and file with the Commission, subject to the second sentence of paragraph (a) of this Section 5,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187" w:lineRule="exact"/>
        <w:rPr>
          <w:rFonts w:ascii="Arial" w:cs="Arial" w:eastAsia="Arial" w:hAnsi="Arial"/>
          <w:sz w:val="19"/>
          <w:szCs w:val="19"/>
          <w:color w:val="auto"/>
        </w:rPr>
      </w:pPr>
    </w:p>
    <w:p>
      <w:pPr>
        <w:jc w:val="both"/>
        <w:ind w:right="160" w:firstLine="316"/>
        <w:spacing w:after="0"/>
        <w:tabs>
          <w:tab w:leader="none" w:pos="684" w:val="left"/>
        </w:tabs>
        <w:numPr>
          <w:ilvl w:val="0"/>
          <w:numId w:val="26"/>
        </w:numPr>
        <w:rPr>
          <w:rFonts w:ascii="Arial" w:cs="Arial" w:eastAsia="Arial" w:hAnsi="Arial"/>
          <w:sz w:val="22"/>
          <w:szCs w:val="22"/>
          <w:color w:val="auto"/>
        </w:rPr>
      </w:pPr>
      <w:r>
        <w:rPr>
          <w:rFonts w:ascii="Arial" w:cs="Arial" w:eastAsia="Arial" w:hAnsi="Arial"/>
          <w:sz w:val="22"/>
          <w:szCs w:val="22"/>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w:t>
      </w:r>
    </w:p>
    <w:p>
      <w:pPr>
        <w:spacing w:after="0" w:line="213" w:lineRule="exact"/>
        <w:rPr>
          <w:rFonts w:ascii="Arial" w:cs="Arial" w:eastAsia="Arial" w:hAnsi="Arial"/>
          <w:sz w:val="22"/>
          <w:szCs w:val="22"/>
          <w:color w:val="auto"/>
        </w:rPr>
      </w:pPr>
    </w:p>
    <w:p>
      <w:pPr>
        <w:ind w:right="40" w:firstLine="316"/>
        <w:spacing w:after="0" w:line="277" w:lineRule="auto"/>
        <w:tabs>
          <w:tab w:leader="none" w:pos="672"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Company will furnish to the Representatives and counsel for the Underwriters, without charge, a reasonable number of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Final Prospectus and each Issuer Free Writing Prospectus and any supplement thereto as the Representatives may reasonably request. The Selling Shareholders will pay the reasonable expenses of printing or other production of all documents relating to the offering.</w:t>
      </w:r>
    </w:p>
    <w:p>
      <w:pPr>
        <w:spacing w:after="0" w:line="178" w:lineRule="exact"/>
        <w:rPr>
          <w:rFonts w:ascii="Arial" w:cs="Arial" w:eastAsia="Arial" w:hAnsi="Arial"/>
          <w:sz w:val="19"/>
          <w:szCs w:val="19"/>
          <w:color w:val="auto"/>
        </w:rPr>
      </w:pPr>
    </w:p>
    <w:p>
      <w:pPr>
        <w:ind w:right="220" w:firstLine="316"/>
        <w:spacing w:after="0" w:line="235" w:lineRule="auto"/>
        <w:tabs>
          <w:tab w:leader="none" w:pos="702"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will arrange, if necessary, for the qualification of the Securities for sale under the laws of such jurisdictions as the Representatives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any taxation of its income or any service of process in suits, other than those arising out of the offering or sale of the Securities, in any jurisdiction where it is not now so subject.</w:t>
      </w:r>
    </w:p>
    <w:p>
      <w:pPr>
        <w:spacing w:after="0" w:line="214" w:lineRule="exact"/>
        <w:rPr>
          <w:rFonts w:ascii="Arial" w:cs="Arial" w:eastAsia="Arial" w:hAnsi="Arial"/>
          <w:sz w:val="22"/>
          <w:szCs w:val="22"/>
          <w:color w:val="auto"/>
        </w:rPr>
      </w:pPr>
    </w:p>
    <w:p>
      <w:pPr>
        <w:ind w:firstLine="316"/>
        <w:spacing w:after="0" w:line="272" w:lineRule="auto"/>
        <w:tabs>
          <w:tab w:leader="none" w:pos="684" w:val="left"/>
        </w:tabs>
        <w:numPr>
          <w:ilvl w:val="0"/>
          <w:numId w:val="26"/>
        </w:numPr>
        <w:rPr>
          <w:rFonts w:ascii="Arial" w:cs="Arial" w:eastAsia="Arial" w:hAnsi="Arial"/>
          <w:sz w:val="19"/>
          <w:szCs w:val="19"/>
          <w:color w:val="auto"/>
        </w:rPr>
      </w:pPr>
      <w:r>
        <w:rPr>
          <w:rFonts w:ascii="Arial" w:cs="Arial" w:eastAsia="Arial" w:hAnsi="Arial"/>
          <w:sz w:val="19"/>
          <w:szCs w:val="19"/>
          <w:color w:val="auto"/>
        </w:rPr>
        <w:t>Each of the Company and the Selling Shareholders agrees that, unless it has or shall have obtained the prior written consent (not to be unreasonably withheld)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provided that the prior written consent of the parties hereto shall be deemed to have been given in respect of the Free Writing Prospectuses included in Schedule B hereto and any electronic road show. Any such free writing prospectus consented to by the Representatives or the Company is hereinafter referred to as a “</w:t>
      </w:r>
      <w:r>
        <w:rPr>
          <w:rFonts w:ascii="Arial" w:cs="Arial" w:eastAsia="Arial" w:hAnsi="Arial"/>
          <w:sz w:val="19"/>
          <w:szCs w:val="19"/>
          <w:u w:val="single" w:color="auto"/>
          <w:color w:val="auto"/>
        </w:rPr>
        <w:t>Permitted Free Writing Prospectus</w:t>
      </w:r>
      <w:r>
        <w:rPr>
          <w:rFonts w:ascii="Arial" w:cs="Arial" w:eastAsia="Arial" w:hAnsi="Arial"/>
          <w:sz w:val="19"/>
          <w:szCs w:val="19"/>
          <w:color w:val="auto"/>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366"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bookmarkStart w:id="29" w:name="page30"/>
    <w:bookmarkEnd w:id="29"/>
    <w:p>
      <w:pPr>
        <w:ind w:firstLine="316"/>
        <w:spacing w:after="0" w:line="269" w:lineRule="auto"/>
        <w:tabs>
          <w:tab w:leader="none" w:pos="684" w:val="left"/>
        </w:tabs>
        <w:numPr>
          <w:ilvl w:val="0"/>
          <w:numId w:val="27"/>
        </w:numPr>
        <w:rPr>
          <w:rFonts w:ascii="Arial" w:cs="Arial" w:eastAsia="Arial" w:hAnsi="Arial"/>
          <w:sz w:val="19"/>
          <w:szCs w:val="19"/>
          <w:color w:val="auto"/>
        </w:rPr>
      </w:pPr>
      <w:r>
        <w:rPr>
          <w:rFonts w:ascii="Arial" w:cs="Arial" w:eastAsia="Arial" w:hAnsi="Arial"/>
          <w:sz w:val="19"/>
          <w:szCs w:val="19"/>
          <w:color w:val="auto"/>
        </w:rPr>
        <w:t>During a period of 60 calendar days from the date of this Agreement, the Company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(a) the Securities to be sold hereunder, (b) any shares of Common Stock issued by the Company upon the exercise of an option or warrant, the vesting of any restricted stock or restricted stock unit (including, for the avoidance of doubt, any performance-based restricted stock unit) or the conversion of a security outstanding on the date hereof (including, for the avoidance of doubt, any Class A stock of the Company), (c) any shares of Common Stock, restricted stock, restricted stock units (including, for the avoidance of doubt, any performance-based restricted stock units) or any securities convertible into or exercisable or exchangeable for Common Stock issued or options to purchase Common Stock granted pursuant to the Company’s long-term incentive plans referred to or incorporated by reference into the Disclosure Package and the Final Prospectus (including, for the avoidance of doubt, those that remain subject to shareholder approval), (d) any shares of Common Stock issued pursuant to any non-employee director stock plan or dividend reinvestment plan referred to or incorporated by reference into the Disclosure Package and the Final Prospectus, (e) the filing of a registration statement or prospectus supplement in compliance with the request of any person who has the right, as of the date hereof, to require the Company to file such registration statement or prospectus supplement, (f) shares of Common Stock (or securities convertible into or exchangeable for shares of Common Stock) issued in connection with the bona fide strategic acquisition of assets, a technology or a business or the bona fide establishment of a strategic partnership or collaboration (including a joint venture) complementary to the Company’s business, or (g) any registration statement on Form S-8 under the Act with respect to the foregoing clauses (c) or (d) or on Form S-4 under the Act with respect to the foregoing clause (f). Nothing contained herein shall limit or restrict the sale of Common Stock of the Company held in a fiduciary capacity by Affiliates of the Company on behalf of their respective clients acting in such fiduciary capacity.</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ind w:right="200" w:firstLine="316"/>
        <w:spacing w:after="0"/>
        <w:tabs>
          <w:tab w:leader="none" w:pos="69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213" w:lineRule="exact"/>
        <w:rPr>
          <w:rFonts w:ascii="Arial" w:cs="Arial" w:eastAsia="Arial" w:hAnsi="Arial"/>
          <w:sz w:val="22"/>
          <w:szCs w:val="22"/>
          <w:color w:val="auto"/>
        </w:rPr>
      </w:pPr>
    </w:p>
    <w:p>
      <w:pPr>
        <w:ind w:left="680" w:hanging="364"/>
        <w:spacing w:after="0"/>
        <w:tabs>
          <w:tab w:leader="none" w:pos="6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Company will use its best efforts to effect and maintain the listing of the Securities on the Nasdaq Global Select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Market.</w:t>
      </w:r>
    </w:p>
    <w:p>
      <w:pPr>
        <w:spacing w:after="0" w:line="215" w:lineRule="exact"/>
        <w:rPr>
          <w:rFonts w:ascii="Arial" w:cs="Arial" w:eastAsia="Arial" w:hAnsi="Arial"/>
          <w:sz w:val="19"/>
          <w:szCs w:val="19"/>
          <w:color w:val="auto"/>
        </w:rPr>
      </w:pPr>
    </w:p>
    <w:p>
      <w:pPr>
        <w:jc w:val="both"/>
        <w:ind w:right="160" w:firstLine="316"/>
        <w:spacing w:after="0" w:line="238" w:lineRule="auto"/>
        <w:tabs>
          <w:tab w:leader="none" w:pos="684"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during the period when a prospectus relating to the Securities is (or, but for the exception afforded by Rule 172, would be) required to be delivered under the Act, will file all documents required to be filed with the Commission pursuant to the Exchange Act within the time periods required by the Exchange Act and the regulations of the Commission promulgated thereunder.</w:t>
      </w:r>
    </w:p>
    <w:p>
      <w:pPr>
        <w:spacing w:after="0" w:line="390"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bookmarkStart w:id="30" w:name="page31"/>
    <w:bookmarkEnd w:id="30"/>
    <w:p>
      <w:pPr>
        <w:ind w:right="40" w:firstLine="316"/>
        <w:spacing w:after="0" w:line="269" w:lineRule="auto"/>
        <w:tabs>
          <w:tab w:leader="none" w:pos="69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Selling Shareholders agree to pay the costs and expenses relating to the following matters: (i) the preparation, printing or reproduction and filing with the Commission of the Registration Statement (including financial statements and exhibits thereto), each Preliminary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(iv) the printing (or reproduction) and delivery of this Agreement, any blue sky memorandum and all other agreements or documents printed (or reproduced) and delivered in connection with the offering of the Securities; (v) the registration, if any, of the Securities under the Exchange Act; (vi) any registration or qualification of the Securities for offer and sale under the securities or blue sky laws of the several states (including filing fees and the reasonable fees and expenses of counsel for the Underwriters relating to such registration and qualification in an amount not to exceed $25,000 (excluding filing fees)); (vii) any filings required to be made with FINRA (including filing fees and the reasonable fees and expenses of counsel for the Underwriters relating to such filings in an amount not to exceed $25,000 (excluding filing fees)); (viii) the reasonable and documented transportation and other expenses incurred by or on behalf of Company representatives in connection with presentations to prospective purchasers of the Securities; (ix) the fees and expenses of the Company’s accountants and the fees and expenses of counsel (including local and special counsel) for the Company; and (x) all other reasonable and documented costs and expenses incident to the performance by the Company of its obligations hereunder. The provisions of this subsection (l) shall not affect any agreement that the Company and the Selling Shareholders have made or may make for the sharing of such costs and expenses.</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ind w:firstLine="316"/>
        <w:spacing w:after="0" w:line="279" w:lineRule="auto"/>
        <w:tabs>
          <w:tab w:leader="none" w:pos="69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Selling Shareholders will pay all expenses incident to the performance of their respective obligations under, and the consummation of the transactions contemplated by, this Agreement including (i) any stamp and other duties and stock and other transfer taxes, if any, payable upon the sale of the Securities to the Underwriters and their transfer between the Underwriters pursuant to an agreement between such Underwriters and (ii) the fees and disbursements of their respective counsel and other advisors. The provisions of this subsection (m) shall not affect any agreement that the Company and the Selling Shareholders have made or may make for the sharing of such costs and expenses.</w:t>
      </w:r>
    </w:p>
    <w:p>
      <w:pPr>
        <w:spacing w:after="0" w:line="177" w:lineRule="exact"/>
        <w:rPr>
          <w:rFonts w:ascii="Arial" w:cs="Arial" w:eastAsia="Arial" w:hAnsi="Arial"/>
          <w:sz w:val="19"/>
          <w:szCs w:val="19"/>
          <w:color w:val="auto"/>
        </w:rPr>
      </w:pPr>
    </w:p>
    <w:p>
      <w:pPr>
        <w:ind w:right="140" w:firstLine="316"/>
        <w:spacing w:after="0" w:line="287" w:lineRule="auto"/>
        <w:tabs>
          <w:tab w:leader="none" w:pos="684" w:val="left"/>
        </w:tabs>
        <w:numPr>
          <w:ilvl w:val="0"/>
          <w:numId w:val="28"/>
        </w:numPr>
        <w:rPr>
          <w:rFonts w:ascii="Arial" w:cs="Arial" w:eastAsia="Arial" w:hAnsi="Arial"/>
          <w:sz w:val="19"/>
          <w:szCs w:val="19"/>
          <w:color w:val="auto"/>
        </w:rPr>
      </w:pPr>
      <w:r>
        <w:rPr>
          <w:rFonts w:ascii="Arial" w:cs="Arial" w:eastAsia="Arial" w:hAnsi="Arial"/>
          <w:sz w:val="19"/>
          <w:szCs w:val="19"/>
          <w:color w:val="auto"/>
        </w:rPr>
        <w:t>Each of the Selling Shareholders will deliver to the Representatives (or their agent), on or prior to the date of execution of this Agreement, a properly completed and executed FinCEN Certification, together with copies of identifying documentation, of such Selling Shareholder and such Selling Shareholder undertakes to provide such additional supporting documentation as each Underwriter may reasonably request in connection with the verification of the FinCEN Certification.</w:t>
      </w:r>
    </w:p>
    <w:p>
      <w:pPr>
        <w:spacing w:after="0" w:line="169" w:lineRule="exact"/>
        <w:rPr>
          <w:rFonts w:ascii="Arial" w:cs="Arial" w:eastAsia="Arial" w:hAnsi="Arial"/>
          <w:sz w:val="19"/>
          <w:szCs w:val="19"/>
          <w:color w:val="auto"/>
        </w:rPr>
      </w:pPr>
    </w:p>
    <w:p>
      <w:pPr>
        <w:ind w:left="320" w:right="140" w:firstLine="320"/>
        <w:spacing w:after="0" w:line="236" w:lineRule="auto"/>
        <w:tabs>
          <w:tab w:leader="none" w:pos="140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Conditions to the Obligations of the Underwriters</w:t>
      </w:r>
      <w:r>
        <w:rPr>
          <w:rFonts w:ascii="Arial" w:cs="Arial" w:eastAsia="Arial" w:hAnsi="Arial"/>
          <w:sz w:val="22"/>
          <w:szCs w:val="22"/>
          <w:color w:val="auto"/>
        </w:rPr>
        <w:t>. The obligations of the Underwriters to purchase the Securities shall be subject to the accuracy of the representations and warranties on the part of the Company contained herein as of the Execution Time and the Closing Date, to the accuracy of the statements of the Company made in any certificates pursuant to the provisions hereof, to the performance by the Company of its obligations hereunder and to the following additional conditions:</w:t>
      </w:r>
    </w:p>
    <w:p>
      <w:pPr>
        <w:spacing w:after="0" w:line="214" w:lineRule="exact"/>
        <w:rPr>
          <w:sz w:val="20"/>
          <w:szCs w:val="20"/>
          <w:color w:val="auto"/>
        </w:rPr>
      </w:pPr>
    </w:p>
    <w:p>
      <w:pPr>
        <w:ind w:right="100" w:firstLine="316"/>
        <w:spacing w:after="0" w:line="282" w:lineRule="auto"/>
        <w:tabs>
          <w:tab w:leader="none" w:pos="726"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Final Prospectus, and any supplement thereto, shall have been filed in the manner and within the time period required by Rule 424(b);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74" w:lineRule="exact"/>
        <w:rPr>
          <w:rFonts w:ascii="Arial" w:cs="Arial" w:eastAsia="Arial" w:hAnsi="Arial"/>
          <w:sz w:val="19"/>
          <w:szCs w:val="19"/>
          <w:color w:val="auto"/>
        </w:rPr>
      </w:pPr>
    </w:p>
    <w:p>
      <w:pPr>
        <w:ind w:right="300" w:firstLine="316"/>
        <w:spacing w:after="0"/>
        <w:tabs>
          <w:tab w:leader="none" w:pos="68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shall have requested and caused Wachtell, Lipton, Rosen &amp; Katz, counsel for the Company, to have furnished to the Representatives their opinion and negative assurance letter, dated the Closing Date and addressed to the Representatives.</w:t>
      </w:r>
    </w:p>
    <w:p>
      <w:pPr>
        <w:spacing w:after="0" w:line="39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660" w:top="118" w:right="379" w:bottom="1440" w:gutter="0" w:footer="0" w:header="0"/>
        </w:sectPr>
      </w:pPr>
    </w:p>
    <w:bookmarkStart w:id="31" w:name="page32"/>
    <w:bookmarkEnd w:id="31"/>
    <w:p>
      <w:pPr>
        <w:ind w:left="8" w:right="540" w:firstLine="316"/>
        <w:spacing w:after="0" w:line="328" w:lineRule="auto"/>
        <w:tabs>
          <w:tab w:leader="none" w:pos="680"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Representatives shall have received from Joseph J. LaRosa, Executive Vice President, General Counsel and Secretary of the Company, his opinion, dated the Closing Date and addressed to the Representatives.</w:t>
      </w:r>
    </w:p>
    <w:p>
      <w:pPr>
        <w:spacing w:after="0" w:line="132" w:lineRule="exact"/>
        <w:rPr>
          <w:rFonts w:ascii="Arial" w:cs="Arial" w:eastAsia="Arial" w:hAnsi="Arial"/>
          <w:sz w:val="19"/>
          <w:szCs w:val="19"/>
          <w:color w:val="auto"/>
        </w:rPr>
      </w:pPr>
    </w:p>
    <w:p>
      <w:pPr>
        <w:jc w:val="both"/>
        <w:ind w:left="8" w:firstLine="316"/>
        <w:spacing w:after="0" w:line="276" w:lineRule="auto"/>
        <w:tabs>
          <w:tab w:leader="none" w:pos="692"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Selling Shareholders shall (i) have furnished to the Representative an opinion of the Vice President, Global Head of Legal Corporate of Sanofi pursuant to the laws of France, dated the Closing Date and addressed to the Representatives, and</w:t>
      </w:r>
    </w:p>
    <w:p>
      <w:pPr>
        <w:spacing w:after="0" w:line="1" w:lineRule="exact"/>
        <w:rPr>
          <w:rFonts w:ascii="Arial" w:cs="Arial" w:eastAsia="Arial" w:hAnsi="Arial"/>
          <w:sz w:val="19"/>
          <w:szCs w:val="19"/>
          <w:color w:val="auto"/>
        </w:rPr>
      </w:pPr>
    </w:p>
    <w:p>
      <w:pPr>
        <w:ind w:left="8" w:right="280" w:hanging="8"/>
        <w:spacing w:after="0" w:line="234" w:lineRule="auto"/>
        <w:tabs>
          <w:tab w:leader="none" w:pos="326" w:val="left"/>
        </w:tabs>
        <w:numPr>
          <w:ilvl w:val="0"/>
          <w:numId w:val="31"/>
        </w:numPr>
        <w:rPr>
          <w:rFonts w:ascii="Arial" w:cs="Arial" w:eastAsia="Arial" w:hAnsi="Arial"/>
          <w:sz w:val="22"/>
          <w:szCs w:val="22"/>
          <w:color w:val="auto"/>
        </w:rPr>
      </w:pPr>
      <w:r>
        <w:rPr>
          <w:rFonts w:ascii="Arial" w:cs="Arial" w:eastAsia="Arial" w:hAnsi="Arial"/>
          <w:sz w:val="22"/>
          <w:szCs w:val="22"/>
          <w:color w:val="auto"/>
        </w:rPr>
        <w:t>have requested and caused Weil, Gotshal &amp; Manges LLP, counsel for the Selling Shareholders, to have furnished to the Representatives their opinion pursuant to the laws of the United States, dated the Closing Date and addressed to the Representatives.</w:t>
      </w:r>
    </w:p>
    <w:p>
      <w:pPr>
        <w:spacing w:after="0" w:line="214" w:lineRule="exact"/>
        <w:rPr>
          <w:rFonts w:ascii="Arial" w:cs="Arial" w:eastAsia="Arial" w:hAnsi="Arial"/>
          <w:sz w:val="22"/>
          <w:szCs w:val="22"/>
          <w:color w:val="auto"/>
        </w:rPr>
      </w:pPr>
    </w:p>
    <w:p>
      <w:pPr>
        <w:jc w:val="both"/>
        <w:ind w:left="8" w:right="340" w:firstLine="316"/>
        <w:spacing w:after="0" w:line="252" w:lineRule="auto"/>
        <w:tabs>
          <w:tab w:leader="none" w:pos="734"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Representatives shall have received from Ropes &amp; Gray LLP, counsel for the Underwriters, their opinion and negative assurance letter, dated the Closing Date and addressed to the Representatives, with respect to such matters as the Representatives may reasonably require, and the Company shall have furnished to such counsel such documents as they request for the purpose of enabling them to pass upon such matters.</w:t>
      </w:r>
    </w:p>
    <w:p>
      <w:pPr>
        <w:spacing w:after="0" w:line="200" w:lineRule="exact"/>
        <w:rPr>
          <w:rFonts w:ascii="Arial" w:cs="Arial" w:eastAsia="Arial" w:hAnsi="Arial"/>
          <w:sz w:val="21"/>
          <w:szCs w:val="21"/>
          <w:color w:val="auto"/>
        </w:rPr>
      </w:pPr>
    </w:p>
    <w:p>
      <w:pPr>
        <w:ind w:left="8" w:right="60" w:firstLine="316"/>
        <w:spacing w:after="0" w:line="250" w:lineRule="auto"/>
        <w:tabs>
          <w:tab w:leader="none" w:pos="71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Company shall have furnished to the Representatives a certificate of the Company, signed by the Chief Financial Officer of the Company, dated the Closing Date, to the effect that:</w:t>
      </w:r>
    </w:p>
    <w:p>
      <w:pPr>
        <w:spacing w:after="0" w:line="201" w:lineRule="exact"/>
        <w:rPr>
          <w:rFonts w:ascii="Arial" w:cs="Arial" w:eastAsia="Arial" w:hAnsi="Arial"/>
          <w:sz w:val="22"/>
          <w:szCs w:val="22"/>
          <w:color w:val="auto"/>
        </w:rPr>
      </w:pPr>
    </w:p>
    <w:p>
      <w:pPr>
        <w:ind w:left="328" w:right="80" w:firstLine="320"/>
        <w:spacing w:after="0" w:line="297" w:lineRule="auto"/>
        <w:tabs>
          <w:tab w:leader="none" w:pos="1396" w:val="left"/>
        </w:tabs>
        <w:numPr>
          <w:ilvl w:val="2"/>
          <w:numId w:val="31"/>
        </w:numPr>
        <w:rPr>
          <w:rFonts w:ascii="Arial" w:cs="Arial" w:eastAsia="Arial" w:hAnsi="Arial"/>
          <w:sz w:val="19"/>
          <w:szCs w:val="19"/>
          <w:color w:val="auto"/>
        </w:rPr>
      </w:pPr>
      <w:r>
        <w:rPr>
          <w:rFonts w:ascii="Arial" w:cs="Arial" w:eastAsia="Arial" w:hAnsi="Arial"/>
          <w:sz w:val="19"/>
          <w:szCs w:val="19"/>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60" w:lineRule="exact"/>
        <w:rPr>
          <w:rFonts w:ascii="Arial" w:cs="Arial" w:eastAsia="Arial" w:hAnsi="Arial"/>
          <w:sz w:val="19"/>
          <w:szCs w:val="19"/>
          <w:color w:val="auto"/>
        </w:rPr>
      </w:pPr>
    </w:p>
    <w:p>
      <w:pPr>
        <w:ind w:left="328" w:firstLine="320"/>
        <w:spacing w:after="0" w:line="328" w:lineRule="auto"/>
        <w:tabs>
          <w:tab w:leader="none" w:pos="1456" w:val="left"/>
        </w:tabs>
        <w:numPr>
          <w:ilvl w:val="2"/>
          <w:numId w:val="31"/>
        </w:numPr>
        <w:rPr>
          <w:rFonts w:ascii="Arial" w:cs="Arial" w:eastAsia="Arial" w:hAnsi="Arial"/>
          <w:sz w:val="19"/>
          <w:szCs w:val="19"/>
          <w:color w:val="auto"/>
        </w:rPr>
      </w:pPr>
      <w:r>
        <w:rPr>
          <w:rFonts w:ascii="Arial" w:cs="Arial" w:eastAsia="Arial" w:hAnsi="Arial"/>
          <w:sz w:val="19"/>
          <w:szCs w:val="19"/>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31" w:lineRule="exact"/>
        <w:rPr>
          <w:rFonts w:ascii="Arial" w:cs="Arial" w:eastAsia="Arial" w:hAnsi="Arial"/>
          <w:sz w:val="19"/>
          <w:szCs w:val="19"/>
          <w:color w:val="auto"/>
        </w:rPr>
      </w:pPr>
    </w:p>
    <w:p>
      <w:pPr>
        <w:ind w:left="328" w:firstLine="320"/>
        <w:spacing w:after="0" w:line="297" w:lineRule="auto"/>
        <w:tabs>
          <w:tab w:leader="none" w:pos="1408" w:val="left"/>
        </w:tabs>
        <w:numPr>
          <w:ilvl w:val="2"/>
          <w:numId w:val="31"/>
        </w:numPr>
        <w:rPr>
          <w:rFonts w:ascii="Arial" w:cs="Arial" w:eastAsia="Arial" w:hAnsi="Arial"/>
          <w:sz w:val="19"/>
          <w:szCs w:val="19"/>
          <w:color w:val="auto"/>
        </w:rPr>
      </w:pPr>
      <w:r>
        <w:rPr>
          <w:rFonts w:ascii="Arial" w:cs="Arial" w:eastAsia="Arial" w:hAnsi="Arial"/>
          <w:sz w:val="19"/>
          <w:szCs w:val="19"/>
          <w:color w:val="auto"/>
        </w:rPr>
        <w:t>since the date of the most recent financial statements incorporated by reference in the Disclosure Package and the Final Prospectus (exclusive of any supplement thereto), there has been no Material Adverse Effect, except as set forth in or contemplated in the Disclosure Package and the Final Prospectus (exclusive of any supplement thereto).</w:t>
      </w:r>
    </w:p>
    <w:p>
      <w:pPr>
        <w:spacing w:after="0" w:line="160" w:lineRule="exact"/>
        <w:rPr>
          <w:rFonts w:ascii="Arial" w:cs="Arial" w:eastAsia="Arial" w:hAnsi="Arial"/>
          <w:sz w:val="19"/>
          <w:szCs w:val="19"/>
          <w:color w:val="auto"/>
        </w:rPr>
      </w:pPr>
    </w:p>
    <w:p>
      <w:pPr>
        <w:ind w:left="8" w:right="60" w:firstLine="316"/>
        <w:spacing w:after="0" w:line="287" w:lineRule="auto"/>
        <w:tabs>
          <w:tab w:leader="none" w:pos="692"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Representatives shall have received a certificate of each of the Selling Shareholders, dated the Closing Date, to the effect that the representations and warranties of such Selling Shareholder in this Agreement are true and correct on and as of the Closing Date with the same effect as if made on the Closing Date and such Selling Shareholder has complied with all the agreements and satisfied all the conditions on its part to be performed or satisfied at or prior to the Closing Date.</w:t>
      </w:r>
    </w:p>
    <w:p>
      <w:pPr>
        <w:spacing w:after="0" w:line="169" w:lineRule="exact"/>
        <w:rPr>
          <w:rFonts w:ascii="Arial" w:cs="Arial" w:eastAsia="Arial" w:hAnsi="Arial"/>
          <w:sz w:val="19"/>
          <w:szCs w:val="19"/>
          <w:color w:val="auto"/>
        </w:rPr>
      </w:pPr>
    </w:p>
    <w:p>
      <w:pPr>
        <w:ind w:left="8" w:right="40" w:firstLine="316"/>
        <w:spacing w:after="0" w:line="275" w:lineRule="auto"/>
        <w:tabs>
          <w:tab w:leader="none" w:pos="692"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Company shall have requested and caused PricewaterhouseCoopers LLP to have furnished to the Representatives, at the Execution Time and at the Closing Date, letters (which may refer to letters previously delivered to one or more of the Representatives), dated respectively as of the Execution Time and as of the Closing Date, in form and substance satisfactory to the Representatives, containing statements and information of the type ordinarily included in accountants’ “comfort letters” to underwriters with respect to the financial statements and certain financial information with respect to the Company incorporated by reference in the Registration Statement and the Final Prospectus; provided that the letter delivered on the Closing Date shall use a “cut-off date” not earlier than the date hereof. References to the Final Prospectus in this paragraph (h) include any supplement thereto at the date of such letter.</w:t>
      </w:r>
    </w:p>
    <w:p>
      <w:pPr>
        <w:spacing w:after="0" w:line="184" w:lineRule="exact"/>
        <w:rPr>
          <w:rFonts w:ascii="Arial" w:cs="Arial" w:eastAsia="Arial" w:hAnsi="Arial"/>
          <w:sz w:val="19"/>
          <w:szCs w:val="19"/>
          <w:color w:val="auto"/>
        </w:rPr>
      </w:pPr>
    </w:p>
    <w:p>
      <w:pPr>
        <w:ind w:left="8" w:right="180" w:firstLine="316"/>
        <w:spacing w:after="0" w:line="274" w:lineRule="auto"/>
        <w:tabs>
          <w:tab w:leader="none" w:pos="698" w:val="left"/>
        </w:tabs>
        <w:numPr>
          <w:ilvl w:val="1"/>
          <w:numId w:val="31"/>
        </w:numPr>
        <w:rPr>
          <w:rFonts w:ascii="Arial" w:cs="Arial" w:eastAsia="Arial" w:hAnsi="Arial"/>
          <w:sz w:val="19"/>
          <w:szCs w:val="19"/>
          <w:color w:val="auto"/>
        </w:rPr>
      </w:pPr>
      <w:r>
        <w:rPr>
          <w:rFonts w:ascii="Arial" w:cs="Arial" w:eastAsia="Arial" w:hAnsi="Arial"/>
          <w:sz w:val="19"/>
          <w:szCs w:val="19"/>
          <w:color w:val="auto"/>
        </w:rPr>
        <w:t>Subsequent to the Execution Time, there shall not have been (iii) any change or decrease specified in the letter or letters referred to in paragraph (h) of this Section 6 or (iv) any change, or any development involving a reasonably foreseeable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judgment of the Representatives,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spacing w:after="0" w:line="363" w:lineRule="exact"/>
        <w:rPr>
          <w:sz w:val="20"/>
          <w:szCs w:val="20"/>
          <w:color w:val="auto"/>
        </w:rPr>
      </w:pPr>
    </w:p>
    <w:p>
      <w:pPr>
        <w:jc w:val="center"/>
        <w:ind w:right="292"/>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118" w:right="359" w:bottom="1440" w:gutter="0" w:footer="0" w:header="0"/>
        </w:sectPr>
      </w:pPr>
    </w:p>
    <w:bookmarkStart w:id="32" w:name="page33"/>
    <w:bookmarkEnd w:id="32"/>
    <w:p>
      <w:pPr>
        <w:ind w:right="500" w:firstLine="316"/>
        <w:spacing w:after="0" w:line="251" w:lineRule="auto"/>
        <w:tabs>
          <w:tab w:leader="none" w:pos="69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At the date of this Agreement, the Representatives shall have received an agreement substantially in the form of Exhibit A hereto signed by each of the Selling Shareholders.</w:t>
      </w:r>
    </w:p>
    <w:p>
      <w:pPr>
        <w:spacing w:after="0" w:line="200" w:lineRule="exact"/>
        <w:rPr>
          <w:rFonts w:ascii="Arial" w:cs="Arial" w:eastAsia="Arial" w:hAnsi="Arial"/>
          <w:sz w:val="22"/>
          <w:szCs w:val="22"/>
          <w:color w:val="auto"/>
        </w:rPr>
      </w:pPr>
    </w:p>
    <w:p>
      <w:pPr>
        <w:ind w:firstLine="316"/>
        <w:spacing w:after="0" w:line="236" w:lineRule="auto"/>
        <w:tabs>
          <w:tab w:leader="none" w:pos="684"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 the event that the Underwriters exercise their option provided in Section 2(b) hereof to purchase all or any portion of the Option Securities, the representations and warranties of the Company and the Selling Shareholders contained herein and the statements in any certificates furnished by the Company, any of its subsidiaries and the Selling Shareholders hereunder shall be true and correct as of each Date of Delivery and, at the relevant Date of Delivery, the Representatives shall have received:</w:t>
      </w:r>
    </w:p>
    <w:p>
      <w:pPr>
        <w:spacing w:after="0" w:line="214" w:lineRule="exact"/>
        <w:rPr>
          <w:rFonts w:ascii="Arial" w:cs="Arial" w:eastAsia="Arial" w:hAnsi="Arial"/>
          <w:sz w:val="22"/>
          <w:szCs w:val="22"/>
          <w:color w:val="auto"/>
        </w:rPr>
      </w:pPr>
    </w:p>
    <w:p>
      <w:pPr>
        <w:ind w:left="320" w:right="20" w:firstLine="320"/>
        <w:spacing w:after="0"/>
        <w:tabs>
          <w:tab w:leader="none" w:pos="1376" w:val="left"/>
        </w:tabs>
        <w:numPr>
          <w:ilvl w:val="1"/>
          <w:numId w:val="32"/>
        </w:numPr>
        <w:rPr>
          <w:rFonts w:ascii="Arial" w:cs="Arial" w:eastAsia="Arial" w:hAnsi="Arial"/>
          <w:sz w:val="22"/>
          <w:szCs w:val="22"/>
          <w:color w:val="auto"/>
        </w:rPr>
      </w:pPr>
      <w:r>
        <w:rPr>
          <w:rFonts w:ascii="Arial" w:cs="Arial" w:eastAsia="Arial" w:hAnsi="Arial"/>
          <w:sz w:val="22"/>
          <w:szCs w:val="22"/>
          <w:color w:val="auto"/>
        </w:rPr>
        <w:t>A certificate of the Company, signed by the Chief Financial Officer of the Company, dated such Date of Delivery, confirming that the certificate on the Closing Date pursuant to Section 6(f) hereof remains true and correct as of such Date of Delivery.</w:t>
      </w:r>
    </w:p>
    <w:p>
      <w:pPr>
        <w:spacing w:after="0" w:line="213" w:lineRule="exact"/>
        <w:rPr>
          <w:rFonts w:ascii="Arial" w:cs="Arial" w:eastAsia="Arial" w:hAnsi="Arial"/>
          <w:sz w:val="22"/>
          <w:szCs w:val="22"/>
          <w:color w:val="auto"/>
        </w:rPr>
      </w:pPr>
    </w:p>
    <w:p>
      <w:pPr>
        <w:ind w:left="320" w:right="120" w:firstLine="320"/>
        <w:spacing w:after="0" w:line="328" w:lineRule="auto"/>
        <w:tabs>
          <w:tab w:leader="none" w:pos="1394" w:val="left"/>
        </w:tabs>
        <w:numPr>
          <w:ilvl w:val="1"/>
          <w:numId w:val="32"/>
        </w:numPr>
        <w:rPr>
          <w:rFonts w:ascii="Arial" w:cs="Arial" w:eastAsia="Arial" w:hAnsi="Arial"/>
          <w:sz w:val="19"/>
          <w:szCs w:val="19"/>
          <w:color w:val="auto"/>
        </w:rPr>
      </w:pPr>
      <w:r>
        <w:rPr>
          <w:rFonts w:ascii="Arial" w:cs="Arial" w:eastAsia="Arial" w:hAnsi="Arial"/>
          <w:sz w:val="19"/>
          <w:szCs w:val="19"/>
          <w:color w:val="auto"/>
        </w:rPr>
        <w:t>A certificate of each of the Selling Shareholders, dated such Date of Delivery, confirming that the certificate delivered on the Closing Date pursuant to Section 6(g) hereof remains true and correct as of such Date of Delivery.</w:t>
      </w:r>
    </w:p>
    <w:p>
      <w:pPr>
        <w:spacing w:after="0" w:line="131" w:lineRule="exact"/>
        <w:rPr>
          <w:rFonts w:ascii="Arial" w:cs="Arial" w:eastAsia="Arial" w:hAnsi="Arial"/>
          <w:sz w:val="19"/>
          <w:szCs w:val="19"/>
          <w:color w:val="auto"/>
        </w:rPr>
      </w:pPr>
    </w:p>
    <w:p>
      <w:pPr>
        <w:ind w:left="320" w:right="80" w:firstLine="320"/>
        <w:spacing w:after="0" w:line="238" w:lineRule="auto"/>
        <w:tabs>
          <w:tab w:leader="none" w:pos="1454" w:val="left"/>
        </w:tabs>
        <w:numPr>
          <w:ilvl w:val="1"/>
          <w:numId w:val="32"/>
        </w:numPr>
        <w:rPr>
          <w:rFonts w:ascii="Arial" w:cs="Arial" w:eastAsia="Arial" w:hAnsi="Arial"/>
          <w:sz w:val="22"/>
          <w:szCs w:val="22"/>
          <w:color w:val="auto"/>
        </w:rPr>
      </w:pPr>
      <w:r>
        <w:rPr>
          <w:rFonts w:ascii="Arial" w:cs="Arial" w:eastAsia="Arial" w:hAnsi="Arial"/>
          <w:sz w:val="22"/>
          <w:szCs w:val="22"/>
          <w:color w:val="auto"/>
        </w:rPr>
        <w:t>If requested by the Representatives, the favorable opinion and negative assurance letter of Wachtell, Lipton, Rosen &amp; Katz, counsel for the Company, in form and substance satisfactory to the Representatives, dated such Date of Delivery, relating to the Option Securities to be purchased on such Date of Delivery and otherwise to the same effect as the opinion required by Section 6(b) hereof.</w:t>
      </w:r>
    </w:p>
    <w:p>
      <w:pPr>
        <w:spacing w:after="0" w:line="211" w:lineRule="exact"/>
        <w:rPr>
          <w:rFonts w:ascii="Arial" w:cs="Arial" w:eastAsia="Arial" w:hAnsi="Arial"/>
          <w:sz w:val="22"/>
          <w:szCs w:val="22"/>
          <w:color w:val="auto"/>
        </w:rPr>
      </w:pPr>
    </w:p>
    <w:p>
      <w:pPr>
        <w:jc w:val="both"/>
        <w:ind w:left="320" w:right="300" w:firstLine="320"/>
        <w:spacing w:after="0" w:line="238" w:lineRule="auto"/>
        <w:tabs>
          <w:tab w:leader="none" w:pos="1388" w:val="left"/>
        </w:tabs>
        <w:numPr>
          <w:ilvl w:val="1"/>
          <w:numId w:val="32"/>
        </w:numPr>
        <w:rPr>
          <w:rFonts w:ascii="Arial" w:cs="Arial" w:eastAsia="Arial" w:hAnsi="Arial"/>
          <w:sz w:val="22"/>
          <w:szCs w:val="22"/>
          <w:color w:val="auto"/>
        </w:rPr>
      </w:pPr>
      <w:r>
        <w:rPr>
          <w:rFonts w:ascii="Arial" w:cs="Arial" w:eastAsia="Arial" w:hAnsi="Arial"/>
          <w:sz w:val="22"/>
          <w:szCs w:val="22"/>
          <w:color w:val="auto"/>
        </w:rPr>
        <w:t>If requested by the Representatives, the favorable opinion of Joseph J. LaRosa, Executive Vice President, General Counsel and Secretary of the Company, in form and substance satisfactory to the Representatives, dated such Date of Delivery, relating to the Option Securities to be purchased on such Date of Delivery and otherwise to the same effect as the opinion required by Section 6(c) hereof.</w:t>
      </w:r>
    </w:p>
    <w:p>
      <w:pPr>
        <w:spacing w:after="0" w:line="211" w:lineRule="exact"/>
        <w:rPr>
          <w:rFonts w:ascii="Arial" w:cs="Arial" w:eastAsia="Arial" w:hAnsi="Arial"/>
          <w:sz w:val="22"/>
          <w:szCs w:val="22"/>
          <w:color w:val="auto"/>
        </w:rPr>
      </w:pPr>
    </w:p>
    <w:p>
      <w:pPr>
        <w:jc w:val="both"/>
        <w:ind w:left="320" w:firstLine="320"/>
        <w:spacing w:after="0" w:line="273" w:lineRule="auto"/>
        <w:tabs>
          <w:tab w:leader="none" w:pos="1436" w:val="left"/>
        </w:tabs>
        <w:numPr>
          <w:ilvl w:val="1"/>
          <w:numId w:val="32"/>
        </w:numPr>
        <w:rPr>
          <w:rFonts w:ascii="Arial" w:cs="Arial" w:eastAsia="Arial" w:hAnsi="Arial"/>
          <w:sz w:val="19"/>
          <w:szCs w:val="19"/>
          <w:color w:val="auto"/>
        </w:rPr>
      </w:pPr>
      <w:r>
        <w:rPr>
          <w:rFonts w:ascii="Arial" w:cs="Arial" w:eastAsia="Arial" w:hAnsi="Arial"/>
          <w:sz w:val="19"/>
          <w:szCs w:val="19"/>
          <w:color w:val="auto"/>
        </w:rPr>
        <w:t>If requested by the Representatives, the favorable opinion of (i) the Vice President, Global Head of Legal Corporate of Sanofi pursuant to the laws of France, dated such Date of Delivery, relating to the Option Securities to be purchased on such Date of Delivery and otherwise to the same effect as the opinion required by Section 6(d)(i) hereof and</w:t>
      </w:r>
    </w:p>
    <w:p>
      <w:pPr>
        <w:spacing w:after="0" w:line="1" w:lineRule="exact"/>
        <w:rPr>
          <w:rFonts w:ascii="Arial" w:cs="Arial" w:eastAsia="Arial" w:hAnsi="Arial"/>
          <w:sz w:val="19"/>
          <w:szCs w:val="19"/>
          <w:color w:val="auto"/>
        </w:rPr>
      </w:pPr>
    </w:p>
    <w:p>
      <w:pPr>
        <w:ind w:left="320" w:right="160" w:hanging="4"/>
        <w:spacing w:after="0" w:line="234" w:lineRule="auto"/>
        <w:tabs>
          <w:tab w:leader="none" w:pos="638" w:val="left"/>
        </w:tabs>
        <w:numPr>
          <w:ilvl w:val="0"/>
          <w:numId w:val="33"/>
        </w:numPr>
        <w:rPr>
          <w:rFonts w:ascii="Arial" w:cs="Arial" w:eastAsia="Arial" w:hAnsi="Arial"/>
          <w:sz w:val="22"/>
          <w:szCs w:val="22"/>
          <w:color w:val="auto"/>
        </w:rPr>
      </w:pPr>
      <w:r>
        <w:rPr>
          <w:rFonts w:ascii="Arial" w:cs="Arial" w:eastAsia="Arial" w:hAnsi="Arial"/>
          <w:sz w:val="22"/>
          <w:szCs w:val="22"/>
          <w:color w:val="auto"/>
        </w:rPr>
        <w:t>Weil, Gotshal &amp; Manges LLP, counsel for the Selling Shareholders, in form and substance satisfactory to the Representatives, dated such Date of Delivery, relating to the Option Securities to be purchased on such Date of Delivery and otherwise to the same effect as the opinion required by Section 6(d)(ii) hereof.</w:t>
      </w:r>
    </w:p>
    <w:p>
      <w:pPr>
        <w:spacing w:after="0" w:line="214" w:lineRule="exact"/>
        <w:rPr>
          <w:rFonts w:ascii="Arial" w:cs="Arial" w:eastAsia="Arial" w:hAnsi="Arial"/>
          <w:sz w:val="22"/>
          <w:szCs w:val="22"/>
          <w:color w:val="auto"/>
        </w:rPr>
      </w:pPr>
    </w:p>
    <w:p>
      <w:pPr>
        <w:ind w:left="320" w:firstLine="320"/>
        <w:spacing w:after="0" w:line="238" w:lineRule="auto"/>
        <w:tabs>
          <w:tab w:leader="none" w:pos="1388" w:val="left"/>
        </w:tabs>
        <w:numPr>
          <w:ilvl w:val="1"/>
          <w:numId w:val="33"/>
        </w:numPr>
        <w:rPr>
          <w:rFonts w:ascii="Arial" w:cs="Arial" w:eastAsia="Arial" w:hAnsi="Arial"/>
          <w:sz w:val="22"/>
          <w:szCs w:val="22"/>
          <w:color w:val="auto"/>
        </w:rPr>
      </w:pPr>
      <w:r>
        <w:rPr>
          <w:rFonts w:ascii="Arial" w:cs="Arial" w:eastAsia="Arial" w:hAnsi="Arial"/>
          <w:sz w:val="22"/>
          <w:szCs w:val="22"/>
          <w:color w:val="auto"/>
        </w:rPr>
        <w:t>If requested by the Representatives, the favorable opinion and negative assurance letter of Ropes &amp; Gray LLP, counsel for the Underwriters, in form and substance satisfactory to the Representatives, dated such Date of Delivery, relating to the Option Securities to be purchased on such Date of Delivery and otherwise to the same effect as the opinion required by Section 6(e) hereof.</w:t>
      </w:r>
    </w:p>
    <w:p>
      <w:pPr>
        <w:spacing w:after="0" w:line="211" w:lineRule="exact"/>
        <w:rPr>
          <w:rFonts w:ascii="Arial" w:cs="Arial" w:eastAsia="Arial" w:hAnsi="Arial"/>
          <w:sz w:val="22"/>
          <w:szCs w:val="22"/>
          <w:color w:val="auto"/>
        </w:rPr>
      </w:pPr>
    </w:p>
    <w:p>
      <w:pPr>
        <w:ind w:left="320" w:firstLine="320"/>
        <w:spacing w:after="0" w:line="287" w:lineRule="auto"/>
        <w:tabs>
          <w:tab w:leader="none" w:pos="1394" w:val="left"/>
        </w:tabs>
        <w:numPr>
          <w:ilvl w:val="1"/>
          <w:numId w:val="33"/>
        </w:numPr>
        <w:rPr>
          <w:rFonts w:ascii="Arial" w:cs="Arial" w:eastAsia="Arial" w:hAnsi="Arial"/>
          <w:sz w:val="19"/>
          <w:szCs w:val="19"/>
          <w:color w:val="auto"/>
        </w:rPr>
      </w:pPr>
      <w:r>
        <w:rPr>
          <w:rFonts w:ascii="Arial" w:cs="Arial" w:eastAsia="Arial" w:hAnsi="Arial"/>
          <w:sz w:val="19"/>
          <w:szCs w:val="19"/>
          <w:color w:val="auto"/>
        </w:rPr>
        <w:t>If requested by the Representatives, a letter from PricewaterhouseCoopers LLP in form and substance satisfactory to the Representatives and dated such Date of Delivery, substantially in the same form and substance as the letter furnished to the Representatives pursuant to Section 6(h) hereof, except that the “cut-off date” in the letter furnished pursuant to this paragraph shall be a date not more than three Business Days prior to such Date of Delivery.</w:t>
      </w:r>
    </w:p>
    <w:p>
      <w:pPr>
        <w:spacing w:after="0" w:line="348"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660" w:top="118" w:right="379" w:bottom="1440" w:gutter="0" w:footer="0" w:header="0"/>
        </w:sectPr>
      </w:pPr>
    </w:p>
    <w:bookmarkStart w:id="33" w:name="page34"/>
    <w:bookmarkEnd w:id="33"/>
    <w:p>
      <w:pPr>
        <w:ind w:left="340" w:right="20" w:firstLine="316"/>
        <w:spacing w:after="0" w:line="328" w:lineRule="auto"/>
        <w:tabs>
          <w:tab w:leader="none" w:pos="103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Prior to the Closing Date and each Date of Delivery (if any), the Company shall have furnished to the Representatives such further information, certificates and documents as the Representatives may reasonably request.</w:t>
      </w:r>
    </w:p>
    <w:p>
      <w:pPr>
        <w:spacing w:after="0" w:line="132"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or, in the case of any condition to the purchase of Option Securities on a Date of Delivery which is after the Closing Date, the obligations of the several Underwriters to purchase the relevant Option Securities, and all other obligations of the Underwriters hereunder may be canceled at, or at any time prior to, the Closing Date or such Date of Delivery, as the case may be, by the Representatives. Notice of such cancellation shall be given to the Company and the Selling Shareholder in writing or by telephone or facsimile confirmed in writing.</w:t>
      </w:r>
    </w:p>
    <w:p>
      <w:pPr>
        <w:spacing w:after="0" w:line="214" w:lineRule="exact"/>
        <w:rPr>
          <w:sz w:val="20"/>
          <w:szCs w:val="20"/>
          <w:color w:val="auto"/>
        </w:rPr>
      </w:pPr>
    </w:p>
    <w:p>
      <w:pPr>
        <w:ind w:right="280" w:firstLine="648"/>
        <w:spacing w:after="0" w:line="238" w:lineRule="auto"/>
        <w:rPr>
          <w:sz w:val="20"/>
          <w:szCs w:val="20"/>
          <w:color w:val="auto"/>
        </w:rPr>
      </w:pPr>
      <w:r>
        <w:rPr>
          <w:rFonts w:ascii="Arial" w:cs="Arial" w:eastAsia="Arial" w:hAnsi="Arial"/>
          <w:sz w:val="22"/>
          <w:szCs w:val="22"/>
          <w:color w:val="auto"/>
        </w:rPr>
        <w:t>The documents required to be delivered by this Section 6 shall be delivered at the office of Ropes &amp; Gray LLP, counsel for the Underwriters, at 800 Boylston Street Boston, Massachusetts 02199-3600, on the Closing Date. Such documents may be delivered via facsimile, electronic mail or other transmission method and any document so delivered shall be deemed to have been duly and validly delivered.</w:t>
      </w:r>
    </w:p>
    <w:p>
      <w:pPr>
        <w:spacing w:after="0" w:line="212" w:lineRule="exact"/>
        <w:rPr>
          <w:sz w:val="20"/>
          <w:szCs w:val="20"/>
          <w:color w:val="auto"/>
        </w:rPr>
      </w:pPr>
    </w:p>
    <w:p>
      <w:pPr>
        <w:ind w:left="660" w:right="40" w:firstLine="320"/>
        <w:spacing w:after="0" w:line="277" w:lineRule="auto"/>
        <w:tabs>
          <w:tab w:leader="none" w:pos="1740"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Reimbursement of Underwriters’ Expenses</w:t>
      </w:r>
      <w:r>
        <w:rPr>
          <w:rFonts w:ascii="Arial" w:cs="Arial" w:eastAsia="Arial" w:hAnsi="Arial"/>
          <w:sz w:val="19"/>
          <w:szCs w:val="19"/>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Selling Shareholders to perform any agreement herein or comply with any provision hereof other than by reason of a default by any of the Underwriters, the Selling Shareholders will reimburse the Underwriters severally through the Representatives on demand for all expenses (including reasonable fees and disbursements of counsel) that shall have been incurred by them in connection with the proposed purchase and sale of the Securities.</w:t>
      </w:r>
    </w:p>
    <w:p>
      <w:pPr>
        <w:spacing w:after="0" w:line="178" w:lineRule="exact"/>
        <w:rPr>
          <w:rFonts w:ascii="Arial" w:cs="Arial" w:eastAsia="Arial" w:hAnsi="Arial"/>
          <w:sz w:val="19"/>
          <w:szCs w:val="19"/>
          <w:color w:val="auto"/>
        </w:rPr>
      </w:pPr>
    </w:p>
    <w:p>
      <w:pPr>
        <w:ind w:left="1740" w:hanging="760"/>
        <w:spacing w:after="0"/>
        <w:tabs>
          <w:tab w:leader="none" w:pos="174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40" w:firstLine="316"/>
        <w:spacing w:after="0" w:line="270" w:lineRule="auto"/>
        <w:tabs>
          <w:tab w:leader="none" w:pos="1012"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Base Prospectus, any Preliminary Prospectus or any other preliminary prospectus supplement relating to the Securities, the Disclosure Package, the Final Prospectus, any Issuer Free Writing Prospectus (including, for the avoidance of doubt, any “roadshow” as defined in Rule 433(h) under the Act (a “roadshow”)),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the Selling Shareholder Information (as defined below) or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left="8" w:firstLine="316"/>
        <w:spacing w:after="0" w:line="269" w:lineRule="auto"/>
        <w:tabs>
          <w:tab w:leader="none" w:pos="692"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Selling Shareholders agree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Base Prospectus, any Preliminary Prospectus or any other preliminary prospectus supplement relating to the Securities, the Disclosure Package, the Final Prospectus, any Issuer Free Writing Prospectus, any Selling Shareholder Free Writing Prospectus or any roadshow, or in any amendment thereof or supplement thereto, or arise out of or are based upon the omission or alleged omission to state therein a material fact required to be stated therein or necessary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provided, however, that the Selling Shareholders will only be liable in any such case to the extent that any such loss, claim, damage or liability arises out of or is based upon any such untrue statement or alleged untrue statement or omission or alleged omission made therein in reliance upon and in conformity with the Selling Shareholder Information; provided further, that, for purposes of this Agreement, the Company and the Underwriters acknowledge that the only “Selling Shareholder Information” is the information about the Selling Shareholders set forth under the caption “Selling Shareholders” (other than the information regarding percentage of the Company’s common stock, the Class A stock and economic interest in the Company owned by the Selling Shareholders appearing under such caption). The liability of the Selling Shareholders under this indemnification provision shall be limited to an amount equal to the gross proceeds to the Selling Shareholders from the sale of the Securities pursuant to this Agreement.</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ind w:left="8" w:right="100" w:firstLine="316"/>
        <w:spacing w:after="0" w:line="269" w:lineRule="auto"/>
        <w:tabs>
          <w:tab w:leader="none" w:pos="680" w:val="left"/>
        </w:tabs>
        <w:numPr>
          <w:ilvl w:val="1"/>
          <w:numId w:val="37"/>
        </w:numPr>
        <w:rPr>
          <w:rFonts w:ascii="Arial" w:cs="Arial" w:eastAsia="Arial" w:hAnsi="Arial"/>
          <w:sz w:val="19"/>
          <w:szCs w:val="19"/>
          <w:color w:val="auto"/>
        </w:rPr>
      </w:pPr>
      <w:r>
        <w:rPr>
          <w:rFonts w:ascii="Arial" w:cs="Arial" w:eastAsia="Arial" w:hAnsi="Arial"/>
          <w:sz w:val="19"/>
          <w:szCs w:val="19"/>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and the Selling Shareholders and each person who controls each of the Selling Shareholders within the meaning of the Act or the Exchange Act, to the same extent as the foregoing indemnity from the Company or the Selling Shareholders, as applicable,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and the Selling Shareholders each acknowledge that the statements set forth (i) in the last paragraph of the cover page regarding delivery of the Securities and</w:t>
      </w:r>
    </w:p>
    <w:p>
      <w:pPr>
        <w:spacing w:after="0" w:line="1" w:lineRule="exact"/>
        <w:rPr>
          <w:rFonts w:ascii="Arial" w:cs="Arial" w:eastAsia="Arial" w:hAnsi="Arial"/>
          <w:sz w:val="19"/>
          <w:szCs w:val="19"/>
          <w:color w:val="auto"/>
        </w:rPr>
      </w:pPr>
    </w:p>
    <w:p>
      <w:pPr>
        <w:ind w:left="8" w:right="560" w:hanging="8"/>
        <w:spacing w:after="0" w:line="245" w:lineRule="auto"/>
        <w:tabs>
          <w:tab w:leader="none" w:pos="326" w:val="left"/>
        </w:tabs>
        <w:numPr>
          <w:ilvl w:val="0"/>
          <w:numId w:val="38"/>
        </w:numPr>
        <w:rPr>
          <w:rFonts w:ascii="Arial" w:cs="Arial" w:eastAsia="Arial" w:hAnsi="Arial"/>
          <w:sz w:val="21"/>
          <w:szCs w:val="21"/>
          <w:color w:val="auto"/>
        </w:rPr>
      </w:pPr>
      <w:r>
        <w:rPr>
          <w:rFonts w:ascii="Arial" w:cs="Arial" w:eastAsia="Arial" w:hAnsi="Arial"/>
          <w:sz w:val="21"/>
          <w:szCs w:val="21"/>
          <w:color w:val="auto"/>
        </w:rPr>
        <w:t>under the heading “Underwriting”, (A) the names of Underwriters, (B) the sentences related to concessions and reallowances, and (C) the paragraphs related to stabilization and syndicate covering transactions in any Preliminary Prospectus and the Final Prospectus constitute the only information furnished in writing by or on behalf of the several Underwriters for inclusion in any Preliminary Prospectus, the Final Prospectus, any Issuer Free Writing Prospectus, any Selling Shareholder Free Writing Prospectus or any roadshow.</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8" w:right="339" w:bottom="1440" w:gutter="0" w:footer="0" w:header="0"/>
        </w:sectPr>
      </w:pPr>
    </w:p>
    <w:bookmarkStart w:id="35" w:name="page36"/>
    <w:bookmarkEnd w:id="35"/>
    <w:p>
      <w:pPr>
        <w:ind w:left="-316" w:firstLine="316"/>
        <w:spacing w:after="0" w:line="268" w:lineRule="auto"/>
        <w:tabs>
          <w:tab w:leader="none" w:pos="368" w:val="left"/>
        </w:tabs>
        <w:numPr>
          <w:ilvl w:val="0"/>
          <w:numId w:val="39"/>
        </w:numPr>
        <w:rPr>
          <w:rFonts w:ascii="Arial" w:cs="Arial" w:eastAsia="Arial" w:hAnsi="Arial"/>
          <w:sz w:val="19"/>
          <w:szCs w:val="19"/>
          <w:color w:val="auto"/>
        </w:rPr>
      </w:pPr>
      <w:r>
        <w:rPr>
          <w:rFonts w:ascii="Arial" w:cs="Arial" w:eastAsia="Arial" w:hAnsi="Arial"/>
          <w:sz w:val="19"/>
          <w:szCs w:val="19"/>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(b) or (c) above, as applicable,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(b) or (c) above, as applicable.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(which consent will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 indemnifying party shall not be liable under this Section 8 to any indemnified party regarding any settlement or compromise or consent to the entry of any judgment with respect to any pending or threatened claim, action, suit or proceeding to which such indemnified party is or could have been a party and in respect of which indemnification or contribution may be sought hereunder unless such settlement, compromise or consent is consented to by such indemnifying party (which consent shall not be unreasonably withheld) in which case such indemnifying party agrees to indemnify and hold harmless the indemnified parties from and against any loss or liability by reason of such settlement, compromise or consent.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0" w:lineRule="exact"/>
        <w:rPr>
          <w:rFonts w:ascii="Arial" w:cs="Arial" w:eastAsia="Arial" w:hAnsi="Arial"/>
          <w:sz w:val="19"/>
          <w:szCs w:val="19"/>
          <w:color w:val="auto"/>
        </w:rPr>
      </w:pPr>
    </w:p>
    <w:p>
      <w:pPr>
        <w:ind w:left="-316" w:firstLine="316"/>
        <w:spacing w:after="0" w:line="269" w:lineRule="auto"/>
        <w:tabs>
          <w:tab w:leader="none" w:pos="356"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event that the indemnity provided in paragraph (a), (b) or (c) of this Section 8 is unavailable to or insufficient to hold harmless an indemnified party for any reason, the Company, the Selling Shareholders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to which the Company, the Selling Shareholders and one or more of the Underwriters may be subject in such proportion as is appropriate to reflect the benefits received by the Selling Shareholder on the one hand and by the Underwriters on the other from the offering of the Securities; provided, however,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the Selling Shareholders and the Underwriters severally shall contribute in such proportion as is appropriate to reflect not only such relative benefits but also the relative fault of the Company and the Selling Shareholders on the one hand and of the Underwriters on the other in connection with the statements or omissions which resulted in such Losses as well as any other relevant equitable considerations. Benefits received by the Company and the Selling Shareholders shall be deemed to be equal to the total net proceeds from the offering (before deducting expenses) received by them, respectively,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the Selling Shareholders on the one hand or the Underwriters on the other, the intent of the parties and their relative knowledge, access to information and opportunity to correct or prevent such untrue statement or omission. The Company, the Selling Shareholders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(e),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each person who controls the Company within the meaning of either the Act or the Exchange Act, each officer of the Company who shall have signed the Registration Statement and each director of the Company shall have the same rights to contribution as the Company, and each person who controls the Selling Shareholders within the meaning of either the Act or the Exchange Act shall have the same rights to contribution as the Selling Shareholders, subject in each case to the applicable terms and conditions of this paragraph (e).</w:t>
      </w:r>
    </w:p>
    <w:p>
      <w:pPr>
        <w:sectPr>
          <w:pgSz w:w="11900" w:h="16838" w:orient="portrait"/>
          <w:cols w:equalWidth="0" w:num="1">
            <w:col w:w="10564"/>
          </w:cols>
          <w:pgMar w:left="976" w:top="118" w:right="359" w:bottom="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16"/>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8" w:right="359" w:bottom="44" w:gutter="0" w:footer="0" w:header="0"/>
          <w:type w:val="continuous"/>
        </w:sectPr>
      </w:pPr>
    </w:p>
    <w:bookmarkStart w:id="36" w:name="page37"/>
    <w:bookmarkEnd w:id="36"/>
    <w:p>
      <w:pPr>
        <w:ind w:right="1000" w:firstLine="316"/>
        <w:spacing w:after="0" w:line="251" w:lineRule="auto"/>
        <w:tabs>
          <w:tab w:leader="none" w:pos="702"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provisions of this Section 8 shall not affect any agreement among the Company and any of the Selling Shareholders with respect to indemnification or contribution.</w:t>
      </w:r>
    </w:p>
    <w:p>
      <w:pPr>
        <w:spacing w:after="0" w:line="200" w:lineRule="exact"/>
        <w:rPr>
          <w:rFonts w:ascii="Arial" w:cs="Arial" w:eastAsia="Arial" w:hAnsi="Arial"/>
          <w:sz w:val="22"/>
          <w:szCs w:val="22"/>
          <w:color w:val="auto"/>
        </w:rPr>
      </w:pPr>
    </w:p>
    <w:p>
      <w:pPr>
        <w:ind w:left="320" w:firstLine="320"/>
        <w:spacing w:after="0" w:line="271" w:lineRule="auto"/>
        <w:tabs>
          <w:tab w:leader="none" w:pos="1400"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Default by an Underwriter</w:t>
      </w:r>
      <w:r>
        <w:rPr>
          <w:rFonts w:ascii="Arial" w:cs="Arial" w:eastAsia="Arial" w:hAnsi="Arial"/>
          <w:sz w:val="19"/>
          <w:szCs w:val="19"/>
          <w:color w:val="auto"/>
        </w:rPr>
        <w:t>.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number of shares of Securities set forth opposite their names in Schedule A hereto bears to the number of shares of Securities set forth opposite the names of all the remaining Underwriters) the Securities which the defaulting Underwriter or Underwriters agreed but failed to purchase; provided, however, that in the event that the number of Securities which the defaulting Underwriter or Underwriters agreed but failed to purchase shall exceed 10% of the total number of Securities set forth in Schedule A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Selling Shareholder or the Company. In the event of a default by any Underwriter as set forth in this Section 9(a), the Closing Date or Date of Delivery, as the case may be,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the Selling Shareholder and any nondefaulting Underwriter for damages occasioned by its default hereunder.</w:t>
      </w:r>
    </w:p>
    <w:p>
      <w:pPr>
        <w:spacing w:after="0" w:line="183" w:lineRule="exact"/>
        <w:rPr>
          <w:rFonts w:ascii="Arial" w:cs="Arial" w:eastAsia="Arial" w:hAnsi="Arial"/>
          <w:sz w:val="19"/>
          <w:szCs w:val="19"/>
          <w:color w:val="auto"/>
        </w:rPr>
      </w:pPr>
    </w:p>
    <w:p>
      <w:pPr>
        <w:ind w:left="1400" w:hanging="760"/>
        <w:spacing w:after="0"/>
        <w:tabs>
          <w:tab w:leader="none" w:pos="1400"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shall be subject to termination in the absolute discretion of the</w:t>
      </w:r>
    </w:p>
    <w:p>
      <w:pPr>
        <w:spacing w:after="0" w:line="8" w:lineRule="exact"/>
        <w:rPr>
          <w:rFonts w:ascii="Arial" w:cs="Arial" w:eastAsia="Arial" w:hAnsi="Arial"/>
          <w:sz w:val="22"/>
          <w:szCs w:val="22"/>
          <w:color w:val="auto"/>
        </w:rPr>
      </w:pPr>
    </w:p>
    <w:p>
      <w:pPr>
        <w:ind w:left="320" w:right="20"/>
        <w:spacing w:after="0" w:line="272" w:lineRule="auto"/>
        <w:rPr>
          <w:rFonts w:ascii="Arial" w:cs="Arial" w:eastAsia="Arial" w:hAnsi="Arial"/>
          <w:sz w:val="22"/>
          <w:szCs w:val="22"/>
          <w:color w:val="auto"/>
        </w:rPr>
      </w:pPr>
      <w:r>
        <w:rPr>
          <w:rFonts w:ascii="Arial" w:cs="Arial" w:eastAsia="Arial" w:hAnsi="Arial"/>
          <w:sz w:val="19"/>
          <w:szCs w:val="19"/>
          <w:color w:val="auto"/>
        </w:rPr>
        <w:t>Representatives, by notice given to the Company and the Selling Shareholders prior to delivery of and payment for the Securities, if at any time prior to such delivery and payment (i) trading in the Company’s Common Stock shall have been suspended by the Commission or the Nasdaq Global Select Market or trading in securities generally on the Nasdaq Global Select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any Preliminary Prospectus or the Final Prospectus (exclusive of any amendment or supplement thereto).</w:t>
      </w:r>
    </w:p>
    <w:p>
      <w:pPr>
        <w:spacing w:after="0" w:line="183" w:lineRule="exact"/>
        <w:rPr>
          <w:rFonts w:ascii="Arial" w:cs="Arial" w:eastAsia="Arial" w:hAnsi="Arial"/>
          <w:sz w:val="22"/>
          <w:szCs w:val="22"/>
          <w:color w:val="auto"/>
        </w:rPr>
      </w:pPr>
    </w:p>
    <w:p>
      <w:pPr>
        <w:ind w:left="320" w:right="20" w:firstLine="320"/>
        <w:spacing w:after="0" w:line="279" w:lineRule="auto"/>
        <w:tabs>
          <w:tab w:leader="none" w:pos="1392"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Representations and Indemnities to Survive</w:t>
      </w:r>
      <w:r>
        <w:rPr>
          <w:rFonts w:ascii="Arial" w:cs="Arial" w:eastAsia="Arial" w:hAnsi="Arial"/>
          <w:sz w:val="19"/>
          <w:szCs w:val="19"/>
          <w:color w:val="auto"/>
        </w:rPr>
        <w:t>. The respective agreements, representations, warranties, indemnities and other statements of the Company or its officers, the Selling Shareholders and the Underwriters set forth in or made pursuant to this Agreement will remain in full force and effect, regardless of any investigation made by or on behalf of any Underwriter, the Selling Shareholders or the Company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spacing w:after="0" w:line="355"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8" w:right="339" w:bottom="1440" w:gutter="0" w:footer="0" w:header="0"/>
        </w:sectPr>
      </w:pPr>
    </w:p>
    <w:bookmarkStart w:id="37" w:name="page38"/>
    <w:bookmarkEnd w:id="37"/>
    <w:p>
      <w:pPr>
        <w:ind w:left="660" w:right="20" w:firstLine="320"/>
        <w:spacing w:after="0" w:line="247" w:lineRule="auto"/>
        <w:tabs>
          <w:tab w:leader="none" w:pos="1740"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communications hereunder will be in writing and effective only on receipt, and, (a) if sent to the Underwriters, will be mailed, delivered or telefaxed to (i) BofA Securities, Inc., One Bryant Park, New York, New York 10036, Attention: Syndicate Department, with a copy to ECM Legal; and (ii) Goldman Sachs &amp; Co. LLC, 200 West Street, New York, New York 10282, Attention: Registration Department; if sent to the Company, will be mailed, delivered or telefaxed to Regeneron Pharmaceuticals, Inc., 777 Old Saw Mill River Road Tarrytown, New York 10591-6707, attention of the General Counsel; and if sent to the Selling Shareholders, will be mailed, delivered or telefaxed to Sanofi, 54, rue de Boétie, 75008, Paris, France, Attention: General Counsel.</w:t>
      </w:r>
    </w:p>
    <w:p>
      <w:pPr>
        <w:spacing w:after="0" w:line="204" w:lineRule="exact"/>
        <w:rPr>
          <w:rFonts w:ascii="Arial" w:cs="Arial" w:eastAsia="Arial" w:hAnsi="Arial"/>
          <w:sz w:val="21"/>
          <w:szCs w:val="21"/>
          <w:color w:val="auto"/>
        </w:rPr>
      </w:pPr>
    </w:p>
    <w:p>
      <w:pPr>
        <w:ind w:left="660" w:firstLine="320"/>
        <w:spacing w:after="0"/>
        <w:tabs>
          <w:tab w:leader="none" w:pos="1740"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213" w:lineRule="exact"/>
        <w:rPr>
          <w:rFonts w:ascii="Arial" w:cs="Arial" w:eastAsia="Arial" w:hAnsi="Arial"/>
          <w:sz w:val="22"/>
          <w:szCs w:val="22"/>
          <w:color w:val="auto"/>
        </w:rPr>
      </w:pPr>
    </w:p>
    <w:p>
      <w:pPr>
        <w:ind w:left="660" w:right="40" w:firstLine="320"/>
        <w:spacing w:after="0" w:line="272" w:lineRule="auto"/>
        <w:tabs>
          <w:tab w:leader="none" w:pos="1740"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No Fiduciary Duty</w:t>
      </w:r>
      <w:r>
        <w:rPr>
          <w:rFonts w:ascii="Arial" w:cs="Arial" w:eastAsia="Arial" w:hAnsi="Arial"/>
          <w:sz w:val="19"/>
          <w:szCs w:val="19"/>
          <w:color w:val="auto"/>
        </w:rPr>
        <w:t>. Each of the Company and the Selling Shareholders hereby acknowledge that (a) the purchase and sale of the Securities pursuant to this Agreement is an arm’s-length commercial transaction between the Company and the Selling Shareholders, on the one hand, and the Underwriters and any affiliate through which it may be acting, on the other, (b) the Underwriters are acting as principal and not as an agent or fiduciary of the Company or the Selling Shareholders and (c) the Company’s and the Selling Shareholders’ engagement of the Underwriters in connection with the offering and the process leading up to the offering is as independent contractors and not in any other capacity. Furthermore, each of the Company and the Selling Shareholders agree that it is solely responsible for making its own judgments in connection with the offering (irrespective of whether any of the Underwriters has advised or is currently advising the Company or the Selling Shareholders on related or other matters). Each of the Company and the Selling Shareholders agree that it will not claim that the Underwriters have rendered advisory services of any nature or respect, or owe an agency, fiduciary or similar duty to the Company or the Selling Shareholders, in connection with such transaction or the process leading thereto.</w:t>
      </w:r>
    </w:p>
    <w:p>
      <w:pPr>
        <w:spacing w:after="0" w:line="187" w:lineRule="exact"/>
        <w:rPr>
          <w:rFonts w:ascii="Arial" w:cs="Arial" w:eastAsia="Arial" w:hAnsi="Arial"/>
          <w:sz w:val="19"/>
          <w:szCs w:val="19"/>
          <w:color w:val="auto"/>
        </w:rPr>
      </w:pPr>
    </w:p>
    <w:p>
      <w:pPr>
        <w:jc w:val="both"/>
        <w:ind w:left="660" w:right="320" w:firstLine="320"/>
        <w:spacing w:after="0"/>
        <w:tabs>
          <w:tab w:leader="none" w:pos="1740"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supersedes all prior agreements and understandings (whether written or oral) among the Company, the Selling Shareholders and the Underwriters, or any of them, with respect to the subject matter hereof.</w:t>
      </w:r>
    </w:p>
    <w:p>
      <w:pPr>
        <w:spacing w:after="0" w:line="213" w:lineRule="exact"/>
        <w:rPr>
          <w:rFonts w:ascii="Arial" w:cs="Arial" w:eastAsia="Arial" w:hAnsi="Arial"/>
          <w:sz w:val="22"/>
          <w:szCs w:val="22"/>
          <w:color w:val="auto"/>
        </w:rPr>
      </w:pPr>
    </w:p>
    <w:p>
      <w:pPr>
        <w:ind w:left="660" w:right="120" w:firstLine="320"/>
        <w:spacing w:after="0" w:line="282" w:lineRule="auto"/>
        <w:tabs>
          <w:tab w:leader="none" w:pos="1740"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Recognition of the U.S. Special Resolution Regimes</w:t>
      </w:r>
      <w:r>
        <w:rPr>
          <w:rFonts w:ascii="Arial" w:cs="Arial" w:eastAsia="Arial" w:hAnsi="Arial"/>
          <w:sz w:val="19"/>
          <w:szCs w:val="19"/>
          <w:color w:val="auto"/>
        </w:rPr>
        <w:t>. (b)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4" w:lineRule="exact"/>
        <w:rPr>
          <w:rFonts w:ascii="Arial" w:cs="Arial" w:eastAsia="Arial" w:hAnsi="Arial"/>
          <w:sz w:val="19"/>
          <w:szCs w:val="19"/>
          <w:color w:val="auto"/>
        </w:rPr>
      </w:pPr>
    </w:p>
    <w:p>
      <w:pPr>
        <w:ind w:left="340" w:right="60" w:firstLine="316"/>
        <w:spacing w:after="0" w:line="236" w:lineRule="auto"/>
        <w:tabs>
          <w:tab w:leader="none" w:pos="1024"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14"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For purposes of this Section a “</w:t>
      </w:r>
      <w:r>
        <w:rPr>
          <w:rFonts w:ascii="Arial" w:cs="Arial" w:eastAsia="Arial" w:hAnsi="Arial"/>
          <w:sz w:val="21"/>
          <w:szCs w:val="21"/>
          <w:u w:val="single" w:color="auto"/>
          <w:color w:val="auto"/>
        </w:rPr>
        <w:t>BHC Act Affiliate</w:t>
      </w:r>
      <w:r>
        <w:rPr>
          <w:rFonts w:ascii="Arial" w:cs="Arial" w:eastAsia="Arial" w:hAnsi="Arial"/>
          <w:sz w:val="21"/>
          <w:szCs w:val="21"/>
          <w:color w:val="auto"/>
        </w:rPr>
        <w:t>” has the meaning assigned to the term “affiliate” in, and shall be interpreted in accordance with, 12 U.S.C. § 1841(k). “</w:t>
      </w:r>
      <w:r>
        <w:rPr>
          <w:rFonts w:ascii="Arial" w:cs="Arial" w:eastAsia="Arial" w:hAnsi="Arial"/>
          <w:sz w:val="21"/>
          <w:szCs w:val="21"/>
          <w:u w:val="single" w:color="auto"/>
          <w:color w:val="auto"/>
        </w:rPr>
        <w:t>Covered Entity</w:t>
      </w:r>
      <w:r>
        <w:rPr>
          <w:rFonts w:ascii="Arial" w:cs="Arial" w:eastAsia="Arial" w:hAnsi="Arial"/>
          <w:sz w:val="21"/>
          <w:szCs w:val="21"/>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21"/>
          <w:szCs w:val="21"/>
          <w:u w:val="single" w:color="auto"/>
          <w:color w:val="auto"/>
        </w:rPr>
        <w:t>Default Right</w:t>
      </w:r>
      <w:r>
        <w:rPr>
          <w:rFonts w:ascii="Arial" w:cs="Arial" w:eastAsia="Arial" w:hAnsi="Arial"/>
          <w:sz w:val="21"/>
          <w:szCs w:val="21"/>
          <w:color w:val="auto"/>
        </w:rPr>
        <w:t>” has the meaning assigned to that term in, and shall be interpreted in accordance with, 12 C.F.R. §§ 252.81, 47.2 or 382.1, as applicable. “</w:t>
      </w:r>
      <w:r>
        <w:rPr>
          <w:rFonts w:ascii="Arial" w:cs="Arial" w:eastAsia="Arial" w:hAnsi="Arial"/>
          <w:sz w:val="21"/>
          <w:szCs w:val="21"/>
          <w:u w:val="single" w:color="auto"/>
          <w:color w:val="auto"/>
        </w:rPr>
        <w:t>U.S. Special Resolution Regime</w:t>
      </w:r>
      <w:r>
        <w:rPr>
          <w:rFonts w:ascii="Arial" w:cs="Arial" w:eastAsia="Arial" w:hAnsi="Arial"/>
          <w:sz w:val="21"/>
          <w:szCs w:val="21"/>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ind w:left="660" w:right="40" w:firstLine="320"/>
        <w:spacing w:after="0" w:line="251" w:lineRule="auto"/>
        <w:tabs>
          <w:tab w:leader="none" w:pos="17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will be governed by and construed in accordance with the laws of the State of New York applicable to contracts made and to be performed within the State of New York.</w:t>
      </w:r>
    </w:p>
    <w:p>
      <w:pPr>
        <w:spacing w:after="0" w:line="200" w:lineRule="exact"/>
        <w:rPr>
          <w:rFonts w:ascii="Arial" w:cs="Arial" w:eastAsia="Arial" w:hAnsi="Arial"/>
          <w:sz w:val="22"/>
          <w:szCs w:val="22"/>
          <w:color w:val="auto"/>
        </w:rPr>
      </w:pPr>
    </w:p>
    <w:p>
      <w:pPr>
        <w:ind w:left="660" w:firstLine="320"/>
        <w:spacing w:after="0"/>
        <w:tabs>
          <w:tab w:leader="none" w:pos="17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213" w:lineRule="exact"/>
        <w:rPr>
          <w:rFonts w:ascii="Arial" w:cs="Arial" w:eastAsia="Arial" w:hAnsi="Arial"/>
          <w:sz w:val="22"/>
          <w:szCs w:val="22"/>
          <w:color w:val="auto"/>
        </w:rPr>
      </w:pPr>
    </w:p>
    <w:p>
      <w:pPr>
        <w:ind w:left="660" w:right="60" w:firstLine="320"/>
        <w:spacing w:after="0" w:line="248" w:lineRule="auto"/>
        <w:tabs>
          <w:tab w:leader="none" w:pos="174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This Agreement may be signed in one or more counterparts, each of which shall constitute an original and all of which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w:t>
      </w:r>
      <w:r>
        <w:rPr>
          <w:rFonts w:ascii="Arial" w:cs="Arial" w:eastAsia="Arial" w:hAnsi="Arial"/>
          <w:sz w:val="21"/>
          <w:szCs w:val="21"/>
          <w:i w:val="1"/>
          <w:iCs w:val="1"/>
          <w:color w:val="auto"/>
        </w:rPr>
        <w:t>e.g.</w:t>
      </w:r>
      <w:r>
        <w:rPr>
          <w:rFonts w:ascii="Arial" w:cs="Arial" w:eastAsia="Arial" w:hAnsi="Arial"/>
          <w:sz w:val="21"/>
          <w:szCs w:val="21"/>
          <w:color w:val="auto"/>
        </w:rPr>
        <w:t>, www.docusign.com) or other transmission method and any counterpart so delivered shall be deemed to have been duly and validly delivered and be valid and effective for all purposes.</w:t>
      </w:r>
    </w:p>
    <w:p>
      <w:pPr>
        <w:spacing w:after="0" w:line="203" w:lineRule="exact"/>
        <w:rPr>
          <w:rFonts w:ascii="Arial" w:cs="Arial" w:eastAsia="Arial" w:hAnsi="Arial"/>
          <w:sz w:val="21"/>
          <w:szCs w:val="21"/>
          <w:color w:val="auto"/>
        </w:rPr>
      </w:pPr>
    </w:p>
    <w:p>
      <w:pPr>
        <w:ind w:left="1740" w:hanging="760"/>
        <w:spacing w:after="0"/>
        <w:tabs>
          <w:tab w:leader="none" w:pos="174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used herein are for convenience only and shall not affect the construction</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ind w:left="1740" w:hanging="760"/>
        <w:spacing w:after="0"/>
        <w:tabs>
          <w:tab w:leader="none" w:pos="174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The terms that follow, when used in this Agreement, shall have the meanings indicated.</w:t>
      </w:r>
    </w:p>
    <w:p>
      <w:pPr>
        <w:spacing w:after="0" w:line="245"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shall mean the Securities Act of 1933, as amended, and the rules and regulations of the Commission promulgated thereunder.</w:t>
      </w:r>
    </w:p>
    <w:p>
      <w:pPr>
        <w:spacing w:after="0" w:line="202" w:lineRule="exact"/>
        <w:rPr>
          <w:sz w:val="20"/>
          <w:szCs w:val="20"/>
          <w:color w:val="auto"/>
        </w:rPr>
      </w:pPr>
    </w:p>
    <w:p>
      <w:pPr>
        <w:ind w:righ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Prospectus</w:t>
      </w:r>
      <w:r>
        <w:rPr>
          <w:rFonts w:ascii="Arial" w:cs="Arial" w:eastAsia="Arial" w:hAnsi="Arial"/>
          <w:sz w:val="22"/>
          <w:szCs w:val="22"/>
          <w:color w:val="auto"/>
        </w:rPr>
        <w:t>” shall mean the base prospectus referred to in Section 1(a)(i) above contained in the Registration Statement at the Execution Time.</w:t>
      </w:r>
    </w:p>
    <w:p>
      <w:pPr>
        <w:spacing w:after="0" w:line="202" w:lineRule="exact"/>
        <w:rPr>
          <w:sz w:val="20"/>
          <w:szCs w:val="20"/>
          <w:color w:val="auto"/>
        </w:rPr>
      </w:pPr>
    </w:p>
    <w:p>
      <w:pPr>
        <w:ind w:right="8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other than a Saturday, a Sunday or a legal holiday or a day on which banking institutions or trust companies are authorized or obligated by law to close in New York City.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shall mean the Securities and Exchange Commission.</w:t>
      </w:r>
    </w:p>
    <w:p>
      <w:pPr>
        <w:spacing w:after="0" w:line="233"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Package</w:t>
      </w:r>
      <w:r>
        <w:rPr>
          <w:rFonts w:ascii="Arial" w:cs="Arial" w:eastAsia="Arial" w:hAnsi="Arial"/>
          <w:sz w:val="22"/>
          <w:szCs w:val="22"/>
          <w:color w:val="auto"/>
        </w:rPr>
        <w:t>” shall mean (i) the Base Prospectus, (ii) the Preliminary Prospectus used most recently prior to the Execution Time, together with the information set forth on Exhibit B, (iii) the Issuer Free Writing Prospectuses, if any, identified in Schedule B hereto and (iv) any other Free Writing Prospectus that the parties hereto shall hereafter expressly agree in writing to treat as part of the Disclosure Package.</w:t>
      </w:r>
    </w:p>
    <w:p>
      <w:pPr>
        <w:spacing w:after="0" w:line="212" w:lineRule="exact"/>
        <w:rPr>
          <w:sz w:val="20"/>
          <w:szCs w:val="20"/>
          <w:color w:val="auto"/>
        </w:rPr>
      </w:pPr>
    </w:p>
    <w:p>
      <w:pPr>
        <w:ind w:right="5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shall mean each date and time that the Registration Statement and any post-effective amendment or amendments thereto became or becomes effective.</w:t>
      </w:r>
    </w:p>
    <w:p>
      <w:pPr>
        <w:spacing w:after="0" w:line="202" w:lineRule="exact"/>
        <w:rPr>
          <w:sz w:val="20"/>
          <w:szCs w:val="20"/>
          <w:color w:val="auto"/>
        </w:rPr>
      </w:pPr>
    </w:p>
    <w:p>
      <w:pPr>
        <w:ind w:right="7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 and the rules and regulations of the Commission promulgated thereunder.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Execution Time</w:t>
      </w:r>
      <w:r>
        <w:rPr>
          <w:rFonts w:ascii="Arial" w:cs="Arial" w:eastAsia="Arial" w:hAnsi="Arial"/>
          <w:sz w:val="19"/>
          <w:szCs w:val="19"/>
          <w:color w:val="auto"/>
        </w:rPr>
        <w:t>” shall mean the date and time that this Agreement is executed and delivered by the parties hereto.</w:t>
      </w:r>
    </w:p>
    <w:p>
      <w:pPr>
        <w:spacing w:after="0" w:line="268"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Prospectus</w:t>
      </w:r>
      <w:r>
        <w:rPr>
          <w:rFonts w:ascii="Arial" w:cs="Arial" w:eastAsia="Arial" w:hAnsi="Arial"/>
          <w:sz w:val="22"/>
          <w:szCs w:val="22"/>
          <w:color w:val="auto"/>
        </w:rPr>
        <w:t>” shall mean the prospectus supplement relating to the Securities that was first filed pursuant to Rule 424(b) after the Execution Time, together with the Base Prospectus.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Free Writing Prospectus</w:t>
      </w:r>
      <w:r>
        <w:rPr>
          <w:rFonts w:ascii="Arial" w:cs="Arial" w:eastAsia="Arial" w:hAnsi="Arial"/>
          <w:sz w:val="22"/>
          <w:szCs w:val="22"/>
          <w:color w:val="auto"/>
        </w:rPr>
        <w:t>” shall mean a free writing prospectus, as defined in Rule 405.</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Free Writing Prospectus</w:t>
      </w:r>
      <w:r>
        <w:rPr>
          <w:rFonts w:ascii="Arial" w:cs="Arial" w:eastAsia="Arial" w:hAnsi="Arial"/>
          <w:sz w:val="22"/>
          <w:szCs w:val="22"/>
          <w:color w:val="auto"/>
        </w:rPr>
        <w:t>” shall mean an issuer free writing prospectus, as defined in Rule 433.</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Prospectus</w:t>
      </w:r>
      <w:r>
        <w:rPr>
          <w:rFonts w:ascii="Arial" w:cs="Arial" w:eastAsia="Arial" w:hAnsi="Arial"/>
          <w:sz w:val="22"/>
          <w:szCs w:val="22"/>
          <w:color w:val="auto"/>
        </w:rPr>
        <w:t>” shall mean any preliminary prospectus supplement to the Base Prospectus referred to in</w:t>
      </w:r>
    </w:p>
    <w:p>
      <w:pPr>
        <w:spacing w:after="0" w:line="9"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paragraph 1(a)(i) above which is filed with the Commission pursuant to Rule 424(b) under the Act and used prior to the filing of the Final Prospectus, together with the Base Prospectus.</w:t>
      </w:r>
    </w:p>
    <w:p>
      <w:pPr>
        <w:spacing w:after="0" w:line="213"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shall mean the registration statement referred to in Section 1(a)(i)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becomes effective prior to the Closing Date, shall also mean such registration statement as so amended.</w:t>
      </w:r>
    </w:p>
    <w:p>
      <w:pPr>
        <w:spacing w:after="0" w:line="214"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158</w:t>
      </w:r>
      <w:r>
        <w:rPr>
          <w:rFonts w:ascii="Arial" w:cs="Arial" w:eastAsia="Arial" w:hAnsi="Arial"/>
          <w:sz w:val="22"/>
          <w:szCs w:val="22"/>
          <w:color w:val="auto"/>
        </w:rPr>
        <w:t>,” “</w:t>
      </w:r>
      <w:r>
        <w:rPr>
          <w:rFonts w:ascii="Arial" w:cs="Arial" w:eastAsia="Arial" w:hAnsi="Arial"/>
          <w:sz w:val="22"/>
          <w:szCs w:val="22"/>
          <w:u w:val="single" w:color="auto"/>
          <w:color w:val="auto"/>
        </w:rPr>
        <w:t>Rule 163</w:t>
      </w:r>
      <w:r>
        <w:rPr>
          <w:rFonts w:ascii="Arial" w:cs="Arial" w:eastAsia="Arial" w:hAnsi="Arial"/>
          <w:sz w:val="22"/>
          <w:szCs w:val="22"/>
          <w:color w:val="auto"/>
        </w:rPr>
        <w:t>,” “</w:t>
      </w:r>
      <w:r>
        <w:rPr>
          <w:rFonts w:ascii="Arial" w:cs="Arial" w:eastAsia="Arial" w:hAnsi="Arial"/>
          <w:sz w:val="22"/>
          <w:szCs w:val="22"/>
          <w:u w:val="single" w:color="auto"/>
          <w:color w:val="auto"/>
        </w:rPr>
        <w:t>Rule 172</w:t>
      </w:r>
      <w:r>
        <w:rPr>
          <w:rFonts w:ascii="Arial" w:cs="Arial" w:eastAsia="Arial" w:hAnsi="Arial"/>
          <w:sz w:val="22"/>
          <w:szCs w:val="22"/>
          <w:color w:val="auto"/>
        </w:rPr>
        <w:t>,” “</w:t>
      </w:r>
      <w:r>
        <w:rPr>
          <w:rFonts w:ascii="Arial" w:cs="Arial" w:eastAsia="Arial" w:hAnsi="Arial"/>
          <w:sz w:val="22"/>
          <w:szCs w:val="22"/>
          <w:u w:val="single" w:color="auto"/>
          <w:color w:val="auto"/>
        </w:rPr>
        <w:t>Rule 405</w:t>
      </w:r>
      <w:r>
        <w:rPr>
          <w:rFonts w:ascii="Arial" w:cs="Arial" w:eastAsia="Arial" w:hAnsi="Arial"/>
          <w:sz w:val="22"/>
          <w:szCs w:val="22"/>
          <w:color w:val="auto"/>
        </w:rPr>
        <w:t>,” “</w:t>
      </w:r>
      <w:r>
        <w:rPr>
          <w:rFonts w:ascii="Arial" w:cs="Arial" w:eastAsia="Arial" w:hAnsi="Arial"/>
          <w:sz w:val="22"/>
          <w:szCs w:val="22"/>
          <w:u w:val="single" w:color="auto"/>
          <w:color w:val="auto"/>
        </w:rPr>
        <w:t>Rule 415</w:t>
      </w:r>
      <w:r>
        <w:rPr>
          <w:rFonts w:ascii="Arial" w:cs="Arial" w:eastAsia="Arial" w:hAnsi="Arial"/>
          <w:sz w:val="22"/>
          <w:szCs w:val="22"/>
          <w:color w:val="auto"/>
        </w:rPr>
        <w:t>,” “</w:t>
      </w:r>
      <w:r>
        <w:rPr>
          <w:rFonts w:ascii="Arial" w:cs="Arial" w:eastAsia="Arial" w:hAnsi="Arial"/>
          <w:sz w:val="22"/>
          <w:szCs w:val="22"/>
          <w:u w:val="single" w:color="auto"/>
          <w:color w:val="auto"/>
        </w:rPr>
        <w:t>Rule 424</w:t>
      </w:r>
      <w:r>
        <w:rPr>
          <w:rFonts w:ascii="Arial" w:cs="Arial" w:eastAsia="Arial" w:hAnsi="Arial"/>
          <w:sz w:val="22"/>
          <w:szCs w:val="22"/>
          <w:color w:val="auto"/>
        </w:rPr>
        <w:t>,” “</w:t>
      </w:r>
      <w:r>
        <w:rPr>
          <w:rFonts w:ascii="Arial" w:cs="Arial" w:eastAsia="Arial" w:hAnsi="Arial"/>
          <w:sz w:val="22"/>
          <w:szCs w:val="22"/>
          <w:u w:val="single" w:color="auto"/>
          <w:color w:val="auto"/>
        </w:rPr>
        <w:t>Rule 430B</w:t>
      </w:r>
      <w:r>
        <w:rPr>
          <w:rFonts w:ascii="Arial" w:cs="Arial" w:eastAsia="Arial" w:hAnsi="Arial"/>
          <w:sz w:val="22"/>
          <w:szCs w:val="22"/>
          <w:color w:val="auto"/>
        </w:rPr>
        <w:t>” and “</w:t>
      </w:r>
      <w:r>
        <w:rPr>
          <w:rFonts w:ascii="Arial" w:cs="Arial" w:eastAsia="Arial" w:hAnsi="Arial"/>
          <w:sz w:val="22"/>
          <w:szCs w:val="22"/>
          <w:u w:val="single" w:color="auto"/>
          <w:color w:val="auto"/>
        </w:rPr>
        <w:t>Rule 433</w:t>
      </w:r>
      <w:r>
        <w:rPr>
          <w:rFonts w:ascii="Arial" w:cs="Arial" w:eastAsia="Arial" w:hAnsi="Arial"/>
          <w:sz w:val="22"/>
          <w:szCs w:val="22"/>
          <w:color w:val="auto"/>
        </w:rPr>
        <w:t>” refer to such rules under the Act.</w:t>
      </w: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Shareholder Free Writing Prospectus</w:t>
      </w:r>
      <w:r>
        <w:rPr>
          <w:rFonts w:ascii="Arial" w:cs="Arial" w:eastAsia="Arial" w:hAnsi="Arial"/>
          <w:sz w:val="22"/>
          <w:szCs w:val="22"/>
          <w:color w:val="auto"/>
        </w:rPr>
        <w:t>” shall mean any free writing prospectus required to be filed by or on behalf of any of the Selling Shareholders pursuant to Rule 433.</w:t>
      </w:r>
    </w:p>
    <w:p>
      <w:pPr>
        <w:spacing w:after="0" w:line="202" w:lineRule="exact"/>
        <w:rPr>
          <w:sz w:val="20"/>
          <w:szCs w:val="20"/>
          <w:color w:val="auto"/>
        </w:rPr>
      </w:pPr>
    </w:p>
    <w:p>
      <w:pPr>
        <w:ind w:left="660" w:right="40" w:firstLine="320"/>
        <w:spacing w:after="0" w:line="287" w:lineRule="auto"/>
        <w:tabs>
          <w:tab w:leader="none" w:pos="174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USA Patriot Act</w:t>
      </w:r>
      <w:r>
        <w:rPr>
          <w:rFonts w:ascii="Arial" w:cs="Arial" w:eastAsia="Arial" w:hAnsi="Arial"/>
          <w:sz w:val="19"/>
          <w:szCs w:val="19"/>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0"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the Selling Shareholders and the several Underwriters.</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0" w:name="page41"/>
    <w:bookmarkEnd w:id="40"/>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32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Landry</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Robert E. Landry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Finance and Chief Financial Officer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Sanofi</w:t>
            </w:r>
          </w:p>
        </w:tc>
        <w:tc>
          <w:tcPr>
            <w:tcW w:w="5040" w:type="dxa"/>
            <w:vAlign w:val="bottom"/>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Linehan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Karen Linehan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Legal Affairs and General Counsel</w:t>
            </w:r>
          </w:p>
        </w:tc>
      </w:tr>
    </w:tbl>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Aventisub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Karen Linehan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w:t>
      </w:r>
    </w:p>
    <w:p>
      <w:pPr>
        <w:spacing w:after="0" w:line="238" w:lineRule="auto"/>
        <w:rPr>
          <w:sz w:val="20"/>
          <w:szCs w:val="20"/>
          <w:color w:val="auto"/>
        </w:rPr>
      </w:pPr>
      <w:r>
        <w:rPr>
          <w:rFonts w:ascii="Arial" w:cs="Arial" w:eastAsia="Arial" w:hAnsi="Arial"/>
          <w:sz w:val="22"/>
          <w:szCs w:val="22"/>
          <w:color w:val="auto"/>
        </w:rPr>
        <w:t>confirmed and accepted</w:t>
      </w:r>
    </w:p>
    <w:p>
      <w:pPr>
        <w:spacing w:after="0"/>
        <w:rPr>
          <w:sz w:val="20"/>
          <w:szCs w:val="20"/>
          <w:color w:val="auto"/>
        </w:rPr>
      </w:pPr>
      <w:r>
        <w:rPr>
          <w:rFonts w:ascii="Arial" w:cs="Arial" w:eastAsia="Arial" w:hAnsi="Arial"/>
          <w:sz w:val="22"/>
          <w:szCs w:val="22"/>
          <w:color w:val="auto"/>
        </w:rPr>
        <w:t>as of the date first written above.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Turbin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Philip Turbin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59"/>
        </w:trPr>
        <w:tc>
          <w:tcPr>
            <w:tcW w:w="56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r>
      <w:tr>
        <w:trPr>
          <w:trHeight w:val="45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Goldman Sachs &amp; Co. LLC</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Mairin Rooney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For themselves and the</w:t>
      </w:r>
    </w:p>
    <w:p>
      <w:pPr>
        <w:spacing w:after="0" w:line="238" w:lineRule="auto"/>
        <w:rPr>
          <w:sz w:val="20"/>
          <w:szCs w:val="20"/>
          <w:color w:val="auto"/>
        </w:rPr>
      </w:pPr>
      <w:r>
        <w:rPr>
          <w:rFonts w:ascii="Arial" w:cs="Arial" w:eastAsia="Arial" w:hAnsi="Arial"/>
          <w:sz w:val="22"/>
          <w:szCs w:val="22"/>
          <w:color w:val="auto"/>
        </w:rPr>
        <w:t>other several Underwriters, if any,</w:t>
      </w:r>
    </w:p>
    <w:p>
      <w:pPr>
        <w:spacing w:after="0"/>
        <w:rPr>
          <w:sz w:val="20"/>
          <w:szCs w:val="20"/>
          <w:color w:val="auto"/>
        </w:rPr>
      </w:pPr>
      <w:r>
        <w:rPr>
          <w:rFonts w:ascii="Arial" w:cs="Arial" w:eastAsia="Arial" w:hAnsi="Arial"/>
          <w:sz w:val="22"/>
          <w:szCs w:val="22"/>
          <w:color w:val="auto"/>
        </w:rPr>
        <w:t>named in Schedule A to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81"/>
        </w:trPr>
        <w:tc>
          <w:tcPr>
            <w:tcW w:w="3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22"/>
                <w:szCs w:val="22"/>
                <w:b w:val="1"/>
                <w:bCs w:val="1"/>
                <w:color w:val="auto"/>
                <w:w w:val="96"/>
              </w:rPr>
              <w:t>SCHEDULE A</w:t>
            </w:r>
          </w:p>
        </w:tc>
      </w:tr>
      <w:tr>
        <w:trPr>
          <w:trHeight w:val="674"/>
        </w:trPr>
        <w:tc>
          <w:tcPr>
            <w:tcW w:w="3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5000" w:type="dxa"/>
            <w:vAlign w:val="bottom"/>
          </w:tcPr>
          <w:p>
            <w:pPr>
              <w:ind w:left="3740"/>
              <w:spacing w:after="0"/>
              <w:rPr>
                <w:sz w:val="20"/>
                <w:szCs w:val="20"/>
                <w:color w:val="auto"/>
              </w:rPr>
            </w:pPr>
            <w:r>
              <w:rPr>
                <w:rFonts w:ascii="Arial" w:cs="Arial" w:eastAsia="Arial" w:hAnsi="Arial"/>
                <w:sz w:val="18"/>
                <w:szCs w:val="18"/>
                <w:b w:val="1"/>
                <w:bCs w:val="1"/>
                <w:color w:val="auto"/>
              </w:rPr>
              <w:t>Number of</w:t>
            </w: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Initial</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5000" w:type="dxa"/>
            <w:vAlign w:val="bottom"/>
          </w:tcPr>
          <w:p>
            <w:pPr>
              <w:ind w:left="3740"/>
              <w:spacing w:after="0"/>
              <w:rPr>
                <w:sz w:val="20"/>
                <w:szCs w:val="20"/>
                <w:color w:val="auto"/>
              </w:rPr>
            </w:pPr>
            <w:r>
              <w:rPr>
                <w:rFonts w:ascii="Arial" w:cs="Arial" w:eastAsia="Arial" w:hAnsi="Arial"/>
                <w:sz w:val="18"/>
                <w:szCs w:val="18"/>
                <w:b w:val="1"/>
                <w:bCs w:val="1"/>
                <w:color w:val="auto"/>
              </w:rPr>
              <w:t>Initial</w:t>
            </w: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Securities to</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Number</w:t>
            </w:r>
          </w:p>
        </w:tc>
      </w:tr>
      <w:tr>
        <w:trPr>
          <w:trHeight w:val="216"/>
        </w:trPr>
        <w:tc>
          <w:tcPr>
            <w:tcW w:w="3580" w:type="dxa"/>
            <w:vAlign w:val="bottom"/>
          </w:tcPr>
          <w:p>
            <w:pPr>
              <w:spacing w:after="0"/>
              <w:rPr>
                <w:sz w:val="18"/>
                <w:szCs w:val="18"/>
                <w:color w:val="auto"/>
              </w:rPr>
            </w:pPr>
          </w:p>
        </w:tc>
        <w:tc>
          <w:tcPr>
            <w:tcW w:w="5000" w:type="dxa"/>
            <w:vAlign w:val="bottom"/>
          </w:tcPr>
          <w:p>
            <w:pPr>
              <w:ind w:left="3740"/>
              <w:spacing w:after="0"/>
              <w:rPr>
                <w:sz w:val="20"/>
                <w:szCs w:val="20"/>
                <w:color w:val="auto"/>
              </w:rPr>
            </w:pPr>
            <w:r>
              <w:rPr>
                <w:rFonts w:ascii="Arial" w:cs="Arial" w:eastAsia="Arial" w:hAnsi="Arial"/>
                <w:sz w:val="18"/>
                <w:szCs w:val="18"/>
                <w:b w:val="1"/>
                <w:bCs w:val="1"/>
                <w:color w:val="auto"/>
              </w:rPr>
              <w:t>Securities to</w:t>
            </w: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w w:val="93"/>
              </w:rPr>
              <w:t>be Purchased</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of Initial</w:t>
            </w:r>
          </w:p>
        </w:tc>
      </w:tr>
      <w:tr>
        <w:trPr>
          <w:trHeight w:val="216"/>
        </w:trPr>
        <w:tc>
          <w:tcPr>
            <w:tcW w:w="3580" w:type="dxa"/>
            <w:vAlign w:val="bottom"/>
          </w:tcPr>
          <w:p>
            <w:pPr>
              <w:spacing w:after="0"/>
              <w:rPr>
                <w:sz w:val="18"/>
                <w:szCs w:val="18"/>
                <w:color w:val="auto"/>
              </w:rPr>
            </w:pPr>
          </w:p>
        </w:tc>
        <w:tc>
          <w:tcPr>
            <w:tcW w:w="5000" w:type="dxa"/>
            <w:vAlign w:val="bottom"/>
          </w:tcPr>
          <w:p>
            <w:pPr>
              <w:ind w:left="3740"/>
              <w:spacing w:after="0"/>
              <w:rPr>
                <w:sz w:val="20"/>
                <w:szCs w:val="20"/>
                <w:color w:val="auto"/>
              </w:rPr>
            </w:pPr>
            <w:r>
              <w:rPr>
                <w:rFonts w:ascii="Arial" w:cs="Arial" w:eastAsia="Arial" w:hAnsi="Arial"/>
                <w:sz w:val="18"/>
                <w:szCs w:val="18"/>
                <w:b w:val="1"/>
                <w:bCs w:val="1"/>
                <w:color w:val="auto"/>
              </w:rPr>
              <w:t>be Purchased</w:t>
            </w: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from</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Securities to</w:t>
            </w: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5000" w:type="dxa"/>
            <w:vAlign w:val="bottom"/>
          </w:tcPr>
          <w:p>
            <w:pPr>
              <w:ind w:left="3740"/>
              <w:spacing w:after="0"/>
              <w:rPr>
                <w:sz w:val="20"/>
                <w:szCs w:val="20"/>
                <w:color w:val="auto"/>
              </w:rPr>
            </w:pPr>
            <w:r>
              <w:rPr>
                <w:rFonts w:ascii="Arial" w:cs="Arial" w:eastAsia="Arial" w:hAnsi="Arial"/>
                <w:sz w:val="18"/>
                <w:szCs w:val="18"/>
                <w:b w:val="1"/>
                <w:bCs w:val="1"/>
                <w:color w:val="auto"/>
              </w:rPr>
              <w:t>from Sanofi</w:t>
            </w: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Aventisub</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be Purchased</w:t>
            </w:r>
          </w:p>
        </w:tc>
      </w:tr>
      <w:tr>
        <w:trPr>
          <w:trHeight w:val="216"/>
        </w:trPr>
        <w:tc>
          <w:tcPr>
            <w:tcW w:w="3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5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4,491,001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514,632</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5,005,633</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5000" w:type="dxa"/>
            <w:vAlign w:val="bottom"/>
          </w:tcPr>
          <w:p>
            <w:pPr>
              <w:jc w:val="right"/>
              <w:ind w:right="30"/>
              <w:spacing w:after="0"/>
              <w:rPr>
                <w:sz w:val="20"/>
                <w:szCs w:val="20"/>
                <w:color w:val="auto"/>
              </w:rPr>
            </w:pPr>
            <w:r>
              <w:rPr>
                <w:rFonts w:ascii="Arial" w:cs="Arial" w:eastAsia="Arial" w:hAnsi="Arial"/>
                <w:sz w:val="18"/>
                <w:szCs w:val="18"/>
                <w:color w:val="auto"/>
              </w:rPr>
              <w:t>4,491,001</w:t>
            </w:r>
          </w:p>
        </w:tc>
        <w:tc>
          <w:tcPr>
            <w:tcW w:w="1240" w:type="dxa"/>
            <w:vAlign w:val="bottom"/>
          </w:tcPr>
          <w:p>
            <w:pPr>
              <w:jc w:val="right"/>
              <w:spacing w:after="0"/>
              <w:rPr>
                <w:sz w:val="20"/>
                <w:szCs w:val="20"/>
                <w:color w:val="auto"/>
              </w:rPr>
            </w:pPr>
            <w:r>
              <w:rPr>
                <w:rFonts w:ascii="Arial" w:cs="Arial" w:eastAsia="Arial" w:hAnsi="Arial"/>
                <w:sz w:val="18"/>
                <w:szCs w:val="18"/>
                <w:color w:val="auto"/>
              </w:rPr>
              <w:t>514,632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5,005,633</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5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326,618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364,046</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5000" w:type="dxa"/>
            <w:vAlign w:val="bottom"/>
          </w:tcPr>
          <w:p>
            <w:pPr>
              <w:jc w:val="right"/>
              <w:ind w:right="30"/>
              <w:spacing w:after="0"/>
              <w:rPr>
                <w:sz w:val="20"/>
                <w:szCs w:val="20"/>
                <w:color w:val="auto"/>
              </w:rPr>
            </w:pPr>
            <w:r>
              <w:rPr>
                <w:rFonts w:ascii="Arial" w:cs="Arial" w:eastAsia="Arial" w:hAnsi="Arial"/>
                <w:sz w:val="18"/>
                <w:szCs w:val="18"/>
                <w:color w:val="auto"/>
              </w:rPr>
              <w:t>326,618</w:t>
            </w:r>
          </w:p>
        </w:tc>
        <w:tc>
          <w:tcPr>
            <w:tcW w:w="1240" w:type="dxa"/>
            <w:vAlign w:val="bottom"/>
          </w:tcPr>
          <w:p>
            <w:pPr>
              <w:jc w:val="right"/>
              <w:spacing w:after="0"/>
              <w:rPr>
                <w:sz w:val="20"/>
                <w:szCs w:val="20"/>
                <w:color w:val="auto"/>
              </w:rPr>
            </w:pPr>
            <w:r>
              <w:rPr>
                <w:rFonts w:ascii="Arial" w:cs="Arial" w:eastAsia="Arial" w:hAnsi="Arial"/>
                <w:sz w:val="18"/>
                <w:szCs w:val="18"/>
                <w:color w:val="auto"/>
              </w:rPr>
              <w:t>37,428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364,046</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326,618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364,046</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5000" w:type="dxa"/>
            <w:vAlign w:val="bottom"/>
          </w:tcPr>
          <w:p>
            <w:pPr>
              <w:jc w:val="right"/>
              <w:ind w:right="30"/>
              <w:spacing w:after="0"/>
              <w:rPr>
                <w:sz w:val="20"/>
                <w:szCs w:val="20"/>
                <w:color w:val="auto"/>
              </w:rPr>
            </w:pPr>
            <w:r>
              <w:rPr>
                <w:rFonts w:ascii="Arial" w:cs="Arial" w:eastAsia="Arial" w:hAnsi="Arial"/>
                <w:sz w:val="18"/>
                <w:szCs w:val="18"/>
                <w:color w:val="auto"/>
              </w:rPr>
              <w:t>326,618</w:t>
            </w:r>
          </w:p>
        </w:tc>
        <w:tc>
          <w:tcPr>
            <w:tcW w:w="1240" w:type="dxa"/>
            <w:vAlign w:val="bottom"/>
          </w:tcPr>
          <w:p>
            <w:pPr>
              <w:jc w:val="right"/>
              <w:spacing w:after="0"/>
              <w:rPr>
                <w:sz w:val="20"/>
                <w:szCs w:val="20"/>
                <w:color w:val="auto"/>
              </w:rPr>
            </w:pPr>
            <w:r>
              <w:rPr>
                <w:rFonts w:ascii="Arial" w:cs="Arial" w:eastAsia="Arial" w:hAnsi="Arial"/>
                <w:sz w:val="18"/>
                <w:szCs w:val="18"/>
                <w:color w:val="auto"/>
              </w:rPr>
              <w:t>37,428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364,046</w:t>
            </w:r>
          </w:p>
        </w:tc>
      </w:tr>
      <w:tr>
        <w:trPr>
          <w:trHeight w:val="223"/>
        </w:trPr>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5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326,618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tcPr>
          <w:p>
            <w:pPr>
              <w:jc w:val="right"/>
              <w:ind w:right="30"/>
              <w:spacing w:after="0"/>
              <w:rPr>
                <w:sz w:val="20"/>
                <w:szCs w:val="20"/>
                <w:color w:val="auto"/>
              </w:rPr>
            </w:pPr>
            <w:r>
              <w:rPr>
                <w:rFonts w:ascii="Arial" w:cs="Arial" w:eastAsia="Arial" w:hAnsi="Arial"/>
                <w:sz w:val="18"/>
                <w:szCs w:val="18"/>
                <w:color w:val="auto"/>
              </w:rPr>
              <w:t>10,615,094</w:t>
            </w:r>
          </w:p>
        </w:tc>
        <w:tc>
          <w:tcPr>
            <w:tcW w:w="1240" w:type="dxa"/>
            <w:vAlign w:val="bottom"/>
          </w:tcPr>
          <w:p>
            <w:pPr>
              <w:jc w:val="right"/>
              <w:spacing w:after="0"/>
              <w:rPr>
                <w:sz w:val="20"/>
                <w:szCs w:val="20"/>
                <w:color w:val="auto"/>
              </w:rPr>
            </w:pPr>
            <w:r>
              <w:rPr>
                <w:rFonts w:ascii="Arial" w:cs="Arial" w:eastAsia="Arial" w:hAnsi="Arial"/>
                <w:sz w:val="18"/>
                <w:szCs w:val="18"/>
                <w:color w:val="auto"/>
              </w:rPr>
              <w:t>1,216,402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11,831,496</w:t>
            </w:r>
          </w:p>
        </w:tc>
      </w:tr>
      <w:tr>
        <w:trPr>
          <w:trHeight w:val="445"/>
        </w:trPr>
        <w:tc>
          <w:tcPr>
            <w:tcW w:w="3580" w:type="dxa"/>
            <w:vAlign w:val="bottom"/>
          </w:tcPr>
          <w:p>
            <w:pPr>
              <w:spacing w:after="0"/>
              <w:rPr>
                <w:sz w:val="20"/>
                <w:szCs w:val="20"/>
                <w:color w:val="auto"/>
              </w:rPr>
            </w:pPr>
            <w:r>
              <w:rPr>
                <w:rFonts w:ascii="Arial" w:cs="Arial" w:eastAsia="Arial" w:hAnsi="Arial"/>
                <w:sz w:val="18"/>
                <w:szCs w:val="18"/>
                <w:b w:val="1"/>
                <w:bCs w:val="1"/>
                <w:color w:val="auto"/>
              </w:rPr>
              <w:t>Price per share paid by the Underwriters:</w:t>
            </w:r>
          </w:p>
        </w:tc>
        <w:tc>
          <w:tcPr>
            <w:tcW w:w="5000" w:type="dxa"/>
            <w:vAlign w:val="bottom"/>
          </w:tcPr>
          <w:p>
            <w:pPr>
              <w:jc w:val="right"/>
              <w:ind w:right="3950"/>
              <w:spacing w:after="0"/>
              <w:rPr>
                <w:sz w:val="20"/>
                <w:szCs w:val="20"/>
                <w:color w:val="auto"/>
              </w:rPr>
            </w:pPr>
            <w:r>
              <w:rPr>
                <w:rFonts w:ascii="Arial" w:cs="Arial" w:eastAsia="Arial" w:hAnsi="Arial"/>
                <w:sz w:val="18"/>
                <w:szCs w:val="18"/>
                <w:color w:val="auto"/>
              </w:rPr>
              <w:t>$509.85</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35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SCHEDULE B</w:t>
      </w:r>
    </w:p>
    <w:p>
      <w:pPr>
        <w:spacing w:after="0" w:line="234" w:lineRule="exact"/>
        <w:rPr>
          <w:sz w:val="20"/>
          <w:szCs w:val="20"/>
          <w:color w:val="auto"/>
        </w:rPr>
      </w:pPr>
    </w:p>
    <w:p>
      <w:pPr>
        <w:ind w:left="3668"/>
        <w:spacing w:after="0"/>
        <w:rPr>
          <w:sz w:val="20"/>
          <w:szCs w:val="20"/>
          <w:color w:val="auto"/>
        </w:rPr>
      </w:pPr>
      <w:r>
        <w:rPr>
          <w:rFonts w:ascii="Arial" w:cs="Arial" w:eastAsia="Arial" w:hAnsi="Arial"/>
          <w:sz w:val="22"/>
          <w:szCs w:val="22"/>
          <w:b w:val="1"/>
          <w:bCs w:val="1"/>
          <w:color w:val="auto"/>
        </w:rPr>
        <w:t>Issuer Free Writing Prospectus</w:t>
      </w:r>
    </w:p>
    <w:p>
      <w:pPr>
        <w:spacing w:after="0" w:line="246" w:lineRule="exact"/>
        <w:rPr>
          <w:sz w:val="20"/>
          <w:szCs w:val="20"/>
          <w:color w:val="auto"/>
        </w:rPr>
      </w:pPr>
    </w:p>
    <w:p>
      <w:pPr>
        <w:ind w:left="328" w:right="340" w:hanging="328"/>
        <w:spacing w:after="0" w:line="277"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Free Writing Prospectus filed by the Company with the Commission on May 25, 2020 (and accepted for filing by the Commission on May 26, 2020) pursuant to Rule 433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245745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SCHEDULE C</w:t>
      </w:r>
    </w:p>
    <w:p>
      <w:pPr>
        <w:spacing w:after="0" w:line="234" w:lineRule="exact"/>
        <w:rPr>
          <w:sz w:val="20"/>
          <w:szCs w:val="20"/>
          <w:color w:val="auto"/>
        </w:rPr>
      </w:pPr>
    </w:p>
    <w:p>
      <w:pPr>
        <w:ind w:left="3048"/>
        <w:spacing w:after="0"/>
        <w:rPr>
          <w:sz w:val="20"/>
          <w:szCs w:val="20"/>
          <w:color w:val="auto"/>
        </w:rPr>
      </w:pPr>
      <w:r>
        <w:rPr>
          <w:rFonts w:ascii="Arial" w:cs="Arial" w:eastAsia="Arial" w:hAnsi="Arial"/>
          <w:sz w:val="22"/>
          <w:szCs w:val="22"/>
          <w:b w:val="1"/>
          <w:bCs w:val="1"/>
          <w:color w:val="auto"/>
        </w:rPr>
        <w:t>Selling Shareholder Free Writing Prospectus</w:t>
      </w:r>
    </w:p>
    <w:p>
      <w:pPr>
        <w:spacing w:after="0" w:line="246" w:lineRule="exact"/>
        <w:rPr>
          <w:sz w:val="20"/>
          <w:szCs w:val="20"/>
          <w:color w:val="auto"/>
        </w:rPr>
      </w:pPr>
    </w:p>
    <w:p>
      <w:pPr>
        <w:ind w:left="328" w:right="260" w:hanging="328"/>
        <w:spacing w:after="0" w:line="277"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Free Writing Prospectus filed by or on behalf of the Selling Shareholders with the Commission on May 25, 2020 (and accepted for filing by the Commission on May 26, 2020) pursuant to Rule 433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245745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2" w:right="339" w:bottom="1440" w:gutter="0" w:footer="0" w:header="0"/>
        </w:sectPr>
      </w:pPr>
    </w:p>
    <w:bookmarkStart w:id="44" w:name="page45"/>
    <w:bookmarkEnd w:id="44"/>
    <w:p>
      <w:pPr>
        <w:ind w:left="10100"/>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Lock-up Letter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w:t>
      </w:r>
    </w:p>
    <w:p>
      <w:pPr>
        <w:spacing w:after="0" w:line="238" w:lineRule="auto"/>
        <w:rPr>
          <w:sz w:val="20"/>
          <w:szCs w:val="20"/>
          <w:color w:val="auto"/>
        </w:rPr>
      </w:pPr>
      <w:r>
        <w:rPr>
          <w:rFonts w:ascii="Arial" w:cs="Arial" w:eastAsia="Arial" w:hAnsi="Arial"/>
          <w:sz w:val="22"/>
          <w:szCs w:val="22"/>
          <w:color w:val="auto"/>
        </w:rPr>
        <w:t>200 West Street</w:t>
      </w:r>
    </w:p>
    <w:p>
      <w:pPr>
        <w:spacing w:after="0"/>
        <w:rPr>
          <w:sz w:val="20"/>
          <w:szCs w:val="20"/>
          <w:color w:val="auto"/>
        </w:rPr>
      </w:pPr>
      <w:r>
        <w:rPr>
          <w:rFonts w:ascii="Arial" w:cs="Arial" w:eastAsia="Arial" w:hAnsi="Arial"/>
          <w:sz w:val="22"/>
          <w:szCs w:val="22"/>
          <w:color w:val="auto"/>
        </w:rPr>
        <w:t>New York, New York 10282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38" w:lineRule="auto"/>
        <w:rPr>
          <w:sz w:val="20"/>
          <w:szCs w:val="20"/>
          <w:color w:val="auto"/>
        </w:rPr>
      </w:pPr>
      <w:r>
        <w:rPr>
          <w:rFonts w:ascii="Arial" w:cs="Arial" w:eastAsia="Arial" w:hAnsi="Arial"/>
          <w:sz w:val="22"/>
          <w:szCs w:val="22"/>
          <w:color w:val="auto"/>
        </w:rPr>
        <w:t>One Bryant Park, 11th Floor</w:t>
      </w: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Each of the undersigned understands that Goldman Sachs &amp; Co. LLC and BofA Securities, Inc. (the “</w:t>
      </w:r>
      <w:r>
        <w:rPr>
          <w:rFonts w:ascii="Arial" w:cs="Arial" w:eastAsia="Arial" w:hAnsi="Arial"/>
          <w:sz w:val="22"/>
          <w:szCs w:val="22"/>
          <w:b w:val="1"/>
          <w:bCs w:val="1"/>
          <w:color w:val="auto"/>
        </w:rPr>
        <w:t>Representatives</w:t>
      </w:r>
      <w:r>
        <w:rPr>
          <w:rFonts w:ascii="Arial" w:cs="Arial" w:eastAsia="Arial" w:hAnsi="Arial"/>
          <w:sz w:val="22"/>
          <w:szCs w:val="22"/>
          <w:color w:val="auto"/>
        </w:rPr>
        <w:t>”) propose to enter into an Underwriting Agreement (the “</w:t>
      </w:r>
      <w:r>
        <w:rPr>
          <w:rFonts w:ascii="Arial" w:cs="Arial" w:eastAsia="Arial" w:hAnsi="Arial"/>
          <w:sz w:val="22"/>
          <w:szCs w:val="22"/>
          <w:b w:val="1"/>
          <w:bCs w:val="1"/>
          <w:color w:val="auto"/>
        </w:rPr>
        <w:t>Underwriting Agreement</w:t>
      </w:r>
      <w:r>
        <w:rPr>
          <w:rFonts w:ascii="Arial" w:cs="Arial" w:eastAsia="Arial" w:hAnsi="Arial"/>
          <w:sz w:val="22"/>
          <w:szCs w:val="22"/>
          <w:color w:val="auto"/>
        </w:rPr>
        <w:t>”) with Regeneron Pharmaceuticals, Inc., a New York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the Selling Shareholders specified therein, providing for the public offering (the “</w:t>
      </w:r>
      <w:r>
        <w:rPr>
          <w:rFonts w:ascii="Arial" w:cs="Arial" w:eastAsia="Arial" w:hAnsi="Arial"/>
          <w:sz w:val="22"/>
          <w:szCs w:val="22"/>
          <w:b w:val="1"/>
          <w:bCs w:val="1"/>
          <w:color w:val="auto"/>
        </w:rPr>
        <w:t>Public Offering</w:t>
      </w:r>
      <w:r>
        <w:rPr>
          <w:rFonts w:ascii="Arial" w:cs="Arial" w:eastAsia="Arial" w:hAnsi="Arial"/>
          <w:sz w:val="22"/>
          <w:szCs w:val="22"/>
          <w:color w:val="auto"/>
        </w:rPr>
        <w:t>”) of shares (the “</w:t>
      </w:r>
      <w:r>
        <w:rPr>
          <w:rFonts w:ascii="Arial" w:cs="Arial" w:eastAsia="Arial" w:hAnsi="Arial"/>
          <w:sz w:val="22"/>
          <w:szCs w:val="22"/>
          <w:b w:val="1"/>
          <w:bCs w:val="1"/>
          <w:color w:val="auto"/>
        </w:rPr>
        <w:t>Shares</w:t>
      </w:r>
      <w:r>
        <w:rPr>
          <w:rFonts w:ascii="Arial" w:cs="Arial" w:eastAsia="Arial" w:hAnsi="Arial"/>
          <w:sz w:val="22"/>
          <w:szCs w:val="22"/>
          <w:color w:val="auto"/>
        </w:rPr>
        <w:t>”) of the Common Stock ($0.001 par value per share) of the Company (the “</w:t>
      </w:r>
      <w:r>
        <w:rPr>
          <w:rFonts w:ascii="Arial" w:cs="Arial" w:eastAsia="Arial" w:hAnsi="Arial"/>
          <w:sz w:val="22"/>
          <w:szCs w:val="22"/>
          <w:b w:val="1"/>
          <w:bCs w:val="1"/>
          <w:color w:val="auto"/>
        </w:rPr>
        <w:t>Common</w:t>
      </w:r>
      <w:r>
        <w:rPr>
          <w:rFonts w:ascii="Arial" w:cs="Arial" w:eastAsia="Arial" w:hAnsi="Arial"/>
          <w:sz w:val="22"/>
          <w:szCs w:val="22"/>
          <w:color w:val="auto"/>
        </w:rPr>
        <w:t xml:space="preserve"> </w:t>
      </w:r>
      <w:r>
        <w:rPr>
          <w:rFonts w:ascii="Arial" w:cs="Arial" w:eastAsia="Arial" w:hAnsi="Arial"/>
          <w:sz w:val="22"/>
          <w:szCs w:val="22"/>
          <w:b w:val="1"/>
          <w:bCs w:val="1"/>
          <w:color w:val="auto"/>
        </w:rPr>
        <w:t>Stock</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Each of undersigned hereby agrees that, without the prior written consent of the Representatives, it will not, during the period commencing on the date hereof and ending 90 days after the date of the final prospectus supplement relating to the Public Offering,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Public Offering; (b) transfers of shares of Common Stock or any security convertible into Common Stock as a bona fide gift; (c) distributions or transfers to family members, trusts, and/or controlled entities in connection with estate planning,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transferee shall sign and deliver a lock-up letter substantially in the form of this letter; (d) transfers or dispositions of shares of Common Stock or any security convertible or exchangeable into Common Stock to another corporation, partnership, limited liability company, trust or other business entity (or in each case its nominee or custodian) that is an affiliate (as defined in Rule 405 promulgated under the Securities Act of 1933, as amended) of such undersigned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transferee shall sign and deliver a lock-up letter substantially in the form of this letter; (e) the sale of Common Stock in the public market pursuant to a written trading plan in existence prior to the date hereof designed to comply with Rule 10b5-1 under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(f) the exercise of a stock option for, or the conversion of any convertible security into, shares of common stock, including, without limitation, by transferring or submitting for cancellation aged shares or shares otherwise issued or issuable upon the exercise of a stock option to the Company to satisfy the exercise price of a stock option under the Company’s long-term incentive plans (or to satisfy the minimum withholding tax required in connection with such option exercise); or (g) the sale or other transfer of shares of Common Stock to the Company (or any of its affiliates) pursuant to any agreement existing between such undersigned (or any of its affiliates) and the Company (or any of its affiliates) as of the date hereof and included as an exhibit to any document filed under the Exchange Act and incorporated by reference in the preliminary prospectus supplement relating to the Public Offering. In addition, each of the undersigned agrees that, without the prior written consent of the Representatives, it will not, during the period commencing on the date hereof and ending 90 days after the date of the final prospectus supplement, make any demand for or exercise any right with respect to, the registration of any shares of Common Stock or any security convertible into or exercisable or exchangeable for Common Stock. Each of the undersigned agrees and consents to the entry of stop transfer instructions with the Company’s transfer agent and registrar against the transfer of such undersigned’s shares of Common Stock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ind w:firstLine="648"/>
        <w:spacing w:after="0" w:line="241" w:lineRule="auto"/>
        <w:rPr>
          <w:sz w:val="20"/>
          <w:szCs w:val="20"/>
          <w:color w:val="auto"/>
        </w:rPr>
      </w:pPr>
      <w:r>
        <w:rPr>
          <w:rFonts w:ascii="Arial" w:cs="Arial" w:eastAsia="Arial" w:hAnsi="Arial"/>
          <w:sz w:val="22"/>
          <w:szCs w:val="22"/>
          <w:color w:val="auto"/>
        </w:rPr>
        <w:t>Each of the undersigned will be released from its obligations under this agreement if the Underwriting Agreement is not executed prior to June 12, 2020, or if the Underwriting Agreement is terminated in accordance with its terms prior to payment for and delivery of the Shares.</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of the undersigned understands that the Company and the Representatives are relying upon this agreement. Each of the undersigned further understands that this agreement is irrevocable and shall be binding upon such undersigned’s heirs, legal representatives, successors and assigns.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ind w:left="3380"/>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312420</wp:posOffset>
            </wp:positionV>
            <wp:extent cx="21431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160655</wp:posOffset>
            </wp:positionV>
            <wp:extent cx="21431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160655</wp:posOffset>
            </wp:positionV>
            <wp:extent cx="21431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280670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Pricing Information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Common stock offered hereby:</w:t>
            </w:r>
          </w:p>
        </w:tc>
        <w:tc>
          <w:tcPr>
            <w:tcW w:w="8340" w:type="dxa"/>
            <w:vAlign w:val="bottom"/>
          </w:tcPr>
          <w:p>
            <w:pPr>
              <w:ind w:left="220"/>
              <w:spacing w:after="0"/>
              <w:rPr>
                <w:sz w:val="20"/>
                <w:szCs w:val="20"/>
                <w:color w:val="auto"/>
              </w:rPr>
            </w:pPr>
            <w:r>
              <w:rPr>
                <w:rFonts w:ascii="Arial" w:cs="Arial" w:eastAsia="Arial" w:hAnsi="Arial"/>
                <w:sz w:val="18"/>
                <w:szCs w:val="18"/>
                <w:color w:val="auto"/>
              </w:rPr>
              <w:t>11,831,496 shares</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w w:val="96"/>
              </w:rPr>
              <w:t>Option to purchase additional shares:</w:t>
            </w:r>
          </w:p>
        </w:tc>
        <w:tc>
          <w:tcPr>
            <w:tcW w:w="8340" w:type="dxa"/>
            <w:vAlign w:val="bottom"/>
          </w:tcPr>
          <w:p>
            <w:pPr>
              <w:ind w:left="220"/>
              <w:spacing w:after="0"/>
              <w:rPr>
                <w:sz w:val="20"/>
                <w:szCs w:val="20"/>
                <w:color w:val="auto"/>
              </w:rPr>
            </w:pPr>
            <w:r>
              <w:rPr>
                <w:rFonts w:ascii="Arial" w:cs="Arial" w:eastAsia="Arial" w:hAnsi="Arial"/>
                <w:sz w:val="18"/>
                <w:szCs w:val="18"/>
                <w:color w:val="auto"/>
              </w:rPr>
              <w:t>1,183,150 shares</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Public offering price:</w:t>
            </w:r>
          </w:p>
        </w:tc>
        <w:tc>
          <w:tcPr>
            <w:tcW w:w="8340" w:type="dxa"/>
            <w:vAlign w:val="bottom"/>
          </w:tcPr>
          <w:p>
            <w:pPr>
              <w:ind w:left="220"/>
              <w:spacing w:after="0"/>
              <w:rPr>
                <w:sz w:val="20"/>
                <w:szCs w:val="20"/>
                <w:color w:val="auto"/>
              </w:rPr>
            </w:pPr>
            <w:r>
              <w:rPr>
                <w:rFonts w:ascii="Arial" w:cs="Arial" w:eastAsia="Arial" w:hAnsi="Arial"/>
                <w:sz w:val="18"/>
                <w:szCs w:val="18"/>
                <w:color w:val="auto"/>
              </w:rPr>
              <w:t>$515.00 per share</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Underwriting discount:</w:t>
            </w:r>
          </w:p>
        </w:tc>
        <w:tc>
          <w:tcPr>
            <w:tcW w:w="8340" w:type="dxa"/>
            <w:vAlign w:val="bottom"/>
          </w:tcPr>
          <w:p>
            <w:pPr>
              <w:ind w:left="220"/>
              <w:spacing w:after="0"/>
              <w:rPr>
                <w:sz w:val="20"/>
                <w:szCs w:val="20"/>
                <w:color w:val="auto"/>
              </w:rPr>
            </w:pPr>
            <w:r>
              <w:rPr>
                <w:rFonts w:ascii="Arial" w:cs="Arial" w:eastAsia="Arial" w:hAnsi="Arial"/>
                <w:sz w:val="18"/>
                <w:szCs w:val="18"/>
                <w:color w:val="auto"/>
              </w:rPr>
              <w:t>1.00%</w:t>
            </w:r>
          </w:p>
        </w:tc>
      </w:tr>
      <w:tr>
        <w:trPr>
          <w:trHeight w:val="418"/>
        </w:trPr>
        <w:tc>
          <w:tcPr>
            <w:tcW w:w="29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340" w:type="dxa"/>
            <w:vAlign w:val="bottom"/>
          </w:tcPr>
          <w:p>
            <w:pPr>
              <w:ind w:left="220"/>
              <w:spacing w:after="0"/>
              <w:rPr>
                <w:sz w:val="20"/>
                <w:szCs w:val="20"/>
                <w:color w:val="auto"/>
              </w:rPr>
            </w:pPr>
            <w:r>
              <w:rPr>
                <w:rFonts w:ascii="Arial" w:cs="Arial" w:eastAsia="Arial" w:hAnsi="Arial"/>
                <w:sz w:val="18"/>
                <w:szCs w:val="18"/>
                <w:color w:val="auto"/>
              </w:rPr>
              <w:t>BofA Securities, Inc.</w:t>
            </w:r>
          </w:p>
        </w:tc>
      </w:tr>
      <w:tr>
        <w:trPr>
          <w:trHeight w:val="230"/>
        </w:trPr>
        <w:tc>
          <w:tcPr>
            <w:tcW w:w="2900" w:type="dxa"/>
            <w:vAlign w:val="bottom"/>
          </w:tcPr>
          <w:p>
            <w:pPr>
              <w:spacing w:after="0"/>
              <w:rPr>
                <w:sz w:val="20"/>
                <w:szCs w:val="20"/>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Goldman Sachs &amp; Co. LLC</w:t>
            </w:r>
          </w:p>
        </w:tc>
      </w:tr>
      <w:tr>
        <w:trPr>
          <w:trHeight w:val="418"/>
        </w:trPr>
        <w:tc>
          <w:tcPr>
            <w:tcW w:w="2900" w:type="dxa"/>
            <w:vAlign w:val="bottom"/>
          </w:tcPr>
          <w:p>
            <w:pPr>
              <w:spacing w:after="0"/>
              <w:rPr>
                <w:sz w:val="20"/>
                <w:szCs w:val="20"/>
                <w:color w:val="auto"/>
              </w:rPr>
            </w:pPr>
            <w:r>
              <w:rPr>
                <w:rFonts w:ascii="Arial" w:cs="Arial" w:eastAsia="Arial" w:hAnsi="Arial"/>
                <w:sz w:val="18"/>
                <w:szCs w:val="18"/>
                <w:color w:val="auto"/>
              </w:rPr>
              <w:t>Co-managers:</w:t>
            </w:r>
          </w:p>
        </w:tc>
        <w:tc>
          <w:tcPr>
            <w:tcW w:w="8340" w:type="dxa"/>
            <w:vAlign w:val="bottom"/>
          </w:tcPr>
          <w:p>
            <w:pPr>
              <w:ind w:left="220"/>
              <w:spacing w:after="0"/>
              <w:rPr>
                <w:sz w:val="20"/>
                <w:szCs w:val="20"/>
                <w:color w:val="auto"/>
              </w:rPr>
            </w:pPr>
            <w:r>
              <w:rPr>
                <w:rFonts w:ascii="Arial" w:cs="Arial" w:eastAsia="Arial" w:hAnsi="Arial"/>
                <w:sz w:val="18"/>
                <w:szCs w:val="18"/>
                <w:color w:val="auto"/>
              </w:rPr>
              <w:t>Barclays Capital Inc.</w:t>
            </w:r>
          </w:p>
        </w:tc>
      </w:tr>
      <w:tr>
        <w:trPr>
          <w:trHeight w:val="216"/>
        </w:trPr>
        <w:tc>
          <w:tcPr>
            <w:tcW w:w="290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290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Citigroup Inc.</w:t>
            </w:r>
          </w:p>
        </w:tc>
      </w:tr>
      <w:tr>
        <w:trPr>
          <w:trHeight w:val="216"/>
        </w:trPr>
        <w:tc>
          <w:tcPr>
            <w:tcW w:w="290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JPMorgan Chase &amp; Co.</w:t>
            </w:r>
          </w:p>
        </w:tc>
      </w:tr>
      <w:tr>
        <w:trPr>
          <w:trHeight w:val="230"/>
        </w:trPr>
        <w:tc>
          <w:tcPr>
            <w:tcW w:w="2900" w:type="dxa"/>
            <w:vAlign w:val="bottom"/>
          </w:tcPr>
          <w:p>
            <w:pPr>
              <w:spacing w:after="0"/>
              <w:rPr>
                <w:sz w:val="20"/>
                <w:szCs w:val="20"/>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Morgan Stanley</w:t>
            </w:r>
          </w:p>
        </w:tc>
      </w:tr>
      <w:tr>
        <w:trPr>
          <w:trHeight w:val="601"/>
        </w:trPr>
        <w:tc>
          <w:tcPr>
            <w:tcW w:w="290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REPURCHASE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SANOFI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May 25, 2020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REPURCHASE AGREEMENT</w:t>
      </w:r>
    </w:p>
    <w:p>
      <w:pPr>
        <w:spacing w:after="0" w:line="233" w:lineRule="exact"/>
        <w:rPr>
          <w:sz w:val="20"/>
          <w:szCs w:val="20"/>
          <w:color w:val="auto"/>
        </w:rPr>
      </w:pPr>
    </w:p>
    <w:p>
      <w:pPr>
        <w:ind w:right="220" w:firstLine="648"/>
        <w:spacing w:after="0" w:line="243" w:lineRule="auto"/>
        <w:rPr>
          <w:sz w:val="20"/>
          <w:szCs w:val="20"/>
          <w:color w:val="auto"/>
        </w:rPr>
      </w:pPr>
      <w:r>
        <w:rPr>
          <w:rFonts w:ascii="Arial" w:cs="Arial" w:eastAsia="Arial" w:hAnsi="Arial"/>
          <w:sz w:val="22"/>
          <w:szCs w:val="22"/>
          <w:b w:val="1"/>
          <w:bCs w:val="1"/>
          <w:color w:val="auto"/>
        </w:rPr>
        <w:t xml:space="preserve">THIS STOCK REPURCHASE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as of May 25, 2020 by</w:t>
      </w:r>
      <w:r>
        <w:rPr>
          <w:rFonts w:ascii="Arial" w:cs="Arial" w:eastAsia="Arial" w:hAnsi="Arial"/>
          <w:sz w:val="22"/>
          <w:szCs w:val="22"/>
          <w:b w:val="1"/>
          <w:bCs w:val="1"/>
          <w:color w:val="auto"/>
        </w:rPr>
        <w:t xml:space="preserve"> </w:t>
      </w:r>
      <w:r>
        <w:rPr>
          <w:rFonts w:ascii="Arial" w:cs="Arial" w:eastAsia="Arial" w:hAnsi="Arial"/>
          <w:sz w:val="22"/>
          <w:szCs w:val="22"/>
          <w:color w:val="auto"/>
        </w:rPr>
        <w:t>and between Regeneron Pharmaceuticals, Inc., a New York corporation (“</w:t>
      </w:r>
      <w:r>
        <w:rPr>
          <w:rFonts w:ascii="Arial" w:cs="Arial" w:eastAsia="Arial" w:hAnsi="Arial"/>
          <w:sz w:val="22"/>
          <w:szCs w:val="22"/>
          <w:b w:val="1"/>
          <w:bCs w:val="1"/>
          <w:i w:val="1"/>
          <w:iCs w:val="1"/>
          <w:color w:val="auto"/>
        </w:rPr>
        <w:t>Regeneron</w:t>
      </w:r>
      <w:r>
        <w:rPr>
          <w:rFonts w:ascii="Arial" w:cs="Arial" w:eastAsia="Arial" w:hAnsi="Arial"/>
          <w:sz w:val="22"/>
          <w:szCs w:val="22"/>
          <w:color w:val="auto"/>
        </w:rPr>
        <w:t>”) and Sanofi, a company organized under the laws of France (“</w:t>
      </w:r>
      <w:r>
        <w:rPr>
          <w:rFonts w:ascii="Arial" w:cs="Arial" w:eastAsia="Arial" w:hAnsi="Arial"/>
          <w:sz w:val="22"/>
          <w:szCs w:val="22"/>
          <w:b w:val="1"/>
          <w:bCs w:val="1"/>
          <w:i w:val="1"/>
          <w:iCs w:val="1"/>
          <w:color w:val="auto"/>
        </w:rPr>
        <w:t>Sanofi</w:t>
      </w:r>
      <w:r>
        <w:rPr>
          <w:rFonts w:ascii="Arial" w:cs="Arial" w:eastAsia="Arial" w:hAnsi="Arial"/>
          <w:sz w:val="22"/>
          <w:szCs w:val="22"/>
          <w:color w:val="auto"/>
        </w:rPr>
        <w:t>” or the “</w:t>
      </w:r>
      <w:r>
        <w:rPr>
          <w:rFonts w:ascii="Arial" w:cs="Arial" w:eastAsia="Arial" w:hAnsi="Arial"/>
          <w:sz w:val="22"/>
          <w:szCs w:val="22"/>
          <w:b w:val="1"/>
          <w:bCs w:val="1"/>
          <w:i w:val="1"/>
          <w:iCs w:val="1"/>
          <w:color w:val="auto"/>
        </w:rPr>
        <w:t>Selling Shareholder</w:t>
      </w:r>
      <w:r>
        <w:rPr>
          <w:rFonts w:ascii="Arial" w:cs="Arial" w:eastAsia="Arial" w:hAnsi="Arial"/>
          <w:sz w:val="22"/>
          <w:szCs w:val="22"/>
          <w:color w:val="auto"/>
        </w:rPr>
        <w:t>”).</w:t>
      </w:r>
    </w:p>
    <w:p>
      <w:pPr>
        <w:spacing w:after="0" w:line="21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WHEREAS, Regeneron and the Selling Shareholder propose to enter into a transaction whereby the Selling Shareholder shall sell to Regeneron, and Regeneron shall purchase from the Selling Shareholder, shares of Regeneron’s common stock, par value $0.001 per share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as set forth in this Agreement (the “</w:t>
      </w:r>
      <w:r>
        <w:rPr>
          <w:rFonts w:ascii="Arial" w:cs="Arial" w:eastAsia="Arial" w:hAnsi="Arial"/>
          <w:sz w:val="19"/>
          <w:szCs w:val="19"/>
          <w:b w:val="1"/>
          <w:bCs w:val="1"/>
          <w:i w:val="1"/>
          <w:iCs w:val="1"/>
          <w:color w:val="auto"/>
        </w:rPr>
        <w:t>Repurchase Transaction</w:t>
      </w:r>
      <w:r>
        <w:rPr>
          <w:rFonts w:ascii="Arial" w:cs="Arial" w:eastAsia="Arial" w:hAnsi="Arial"/>
          <w:sz w:val="19"/>
          <w:szCs w:val="19"/>
          <w:color w:val="auto"/>
        </w:rPr>
        <w:t>”); and</w:t>
      </w:r>
    </w:p>
    <w:p>
      <w:pPr>
        <w:spacing w:after="0" w:line="161"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WHEREAS, the Selling Shareholder and its affiliates propose to sell through an underwritten public offering a base number of shares equal to all shares of Common Stock held by the Selling Shareholder and its affiliates as of the date hereof (other than the Sanofi Shares (as defined below) subject to the Repurchase Transaction, any shares of Common Stock subject to the underwriter option to purchase additional shares of Common Stock in the offering, and 400,000 shares of Common Stock that Sanofi intends to retain) (the “</w:t>
      </w:r>
      <w:r>
        <w:rPr>
          <w:rFonts w:ascii="Arial" w:cs="Arial" w:eastAsia="Arial" w:hAnsi="Arial"/>
          <w:sz w:val="22"/>
          <w:szCs w:val="22"/>
          <w:b w:val="1"/>
          <w:bCs w:val="1"/>
          <w:i w:val="1"/>
          <w:iCs w:val="1"/>
          <w:color w:val="auto"/>
        </w:rPr>
        <w:t>Secondary Offering</w:t>
      </w:r>
      <w:r>
        <w:rPr>
          <w:rFonts w:ascii="Arial" w:cs="Arial" w:eastAsia="Arial" w:hAnsi="Arial"/>
          <w:sz w:val="22"/>
          <w:szCs w:val="22"/>
          <w:color w:val="auto"/>
        </w:rPr>
        <w:t>”).</w:t>
      </w:r>
    </w:p>
    <w:p>
      <w:pPr>
        <w:spacing w:after="0" w:line="214" w:lineRule="exact"/>
        <w:rPr>
          <w:sz w:val="20"/>
          <w:szCs w:val="20"/>
          <w:color w:val="auto"/>
        </w:rPr>
      </w:pPr>
    </w:p>
    <w:p>
      <w:pPr>
        <w:ind w:right="260" w:firstLine="648"/>
        <w:spacing w:after="0" w:line="328" w:lineRule="auto"/>
        <w:rPr>
          <w:sz w:val="20"/>
          <w:szCs w:val="20"/>
          <w:color w:val="auto"/>
        </w:rPr>
      </w:pPr>
      <w:r>
        <w:rPr>
          <w:rFonts w:ascii="Arial" w:cs="Arial" w:eastAsia="Arial" w:hAnsi="Arial"/>
          <w:sz w:val="19"/>
          <w:szCs w:val="19"/>
          <w:color w:val="auto"/>
        </w:rPr>
        <w:t>NOW, THEREFORE, in consideration of the foregoing, of the mutual promises herein set forth, and for other good and valuable consideration, the receipt and sufficiency of which are hereby acknowledged, it is hereby agreed as follows: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REPURCHASE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Repurchase of Common Stock</w:t>
      </w:r>
      <w:r>
        <w:rPr>
          <w:rFonts w:ascii="Arial" w:cs="Arial" w:eastAsia="Arial" w:hAnsi="Arial"/>
          <w:sz w:val="22"/>
          <w:szCs w:val="22"/>
          <w:color w:val="auto"/>
        </w:rPr>
        <w:t>.</w:t>
      </w:r>
    </w:p>
    <w:p>
      <w:pPr>
        <w:spacing w:after="0" w:line="233" w:lineRule="exact"/>
        <w:rPr>
          <w:sz w:val="20"/>
          <w:szCs w:val="20"/>
          <w:color w:val="auto"/>
        </w:rPr>
      </w:pPr>
    </w:p>
    <w:p>
      <w:pPr>
        <w:ind w:right="140" w:firstLine="656"/>
        <w:spacing w:after="0" w:line="248" w:lineRule="auto"/>
        <w:tabs>
          <w:tab w:leader="none" w:pos="942" w:val="left"/>
        </w:tabs>
        <w:numPr>
          <w:ilvl w:val="0"/>
          <w:numId w:val="47"/>
        </w:numPr>
        <w:rPr>
          <w:rFonts w:ascii="Arial" w:cs="Arial" w:eastAsia="Arial" w:hAnsi="Arial"/>
          <w:sz w:val="21"/>
          <w:szCs w:val="21"/>
          <w:color w:val="auto"/>
        </w:rPr>
      </w:pPr>
      <w:r>
        <w:rPr>
          <w:rFonts w:ascii="Arial" w:cs="Arial" w:eastAsia="Arial" w:hAnsi="Arial"/>
          <w:sz w:val="21"/>
          <w:szCs w:val="21"/>
          <w:color w:val="auto"/>
        </w:rPr>
        <w:t>Under the terms and subject to the conditions hereof and in reliance upon the representations, warranties and agreements contained herein, at the Closing (as defined below), the Selling Shareholder shall sell to Regeneron such aggregate number of shares of Common Stock (such aggregate amount, the “</w:t>
      </w:r>
      <w:r>
        <w:rPr>
          <w:rFonts w:ascii="Arial" w:cs="Arial" w:eastAsia="Arial" w:hAnsi="Arial"/>
          <w:sz w:val="21"/>
          <w:szCs w:val="21"/>
          <w:b w:val="1"/>
          <w:bCs w:val="1"/>
          <w:i w:val="1"/>
          <w:iCs w:val="1"/>
          <w:color w:val="auto"/>
        </w:rPr>
        <w:t>Sanofi Shares</w:t>
      </w:r>
      <w:r>
        <w:rPr>
          <w:rFonts w:ascii="Arial" w:cs="Arial" w:eastAsia="Arial" w:hAnsi="Arial"/>
          <w:sz w:val="21"/>
          <w:szCs w:val="21"/>
          <w:color w:val="auto"/>
        </w:rPr>
        <w:t>”) equal to $5,000,000,000 (Five Billion U.S. Dollars) (the “</w:t>
      </w:r>
      <w:r>
        <w:rPr>
          <w:rFonts w:ascii="Arial" w:cs="Arial" w:eastAsia="Arial" w:hAnsi="Arial"/>
          <w:sz w:val="21"/>
          <w:szCs w:val="21"/>
          <w:b w:val="1"/>
          <w:bCs w:val="1"/>
          <w:i w:val="1"/>
          <w:iCs w:val="1"/>
          <w:color w:val="auto"/>
        </w:rPr>
        <w:t>Purchase Price</w:t>
      </w:r>
      <w:r>
        <w:rPr>
          <w:rFonts w:ascii="Arial" w:cs="Arial" w:eastAsia="Arial" w:hAnsi="Arial"/>
          <w:sz w:val="21"/>
          <w:szCs w:val="21"/>
          <w:color w:val="auto"/>
        </w:rPr>
        <w:t>”), divided by the price at which the shares of Common Stock are sold to the public in the Secondary Offering, less the underwriting discount (the “</w:t>
      </w:r>
      <w:r>
        <w:rPr>
          <w:rFonts w:ascii="Arial" w:cs="Arial" w:eastAsia="Arial" w:hAnsi="Arial"/>
          <w:sz w:val="21"/>
          <w:szCs w:val="21"/>
          <w:b w:val="1"/>
          <w:bCs w:val="1"/>
          <w:i w:val="1"/>
          <w:iCs w:val="1"/>
          <w:color w:val="auto"/>
        </w:rPr>
        <w:t>Secondary Share Price</w:t>
      </w:r>
      <w:r>
        <w:rPr>
          <w:rFonts w:ascii="Arial" w:cs="Arial" w:eastAsia="Arial" w:hAnsi="Arial"/>
          <w:sz w:val="21"/>
          <w:szCs w:val="21"/>
          <w:color w:val="auto"/>
        </w:rPr>
        <w:t>”), and with the Sanofi Shares and the Purchase Price rounded down for any fraction of a share.</w:t>
      </w:r>
    </w:p>
    <w:p>
      <w:pPr>
        <w:spacing w:after="0" w:line="204" w:lineRule="exact"/>
        <w:rPr>
          <w:sz w:val="20"/>
          <w:szCs w:val="20"/>
          <w:color w:val="auto"/>
        </w:rPr>
      </w:pPr>
    </w:p>
    <w:p>
      <w:pPr>
        <w:ind w:right="60" w:firstLine="648"/>
        <w:spacing w:after="0" w:line="215"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Closing</w:t>
      </w:r>
      <w:r>
        <w:rPr>
          <w:rFonts w:ascii="Arial" w:cs="Arial" w:eastAsia="Arial" w:hAnsi="Arial"/>
          <w:sz w:val="21"/>
          <w:szCs w:val="21"/>
          <w:color w:val="auto"/>
        </w:rPr>
        <w:t>. The closing (the “</w:t>
      </w:r>
      <w:r>
        <w:rPr>
          <w:rFonts w:ascii="Arial" w:cs="Arial" w:eastAsia="Arial" w:hAnsi="Arial"/>
          <w:sz w:val="21"/>
          <w:szCs w:val="21"/>
          <w:b w:val="1"/>
          <w:bCs w:val="1"/>
          <w:i w:val="1"/>
          <w:iCs w:val="1"/>
          <w:color w:val="auto"/>
        </w:rPr>
        <w:t>Closing</w:t>
      </w:r>
      <w:r>
        <w:rPr>
          <w:rFonts w:ascii="Arial" w:cs="Arial" w:eastAsia="Arial" w:hAnsi="Arial"/>
          <w:sz w:val="21"/>
          <w:szCs w:val="21"/>
          <w:color w:val="auto"/>
        </w:rPr>
        <w:t>”) of the purchase of the Sanofi Shares shall be held at the offices of Wachtell, Lipton, Rosen &amp; Katz, 51 West 52</w:t>
      </w:r>
      <w:r>
        <w:rPr>
          <w:rFonts w:ascii="Arial" w:cs="Arial" w:eastAsia="Arial" w:hAnsi="Arial"/>
          <w:sz w:val="34"/>
          <w:szCs w:val="34"/>
          <w:color w:val="auto"/>
          <w:vertAlign w:val="superscript"/>
        </w:rPr>
        <w:t>nd</w:t>
      </w:r>
      <w:r>
        <w:rPr>
          <w:rFonts w:ascii="Arial" w:cs="Arial" w:eastAsia="Arial" w:hAnsi="Arial"/>
          <w:sz w:val="21"/>
          <w:szCs w:val="21"/>
          <w:color w:val="auto"/>
        </w:rPr>
        <w:t xml:space="preserve"> Street, New York, New York immediately subsequent to the satisfaction or waiver of the conditions set forth in Articles V and VI herein (the “</w:t>
      </w:r>
      <w:r>
        <w:rPr>
          <w:rFonts w:ascii="Arial" w:cs="Arial" w:eastAsia="Arial" w:hAnsi="Arial"/>
          <w:sz w:val="21"/>
          <w:szCs w:val="21"/>
          <w:b w:val="1"/>
          <w:bCs w:val="1"/>
          <w:i w:val="1"/>
          <w:iCs w:val="1"/>
          <w:color w:val="auto"/>
        </w:rPr>
        <w:t>Closing Date</w:t>
      </w:r>
      <w:r>
        <w:rPr>
          <w:rFonts w:ascii="Arial" w:cs="Arial" w:eastAsia="Arial" w:hAnsi="Arial"/>
          <w:sz w:val="21"/>
          <w:szCs w:val="21"/>
          <w:color w:val="auto"/>
        </w:rPr>
        <w:t>”), by telephonic meeting on such date or at such other time, date or place as the Selling Shareholder and Regeneron may agree in writing.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Deliveries</w:t>
      </w:r>
      <w:r>
        <w:rPr>
          <w:rFonts w:ascii="Arial" w:cs="Arial" w:eastAsia="Arial" w:hAnsi="Arial"/>
          <w:sz w:val="22"/>
          <w:szCs w:val="22"/>
          <w:color w:val="auto"/>
        </w:rPr>
        <w:t>.</w:t>
      </w:r>
    </w:p>
    <w:p>
      <w:pPr>
        <w:spacing w:after="0" w:line="233" w:lineRule="exact"/>
        <w:rPr>
          <w:sz w:val="20"/>
          <w:szCs w:val="20"/>
          <w:color w:val="auto"/>
        </w:rPr>
      </w:pPr>
    </w:p>
    <w:p>
      <w:pPr>
        <w:ind w:right="520" w:firstLine="332"/>
        <w:spacing w:after="0" w:line="250" w:lineRule="auto"/>
        <w:tabs>
          <w:tab w:leader="none" w:pos="61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At the Closing, the Selling Shareholder shall deliver or cause to be delivered to Regeneron (collectively, the “</w:t>
      </w:r>
      <w:r>
        <w:rPr>
          <w:rFonts w:ascii="Arial" w:cs="Arial" w:eastAsia="Arial" w:hAnsi="Arial"/>
          <w:sz w:val="22"/>
          <w:szCs w:val="22"/>
          <w:b w:val="1"/>
          <w:bCs w:val="1"/>
          <w:i w:val="1"/>
          <w:iCs w:val="1"/>
          <w:color w:val="auto"/>
        </w:rPr>
        <w:t>Selling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Shareholder Closing Deliveries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9" w:name="page50"/>
    <w:bookmarkEnd w:id="49"/>
    <w:p>
      <w:pPr>
        <w:ind w:left="1300" w:right="160" w:hanging="644"/>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Sanofi Shares to Regeneron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or pursuant to such form as the transfer agent for the Common Stock shall require, free and clear of any Lien (as defined below);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completed and executed original copy of Internal Revenue Service (the “</w:t>
      </w:r>
      <w:r>
        <w:rPr>
          <w:rFonts w:ascii="Arial" w:cs="Arial" w:eastAsia="Arial" w:hAnsi="Arial"/>
          <w:sz w:val="18"/>
          <w:szCs w:val="18"/>
          <w:b w:val="1"/>
          <w:bCs w:val="1"/>
          <w:i w:val="1"/>
          <w:iCs w:val="1"/>
          <w:color w:val="auto"/>
        </w:rPr>
        <w:t>IRS</w:t>
      </w:r>
      <w:r>
        <w:rPr>
          <w:rFonts w:ascii="Arial" w:cs="Arial" w:eastAsia="Arial" w:hAnsi="Arial"/>
          <w:sz w:val="18"/>
          <w:szCs w:val="18"/>
          <w:color w:val="auto"/>
        </w:rPr>
        <w:t>”) Form W-8 BEN-E.</w:t>
      </w:r>
    </w:p>
    <w:p>
      <w:pPr>
        <w:spacing w:after="0" w:line="244" w:lineRule="exact"/>
        <w:rPr>
          <w:rFonts w:ascii="Arial" w:cs="Arial" w:eastAsia="Arial" w:hAnsi="Arial"/>
          <w:sz w:val="18"/>
          <w:szCs w:val="18"/>
          <w:color w:val="auto"/>
        </w:rPr>
      </w:pPr>
    </w:p>
    <w:p>
      <w:pPr>
        <w:jc w:val="both"/>
        <w:ind w:right="180" w:firstLine="386"/>
        <w:spacing w:after="0"/>
        <w:tabs>
          <w:tab w:leader="none" w:pos="68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At the Closing, Regeneron shall deliver, or cause to be delivered, to the Selling Shareholder the Purchase Price, payable by wire transfer of immediately available funds to an account or accounts that the Selling Shareholder shall designate in writing at least two business days prior to the Closing Date.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ind w:left="1760"/>
        <w:spacing w:after="0"/>
        <w:rPr>
          <w:sz w:val="20"/>
          <w:szCs w:val="20"/>
          <w:color w:val="auto"/>
        </w:rPr>
      </w:pPr>
      <w:r>
        <w:rPr>
          <w:rFonts w:ascii="Arial" w:cs="Arial" w:eastAsia="Arial" w:hAnsi="Arial"/>
          <w:sz w:val="22"/>
          <w:szCs w:val="22"/>
          <w:b w:val="1"/>
          <w:bCs w:val="1"/>
          <w:u w:val="single" w:color="auto"/>
          <w:color w:val="auto"/>
        </w:rPr>
        <w:t>REPRESENTATIONS AND WARRANTIES OF THE SELLING SHAREHOLDER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Selling Shareholder hereby represents and warrants to Regeneron as follows:</w:t>
      </w:r>
    </w:p>
    <w:p>
      <w:pPr>
        <w:spacing w:after="0" w:line="233" w:lineRule="exact"/>
        <w:rPr>
          <w:sz w:val="20"/>
          <w:szCs w:val="20"/>
          <w:color w:val="auto"/>
        </w:rPr>
      </w:pPr>
    </w:p>
    <w:p>
      <w:pPr>
        <w:ind w:right="280" w:firstLine="648"/>
        <w:spacing w:after="0" w:line="236"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Title to Sanofi Shares</w:t>
      </w:r>
      <w:r>
        <w:rPr>
          <w:rFonts w:ascii="Arial" w:cs="Arial" w:eastAsia="Arial" w:hAnsi="Arial"/>
          <w:sz w:val="22"/>
          <w:szCs w:val="22"/>
          <w:color w:val="auto"/>
        </w:rPr>
        <w:t>. As of the Closing, the Selling Shareholder shall own and shall deliver the Sanofi Shares, free and clear of any and all option, call, contract, commitment, mortgage, pledge, security interest, encumbrance, lien, tax, claim or charge of any kind or right of others of whatever nature, other than any arising out of, resulting from or in connection with any agreement, arrangement or understanding between Sanofi or any of its subsidiaries and Regeneron (collectively, a “</w:t>
      </w:r>
      <w:r>
        <w:rPr>
          <w:rFonts w:ascii="Arial" w:cs="Arial" w:eastAsia="Arial" w:hAnsi="Arial"/>
          <w:sz w:val="22"/>
          <w:szCs w:val="22"/>
          <w:b w:val="1"/>
          <w:bCs w:val="1"/>
          <w:i w:val="1"/>
          <w:iCs w:val="1"/>
          <w:color w:val="auto"/>
        </w:rPr>
        <w:t>Lien</w:t>
      </w:r>
      <w:r>
        <w:rPr>
          <w:rFonts w:ascii="Arial" w:cs="Arial" w:eastAsia="Arial" w:hAnsi="Arial"/>
          <w:sz w:val="22"/>
          <w:szCs w:val="22"/>
          <w:color w:val="auto"/>
        </w:rPr>
        <w:t>”).</w:t>
      </w:r>
    </w:p>
    <w:p>
      <w:pPr>
        <w:spacing w:after="0" w:line="214"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Authority Relative to this Agreement</w:t>
      </w:r>
      <w:r>
        <w:rPr>
          <w:rFonts w:ascii="Arial" w:cs="Arial" w:eastAsia="Arial" w:hAnsi="Arial"/>
          <w:sz w:val="21"/>
          <w:szCs w:val="21"/>
          <w:color w:val="auto"/>
        </w:rPr>
        <w:t>. The Selling Shareholder has the requisite corporate power and authority to execute and deliver this Agreement and to consummate the transactions contemplated hereby. The execution and delivery of this Agreement by the Selling Shareholder and the consummation by the Selling Shareholder of the transactions contemplated hereby, including the sale of the Sanofi Shares, has been duly authorized by the board of directors of Sanofi and no other corporate or stockholder proceedings on the part of the Selling Shareholder is necessary to authorize this Agreement or for the Selling Shareholder to consummate the transactions contemplated hereby. This Agreement has been duly and validly executed and delivered by the Selling Shareholder and constitutes the valid and binding obligations of the Selling Shareholder, enforceable against the Selling Shareholder in accordance with its terms, except as may be limited by bankruptcy, insolvency or other equitable remedies.</w:t>
      </w:r>
    </w:p>
    <w:p>
      <w:pPr>
        <w:spacing w:after="0" w:line="211"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Approvals</w:t>
      </w:r>
      <w:r>
        <w:rPr>
          <w:rFonts w:ascii="Arial" w:cs="Arial" w:eastAsia="Arial" w:hAnsi="Arial"/>
          <w:sz w:val="22"/>
          <w:szCs w:val="22"/>
          <w:color w:val="auto"/>
        </w:rPr>
        <w:t>. No material consent, approval, authorization or order of, or registration, qualification or filing with, any court, regulatory authority, governmental body or any other third party is required to be obtained or made by the Selling Shareholder for the execution, delivery or performance by the Selling Shareholder of this Agreement or the consummation by the Selling Shareholder of the transactions contemplated hereby.</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Receipt of Information</w:t>
      </w:r>
      <w:r>
        <w:rPr>
          <w:rFonts w:ascii="Arial" w:cs="Arial" w:eastAsia="Arial" w:hAnsi="Arial"/>
          <w:sz w:val="19"/>
          <w:szCs w:val="19"/>
          <w:color w:val="auto"/>
        </w:rPr>
        <w:t>. The Selling Shareholder has received all the information it considers necessary or appropriate for deciding whether to dispose of the Sanofi Shares. The Selling Shareholder has had an opportunity to ask questions and receive answers from Regeneron regarding the terms and conditions of Regeneron’s purchase of the Sanofi Shares and the business and financial condition of Regeneron and to obtain additional information (to the extent Regeneron possessed such information or could acquire it without unreasonable effort or expense) necessary to verify the accuracy of any information furnished to them or to which they had access. The Selling Shareholder and its counsel has also had an opportunity to participate in the diligence process related to the Secondary Offering. The Selling Shareholder has not received, or is not relying on, any representations or warranties from Regeneron, other than as provided herein.</w:t>
      </w:r>
    </w:p>
    <w:p>
      <w:pPr>
        <w:spacing w:after="0" w:line="184"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Full Disclosure</w:t>
      </w:r>
      <w:r>
        <w:rPr>
          <w:rFonts w:ascii="Arial" w:cs="Arial" w:eastAsia="Arial" w:hAnsi="Arial"/>
          <w:sz w:val="22"/>
          <w:szCs w:val="22"/>
          <w:color w:val="auto"/>
        </w:rPr>
        <w:t>. The Selling Shareholder is not aware of any fact, condition or circumstance that may materially affect the collaborations between Sanofi and Regeneron or any marketed products pursuant to such collaborations that they have not previously disclosed to Regeneron orally or in writing.</w:t>
      </w:r>
    </w:p>
    <w:p>
      <w:pPr>
        <w:spacing w:after="0" w:line="213" w:lineRule="exact"/>
        <w:rPr>
          <w:sz w:val="20"/>
          <w:szCs w:val="20"/>
          <w:color w:val="auto"/>
        </w:rPr>
      </w:pPr>
    </w:p>
    <w:p>
      <w:pPr>
        <w:ind w:right="100" w:firstLine="648"/>
        <w:spacing w:after="0" w:line="328"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Treatment of Repurchase</w:t>
      </w:r>
      <w:r>
        <w:rPr>
          <w:rFonts w:ascii="Arial" w:cs="Arial" w:eastAsia="Arial" w:hAnsi="Arial"/>
          <w:sz w:val="19"/>
          <w:szCs w:val="19"/>
          <w:color w:val="auto"/>
        </w:rPr>
        <w:t>. No portion of the Purchase Price will be treated as a dividend under Section 301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by reason of Section 302 of the Code or otherwise.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34" w:lineRule="exact"/>
        <w:rPr>
          <w:sz w:val="20"/>
          <w:szCs w:val="20"/>
          <w:color w:val="auto"/>
        </w:rPr>
      </w:pPr>
    </w:p>
    <w:p>
      <w:pPr>
        <w:ind w:left="2660"/>
        <w:spacing w:after="0"/>
        <w:rPr>
          <w:sz w:val="20"/>
          <w:szCs w:val="20"/>
          <w:color w:val="auto"/>
        </w:rPr>
      </w:pPr>
      <w:r>
        <w:rPr>
          <w:rFonts w:ascii="Arial" w:cs="Arial" w:eastAsia="Arial" w:hAnsi="Arial"/>
          <w:sz w:val="22"/>
          <w:szCs w:val="22"/>
          <w:b w:val="1"/>
          <w:bCs w:val="1"/>
          <w:u w:val="single" w:color="auto"/>
          <w:color w:val="auto"/>
        </w:rPr>
        <w:t>REPRESENTATIONS AND WARRANTIES OF REGENERON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Regeneron hereby represents and warrants to the Selling Shareholder as follows:</w:t>
      </w:r>
    </w:p>
    <w:p>
      <w:pPr>
        <w:spacing w:after="0" w:line="233"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Authority Relative to this Agreement</w:t>
      </w:r>
      <w:r>
        <w:rPr>
          <w:rFonts w:ascii="Arial" w:cs="Arial" w:eastAsia="Arial" w:hAnsi="Arial"/>
          <w:sz w:val="21"/>
          <w:szCs w:val="21"/>
          <w:color w:val="auto"/>
        </w:rPr>
        <w:t>. Regeneron has the requisite corporate power and authority to execute and deliver this Agreement and consummate the transactions contemplated hereby. The execution and delivery of this Agreement by Regeneron, and the consummation by Regeneron of the transactions contemplated hereby, including the purchase of the Sanofi Shares have been duly authorized by Regeneron’s board of directors, and no other corporate or stockholder proceedings on the part of Regeneron are necessary to authorize this Agreement or to consummate the transactions contemplated hereby. This Agreement has been duly and validly executed and delivered by Regeneron and constitutes the valid and binding obligations of Regeneron, enforceable against Regeneron in accordance with its terms, except as may be limited by bankruptcy, insolvency or other equitable remedies.</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Approvals</w:t>
      </w:r>
      <w:r>
        <w:rPr>
          <w:rFonts w:ascii="Arial" w:cs="Arial" w:eastAsia="Arial" w:hAnsi="Arial"/>
          <w:sz w:val="22"/>
          <w:szCs w:val="22"/>
          <w:color w:val="auto"/>
        </w:rPr>
        <w:t>. No material consent, approval, authorization or order of, or registration, qualification or filing with, any court, regulatory authority, governmental body or any other third party is required to be obtained or made by Regeneron for the execution, delivery or performance by Regeneron of this Agreement or the consummation by Regeneron of the transactions contemplated hereby.</w:t>
      </w:r>
    </w:p>
    <w:p>
      <w:pPr>
        <w:spacing w:after="0" w:line="21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Funds</w:t>
      </w:r>
      <w:r>
        <w:rPr>
          <w:rFonts w:ascii="Arial" w:cs="Arial" w:eastAsia="Arial" w:hAnsi="Arial"/>
          <w:sz w:val="22"/>
          <w:szCs w:val="22"/>
          <w:color w:val="auto"/>
        </w:rPr>
        <w:t>. Regeneron will have as of the Closing sufficient cash available to pay the Purchase Price to the Selling Shareholder on the terms and conditions contained herein.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ADDITIONAL AGREEMENTS</w:t>
      </w:r>
    </w:p>
    <w:p>
      <w:pPr>
        <w:spacing w:after="0" w:line="239"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Additional Agreements</w:t>
      </w:r>
      <w:r>
        <w:rPr>
          <w:rFonts w:ascii="Arial" w:cs="Arial" w:eastAsia="Arial" w:hAnsi="Arial"/>
          <w:sz w:val="22"/>
          <w:szCs w:val="22"/>
          <w:color w:val="auto"/>
        </w:rPr>
        <w:t>. The parties shall and shall cause their respective subsidiaries to take such action and execute, acknowledge and deliver such agreements, instruments and other documents as the other party may reasonably require from time to time in order to carry out the purposes of this Agreement.</w:t>
      </w:r>
    </w:p>
    <w:p>
      <w:pPr>
        <w:spacing w:after="0" w:line="213"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Public Announcements</w:t>
      </w:r>
      <w:r>
        <w:rPr>
          <w:rFonts w:ascii="Arial" w:cs="Arial" w:eastAsia="Arial" w:hAnsi="Arial"/>
          <w:sz w:val="22"/>
          <w:szCs w:val="22"/>
          <w:color w:val="auto"/>
        </w:rPr>
        <w:t>. Except as may be required by applicable law, neither party hereto shall make any public announcements or otherwise communicate with any news media with respect to this Agreement or any of the transactions contemplated hereby (a “</w:t>
      </w:r>
      <w:r>
        <w:rPr>
          <w:rFonts w:ascii="Arial" w:cs="Arial" w:eastAsia="Arial" w:hAnsi="Arial"/>
          <w:sz w:val="22"/>
          <w:szCs w:val="22"/>
          <w:b w:val="1"/>
          <w:bCs w:val="1"/>
          <w:i w:val="1"/>
          <w:iCs w:val="1"/>
          <w:color w:val="auto"/>
        </w:rPr>
        <w:t>Public Announcement</w:t>
      </w:r>
      <w:r>
        <w:rPr>
          <w:rFonts w:ascii="Arial" w:cs="Arial" w:eastAsia="Arial" w:hAnsi="Arial"/>
          <w:sz w:val="22"/>
          <w:szCs w:val="22"/>
          <w:color w:val="auto"/>
        </w:rPr>
        <w:t>”), without prior consultation with the other party as to the timing and contents of any such announcement or communications; provided, however, that nothing contained herein shall prevent any party from promptly making any filings with any governmental entity (including, for the avoidance of doubt, the U.S. Securities and Exchange Commission) or disclosures with the stock exchange, if any, on which such party’s capital stock is listed, as may, in its judgment, be required in connection with the execution and delivery of this Agreement or the consummation of the transactions contemplated hereby.</w:t>
      </w:r>
    </w:p>
    <w:p>
      <w:pPr>
        <w:spacing w:after="0" w:line="214"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Withholding</w:t>
      </w:r>
      <w:r>
        <w:rPr>
          <w:rFonts w:ascii="Arial" w:cs="Arial" w:eastAsia="Arial" w:hAnsi="Arial"/>
          <w:sz w:val="19"/>
          <w:szCs w:val="19"/>
          <w:color w:val="auto"/>
        </w:rPr>
        <w:t>. Regeneron shall pay the Purchase Price to the Selling Shareholder, free and clear of, and without reduction or withholding for, any taxes. The Selling Shareholder shall indemnify Regeneron against any and all taxes required to be deducted or withheld from the Purchase Price for any reason, including, without limitation, the treatment of all or any portion of the Purchase Price as a distribution under Sections 302(d) and 301 of the Code (and any and all related losses, claims, liabilities, penalties, interest, costs, and expenses incurred by Regeneron as a result of Regeneron’s failure to deduct or withhold any such amounts). In the case of any written claim or written challenge by the IRS or any other governmental authority that deduction and withholding from the Purchase Price are or were required (a “</w:t>
      </w:r>
      <w:r>
        <w:rPr>
          <w:rFonts w:ascii="Arial" w:cs="Arial" w:eastAsia="Arial" w:hAnsi="Arial"/>
          <w:sz w:val="19"/>
          <w:szCs w:val="19"/>
          <w:b w:val="1"/>
          <w:bCs w:val="1"/>
          <w:i w:val="1"/>
          <w:iCs w:val="1"/>
          <w:color w:val="auto"/>
        </w:rPr>
        <w:t>Tax Claim</w:t>
      </w:r>
      <w:r>
        <w:rPr>
          <w:rFonts w:ascii="Arial" w:cs="Arial" w:eastAsia="Arial" w:hAnsi="Arial"/>
          <w:sz w:val="19"/>
          <w:szCs w:val="19"/>
          <w:color w:val="auto"/>
        </w:rPr>
        <w:t>”), Regeneron (i) shall provide the Selling Shareholder with written notice of such Tax Claim, (ii) shall consult with the Selling Shareholder regarding any challenge or defense of such Tax Claim and shall offer the Selling Shareholder an opportunity to comment (and shall consider in good faith any such comments) before submitting any written materials prepared or furnished in connection with such Tax Claim, and (iii) shall not settle or compromise any such Tax Claim without the prior written consent of the Selling Shareholder, which consent shall not be unreasonably withheld, conditioned or delayed. Notwithstanding the foregoing, the parties hereto agree that, under applicable law as of the date hereof and assuming the accuracy of the representation in Section 2.6 and the delivery of the certificate required by Section 1.3(a)(ii), no deduction or withholding for any taxes are required with respect to the payment of the Purchase Price, and the parties further agree that neither party shall take a contrary position for any purpose absent either a relevant change in tax law or a final determination (within the meaning of Section 1313(a) of the Code) to the contrary.</w:t>
      </w:r>
    </w:p>
    <w:p>
      <w:pPr>
        <w:sectPr>
          <w:pgSz w:w="11900" w:h="16838" w:orient="portrait"/>
          <w:cols w:equalWidth="0" w:num="1">
            <w:col w:w="11240"/>
          </w:cols>
          <w:pgMar w:left="320" w:top="112"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CONDITIONS TO CLOSING OF REGENERON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obligation of Regeneron to purchase the Sanofi Shares at the Closing is subject to the fulfillment on or prior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Closing of each of the following conditions:</w:t>
      </w:r>
    </w:p>
    <w:p>
      <w:pPr>
        <w:spacing w:after="0" w:line="215" w:lineRule="exact"/>
        <w:rPr>
          <w:sz w:val="20"/>
          <w:szCs w:val="20"/>
          <w:color w:val="auto"/>
        </w:rPr>
      </w:pPr>
    </w:p>
    <w:p>
      <w:pPr>
        <w:ind w:right="80" w:firstLine="648"/>
        <w:spacing w:after="0" w:line="274"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representation and warranty made by the Selling Shareholder in Article II above shall be true and correct on and as of the Closing Date as though made as of the Closing Date.</w:t>
      </w:r>
    </w:p>
    <w:p>
      <w:pPr>
        <w:spacing w:after="0" w:line="178" w:lineRule="exact"/>
        <w:rPr>
          <w:sz w:val="20"/>
          <w:szCs w:val="20"/>
          <w:color w:val="auto"/>
        </w:rPr>
      </w:pPr>
    </w:p>
    <w:p>
      <w:pPr>
        <w:jc w:val="both"/>
        <w:ind w:right="480" w:firstLine="648"/>
        <w:spacing w:after="0"/>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Performance</w:t>
      </w:r>
      <w:r>
        <w:rPr>
          <w:rFonts w:ascii="Arial" w:cs="Arial" w:eastAsia="Arial" w:hAnsi="Arial"/>
          <w:sz w:val="22"/>
          <w:szCs w:val="22"/>
          <w:color w:val="auto"/>
        </w:rPr>
        <w:t>. All covenants, agreements and conditions contained in this Agreement to be performed or complied with by the Selling Shareholder on or prior to the Closing Date shall have been performed or complied with by the Selling Shareholder in all material respects.</w:t>
      </w:r>
    </w:p>
    <w:p>
      <w:pPr>
        <w:spacing w:after="0" w:line="21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Closing Certificate</w:t>
      </w:r>
      <w:r>
        <w:rPr>
          <w:rFonts w:ascii="Arial" w:cs="Arial" w:eastAsia="Arial" w:hAnsi="Arial"/>
          <w:sz w:val="22"/>
          <w:szCs w:val="22"/>
          <w:color w:val="auto"/>
        </w:rPr>
        <w:t>. The Selling Shareholder shall have delivered to Regeneron a certificate, dated as of the Closing Date and signed by an authorized signatory of the Selling Shareholder, certifying to the effect that the conditions set forth in Sections 5.1 and 5.2 have been satisfied.</w:t>
      </w:r>
    </w:p>
    <w:p>
      <w:pPr>
        <w:spacing w:after="0" w:line="213"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Certificates and Documents</w:t>
      </w:r>
      <w:r>
        <w:rPr>
          <w:rFonts w:ascii="Arial" w:cs="Arial" w:eastAsia="Arial" w:hAnsi="Arial"/>
          <w:sz w:val="22"/>
          <w:szCs w:val="22"/>
          <w:color w:val="auto"/>
        </w:rPr>
        <w:t>. The Selling Shareholder shall have delivered at or prior to the Closing to Regeneron or its designee the Selling Shareholder Closing Deliveries.</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Completion of Secondary Offering</w:t>
      </w:r>
      <w:r>
        <w:rPr>
          <w:rFonts w:ascii="Arial" w:cs="Arial" w:eastAsia="Arial" w:hAnsi="Arial"/>
          <w:sz w:val="19"/>
          <w:szCs w:val="19"/>
          <w:color w:val="auto"/>
        </w:rPr>
        <w:t>. The Secondary Offering shall have been consummated in accordance with the terms and conditions of any underwriting or purchase agreement entered into in connection therewith such that the number of shares of Common Stock held by the Selling Shareholder and its affiliates following the Secondary Offering and the Repurchase Transaction would be no greater than 400,000 shares of Common Stock plus any shares of Common Stock retained by the Selling Shareholder as a result of the underwriters for the Secondary Offering not exercising their overallotment option to purchase additional shares of Common Stock in full. For greater certainty, all references to the consummation of the Secondary Offering contained herein do not require the exercise of any option granted to the underwriters for such offering.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CONDITIONS TO CLOSING OF THE SELLING SHAREHOLDER</w:t>
      </w:r>
    </w:p>
    <w:p>
      <w:pPr>
        <w:spacing w:after="0" w:line="23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The obligation of the Selling Shareholder to sell the Sanofi Shares to Regeneron at the Closing is subject to the fulfillment on or prior to the Closing of each of the following conditions:</w:t>
      </w:r>
    </w:p>
    <w:p>
      <w:pPr>
        <w:spacing w:after="0" w:line="202"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representation and warranty made by Regeneron in Article III above shall be true and correct on and as of the Closing Date as though made as of the Closing Date.</w:t>
      </w:r>
    </w:p>
    <w:p>
      <w:pPr>
        <w:spacing w:after="0" w:line="202" w:lineRule="exact"/>
        <w:rPr>
          <w:sz w:val="20"/>
          <w:szCs w:val="20"/>
          <w:color w:val="auto"/>
        </w:rPr>
      </w:pPr>
    </w:p>
    <w:p>
      <w:pPr>
        <w:ind w:right="400" w:firstLine="648"/>
        <w:spacing w:after="0"/>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Performance</w:t>
      </w:r>
      <w:r>
        <w:rPr>
          <w:rFonts w:ascii="Arial" w:cs="Arial" w:eastAsia="Arial" w:hAnsi="Arial"/>
          <w:sz w:val="22"/>
          <w:szCs w:val="22"/>
          <w:color w:val="auto"/>
        </w:rPr>
        <w:t>. All covenants, agreements and conditions contained in this Agreement to be performed or complied with by Regeneron on or prior to the Closing Date shall have been performed or complied with by Regeneron in all material respects.</w:t>
      </w:r>
    </w:p>
    <w:p>
      <w:pPr>
        <w:spacing w:after="0" w:line="21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Certificate</w:t>
      </w:r>
      <w:r>
        <w:rPr>
          <w:rFonts w:ascii="Arial" w:cs="Arial" w:eastAsia="Arial" w:hAnsi="Arial"/>
          <w:sz w:val="22"/>
          <w:szCs w:val="22"/>
          <w:color w:val="auto"/>
        </w:rPr>
        <w:t>. Regeneron shall have delivered to the Selling Shareholder a certificate, dated as of the Closing Date and signed by an authorized signatory of Regeneron, certifying to the effect that the conditions set forth in Sections 6.1 and 6.2 have been satisfied.</w:t>
      </w:r>
    </w:p>
    <w:p>
      <w:pPr>
        <w:spacing w:after="0" w:line="213"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Purchase Price</w:t>
      </w:r>
      <w:r>
        <w:rPr>
          <w:rFonts w:ascii="Arial" w:cs="Arial" w:eastAsia="Arial" w:hAnsi="Arial"/>
          <w:sz w:val="22"/>
          <w:szCs w:val="22"/>
          <w:color w:val="auto"/>
        </w:rPr>
        <w:t>. Regeneron shall have delivered to the Selling Shareholder or its designee or designees the Purchase Price, payable by wire transfer of immediately available funds to the account or accounts that the Selling Shareholder shall designate at least two business days prior to the Closing Date.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ind w:right="20" w:firstLine="648"/>
        <w:spacing w:after="0" w:line="277"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Completion of Secondary Offering</w:t>
      </w:r>
      <w:r>
        <w:rPr>
          <w:rFonts w:ascii="Arial" w:cs="Arial" w:eastAsia="Arial" w:hAnsi="Arial"/>
          <w:sz w:val="19"/>
          <w:szCs w:val="19"/>
          <w:color w:val="auto"/>
        </w:rPr>
        <w:t>. The Secondary Offering shall have been consummated in accordance with the terms and conditions of any underwriting or purchase agreement entered into in connection therewith such that the number of shares of Common Stock held by the Selling Shareholder and its affiliates following the Secondary Offering and the Repurchase Transaction would be no greater than 400,000 shares of Common Stock plus any shares of Common Stock retained by the Selling Shareholder as a result of the underwriters for the Secondary Offering not exercising their overallotment option to purchase additional shares of Common Stock in full. For greater certainty, all references to the consummation of the Secondary Offering contained herein do not require the exercise of any option granted to the underwriters for such offering.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39"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This Agreement may be terminated prior to the Closing as follows: (i) at any time on or prior to the Closing, by mutual written consent of the Selling Shareholder and Regeneron or (ii) at the election of the Selling Shareholder or Regeneron by written notice to the other party hereto after 5:00 p.m., New York time, on June 5, 2020, if the Closing shall not have occurred, unless such date is extended by the mutual written consent of the Selling Shareholder and Regeneron; </w:t>
      </w:r>
      <w:r>
        <w:rPr>
          <w:rFonts w:ascii="Arial" w:cs="Arial" w:eastAsia="Arial" w:hAnsi="Arial"/>
          <w:sz w:val="19"/>
          <w:szCs w:val="19"/>
          <w:i w:val="1"/>
          <w:iCs w:val="1"/>
          <w:color w:val="auto"/>
        </w:rPr>
        <w:t>provided</w:t>
      </w:r>
      <w:r>
        <w:rPr>
          <w:rFonts w:ascii="Arial" w:cs="Arial" w:eastAsia="Arial" w:hAnsi="Arial"/>
          <w:sz w:val="19"/>
          <w:szCs w:val="19"/>
          <w:color w:val="auto"/>
        </w:rPr>
        <w:t>, however, that the right to terminate this Agreement pursuant to this clause (ii) shall not be available to a party whose failure or whose subsidiaries’ or affiliate’s failure to perform or observe in any material respect any of its obligations under this Agreement in any manner shall have been the principal cause of or resulted in the failure of the Closing to occur on or before such date.</w:t>
      </w:r>
    </w:p>
    <w:p>
      <w:pPr>
        <w:spacing w:after="0" w:line="179"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Amendment and Waiver</w:t>
      </w:r>
      <w:r>
        <w:rPr>
          <w:rFonts w:ascii="Arial" w:cs="Arial" w:eastAsia="Arial" w:hAnsi="Arial"/>
          <w:sz w:val="22"/>
          <w:szCs w:val="22"/>
          <w:color w:val="auto"/>
        </w:rPr>
        <w:t>. This Agreement may not be amended except by an instrument in writing signed on behalf of each of the parties hereto.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212"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of the other provisions hereof.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in any other jurisdiction and a suitable and equitable provision shall be substituted therefor in order to carry out, so far as may be valid and enforceable, the intent and purpose of such invalid or unenforceable provision.</w:t>
      </w:r>
    </w:p>
    <w:p>
      <w:pPr>
        <w:spacing w:after="0" w:line="17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Entire Agreement</w:t>
      </w:r>
      <w:r>
        <w:rPr>
          <w:rFonts w:ascii="Arial" w:cs="Arial" w:eastAsia="Arial" w:hAnsi="Arial"/>
          <w:sz w:val="19"/>
          <w:szCs w:val="19"/>
          <w:color w:val="auto"/>
        </w:rPr>
        <w:t>. Except as otherwise expressly set forth herein, this Agreement, together with the several agreements and other documents and instruments referred to herein or therein or annexed hereto and executed contemporaneously herewith, embody the complete agreement and understanding among the parties hereto with respect to the subject matter hereof and supersede and preempt any prior understandings, agreements or representations by or among the parties, written or oral, that may have related to the subject matter hereof in any way.</w:t>
      </w:r>
    </w:p>
    <w:p>
      <w:pPr>
        <w:spacing w:after="0" w:line="174" w:lineRule="exact"/>
        <w:rPr>
          <w:sz w:val="20"/>
          <w:szCs w:val="20"/>
          <w:color w:val="auto"/>
        </w:rPr>
      </w:pPr>
    </w:p>
    <w:p>
      <w:pPr>
        <w:ind w:right="300" w:firstLine="648"/>
        <w:spacing w:after="0" w:line="328"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Neither this Agreement nor any of the rights or obligations of any party under this Agreement shall be assigned, in whole or in part by any party without the prior written consent of the other parties.</w:t>
      </w:r>
    </w:p>
    <w:p>
      <w:pPr>
        <w:spacing w:after="0" w:line="132"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 xml:space="preserve">Section 7.6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each of which shall be an original and all of which taken together shall constitute one and the same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77" w:lineRule="auto"/>
        <w:tabs>
          <w:tab w:leader="none" w:pos="942"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party hereto acknowledges that monetary damages would not be an adequate remedy in the event that each and every one of the covenants or agreements in this Agreement are not performed in accordance with their terms, and it is therefore agreed that, in addition to and without limiting any other remedy or right it may have, the non-breaching party shall have the right to an injunction, temporary restraining order or other equitable relief in any court of competent jurisdiction enjoining any such breach and enforcing specifically each and every one of the terms and provisions hereof. Each party hereto agrees not to oppose the granting of such relief in the event a court determines that such a breach has occurred, and to waive any requirement for the securing or posting of any bond in connection with such remedy.</w:t>
      </w:r>
    </w:p>
    <w:p>
      <w:pPr>
        <w:sectPr>
          <w:pgSz w:w="11900" w:h="16838" w:orient="portrait"/>
          <w:cols w:equalWidth="0" w:num="1">
            <w:col w:w="11240"/>
          </w:cols>
          <w:pgMar w:left="320" w:top="118" w:right="3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3" w:name="page54"/>
    <w:bookmarkEnd w:id="53"/>
    <w:p>
      <w:pPr>
        <w:ind w:right="140" w:firstLine="656"/>
        <w:spacing w:after="0" w:line="258" w:lineRule="auto"/>
        <w:tabs>
          <w:tab w:leader="none" w:pos="954" w:val="left"/>
        </w:tabs>
        <w:numPr>
          <w:ilvl w:val="0"/>
          <w:numId w:val="52"/>
        </w:numPr>
        <w:rPr>
          <w:rFonts w:ascii="Arial" w:cs="Arial" w:eastAsia="Arial" w:hAnsi="Arial"/>
          <w:sz w:val="21"/>
          <w:szCs w:val="21"/>
          <w:color w:val="auto"/>
        </w:rPr>
      </w:pPr>
      <w:r>
        <w:rPr>
          <w:rFonts w:ascii="Arial" w:cs="Arial" w:eastAsia="Arial" w:hAnsi="Arial"/>
          <w:sz w:val="21"/>
          <w:szCs w:val="21"/>
          <w:color w:val="auto"/>
        </w:rPr>
        <w:t>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spacing w:after="0" w:line="194"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hereunder shall be in writing and shall be deemed given if delivered personally, sent by electronic mail, telecopied (upon telephonic confirmation of receipt), on the first business day following the date of dispatch if delivered by a recognized next day courier service, or on the third business day following the date of mailing if delivered by registered or certified mail, return receipt requested, postage prepaid. All notices hereunder shall be delivered as set forth below, or pursuant to such other instructions as may be designated in writing by the party to receive such notice.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If to Regeneron: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Regeneron Pharmaceuticals, Inc.</w:t>
      </w:r>
    </w:p>
    <w:p>
      <w:pPr>
        <w:spacing w:after="0" w:line="238" w:lineRule="auto"/>
        <w:rPr>
          <w:sz w:val="20"/>
          <w:szCs w:val="20"/>
          <w:color w:val="auto"/>
        </w:rPr>
      </w:pPr>
      <w:r>
        <w:rPr>
          <w:rFonts w:ascii="Arial" w:cs="Arial" w:eastAsia="Arial" w:hAnsi="Arial"/>
          <w:sz w:val="22"/>
          <w:szCs w:val="22"/>
          <w:color w:val="auto"/>
        </w:rPr>
        <w:t>777 Old Saw Mill River Road</w:t>
      </w:r>
    </w:p>
    <w:p>
      <w:pPr>
        <w:spacing w:after="0" w:line="230" w:lineRule="auto"/>
        <w:rPr>
          <w:sz w:val="20"/>
          <w:szCs w:val="20"/>
          <w:color w:val="auto"/>
        </w:rPr>
      </w:pPr>
      <w:r>
        <w:rPr>
          <w:rFonts w:ascii="Arial" w:cs="Arial" w:eastAsia="Arial" w:hAnsi="Arial"/>
          <w:sz w:val="22"/>
          <w:szCs w:val="22"/>
          <w:color w:val="auto"/>
        </w:rPr>
        <w:t>Tarrytown, New York 10591</w:t>
      </w:r>
    </w:p>
    <w:p>
      <w:pPr>
        <w:spacing w:after="0" w:line="231" w:lineRule="auto"/>
        <w:rPr>
          <w:sz w:val="20"/>
          <w:szCs w:val="20"/>
          <w:color w:val="auto"/>
        </w:rPr>
      </w:pPr>
      <w:r>
        <w:rPr>
          <w:rFonts w:ascii="Arial" w:cs="Arial" w:eastAsia="Arial" w:hAnsi="Arial"/>
          <w:sz w:val="22"/>
          <w:szCs w:val="22"/>
          <w:color w:val="auto"/>
        </w:rPr>
        <w:t>Attention: Joseph J. LaRosa, Joseph.LaRosa@regeneron.com</w:t>
      </w:r>
    </w:p>
    <w:p>
      <w:pPr>
        <w:spacing w:after="0"/>
        <w:rPr>
          <w:sz w:val="20"/>
          <w:szCs w:val="20"/>
          <w:color w:val="auto"/>
        </w:rPr>
      </w:pPr>
      <w:r>
        <w:rPr>
          <w:rFonts w:ascii="Arial" w:cs="Arial" w:eastAsia="Arial" w:hAnsi="Arial"/>
          <w:sz w:val="22"/>
          <w:szCs w:val="22"/>
          <w:color w:val="auto"/>
        </w:rPr>
        <w:t>Executive Vice President, General Counsel and 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Wachtell, Lipton, Rosen &amp; Katz, LLP</w:t>
      </w:r>
    </w:p>
    <w:p>
      <w:pPr>
        <w:spacing w:after="0" w:line="180" w:lineRule="auto"/>
        <w:rPr>
          <w:sz w:val="20"/>
          <w:szCs w:val="20"/>
          <w:color w:val="auto"/>
        </w:rPr>
      </w:pPr>
      <w:r>
        <w:rPr>
          <w:rFonts w:ascii="Arial" w:cs="Arial" w:eastAsia="Arial" w:hAnsi="Arial"/>
          <w:sz w:val="19"/>
          <w:szCs w:val="19"/>
          <w:color w:val="auto"/>
        </w:rPr>
        <w:t>51 West 52</w:t>
      </w:r>
      <w:r>
        <w:rPr>
          <w:rFonts w:ascii="Arial" w:cs="Arial" w:eastAsia="Arial" w:hAnsi="Arial"/>
          <w:sz w:val="29"/>
          <w:szCs w:val="29"/>
          <w:color w:val="auto"/>
          <w:vertAlign w:val="superscript"/>
        </w:rPr>
        <w:t>nd</w:t>
      </w:r>
      <w:r>
        <w:rPr>
          <w:rFonts w:ascii="Arial" w:cs="Arial" w:eastAsia="Arial" w:hAnsi="Arial"/>
          <w:sz w:val="19"/>
          <w:szCs w:val="19"/>
          <w:color w:val="auto"/>
        </w:rPr>
        <w:t xml:space="preserve"> Street</w:t>
      </w:r>
    </w:p>
    <w:p>
      <w:pPr>
        <w:spacing w:after="0" w:line="236" w:lineRule="auto"/>
        <w:rPr>
          <w:sz w:val="20"/>
          <w:szCs w:val="20"/>
          <w:color w:val="auto"/>
        </w:rPr>
      </w:pPr>
      <w:r>
        <w:rPr>
          <w:rFonts w:ascii="Arial" w:cs="Arial" w:eastAsia="Arial" w:hAnsi="Arial"/>
          <w:sz w:val="22"/>
          <w:szCs w:val="22"/>
          <w:color w:val="auto"/>
        </w:rPr>
        <w:t>New York, NY 10019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R. Brownstein, ARBrownstein@wlrk.com</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Elina Tetelbaum, ETetelbaum@wlrk.com</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If to the Selling Shareholder: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Sanofi</w:t>
      </w:r>
    </w:p>
    <w:p>
      <w:pPr>
        <w:spacing w:after="0" w:line="238" w:lineRule="auto"/>
        <w:rPr>
          <w:sz w:val="20"/>
          <w:szCs w:val="20"/>
          <w:color w:val="auto"/>
        </w:rPr>
      </w:pPr>
      <w:r>
        <w:rPr>
          <w:rFonts w:ascii="Arial" w:cs="Arial" w:eastAsia="Arial" w:hAnsi="Arial"/>
          <w:sz w:val="22"/>
          <w:szCs w:val="22"/>
          <w:color w:val="auto"/>
        </w:rPr>
        <w:t>54, rue La Boétie</w:t>
      </w:r>
    </w:p>
    <w:p>
      <w:pPr>
        <w:spacing w:after="0" w:line="230" w:lineRule="auto"/>
        <w:rPr>
          <w:sz w:val="20"/>
          <w:szCs w:val="20"/>
          <w:color w:val="auto"/>
        </w:rPr>
      </w:pPr>
      <w:r>
        <w:rPr>
          <w:rFonts w:ascii="Arial" w:cs="Arial" w:eastAsia="Arial" w:hAnsi="Arial"/>
          <w:sz w:val="22"/>
          <w:szCs w:val="22"/>
          <w:color w:val="auto"/>
        </w:rPr>
        <w:t>75008 Paris – France</w:t>
      </w:r>
    </w:p>
    <w:p>
      <w:pPr>
        <w:spacing w:after="0" w:line="236" w:lineRule="auto"/>
        <w:rPr>
          <w:sz w:val="20"/>
          <w:szCs w:val="20"/>
          <w:color w:val="auto"/>
        </w:rPr>
      </w:pPr>
      <w:r>
        <w:rPr>
          <w:rFonts w:ascii="Arial" w:cs="Arial" w:eastAsia="Arial" w:hAnsi="Arial"/>
          <w:sz w:val="22"/>
          <w:szCs w:val="22"/>
          <w:color w:val="auto"/>
        </w:rPr>
        <w:t>Email: global_generalcounsel@sanofi.com</w:t>
      </w:r>
    </w:p>
    <w:p>
      <w:pPr>
        <w:spacing w:after="0"/>
        <w:rPr>
          <w:sz w:val="20"/>
          <w:szCs w:val="20"/>
          <w:color w:val="auto"/>
        </w:rPr>
      </w:pPr>
      <w:r>
        <w:rPr>
          <w:rFonts w:ascii="Arial" w:cs="Arial" w:eastAsia="Arial" w:hAnsi="Arial"/>
          <w:sz w:val="18"/>
          <w:szCs w:val="18"/>
          <w:color w:val="auto"/>
        </w:rPr>
        <w:t>Attention: General Counsel, karen.linehan@sanofi.com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Weil, Gotshal &amp; Manges</w:t>
      </w:r>
    </w:p>
    <w:p>
      <w:pPr>
        <w:spacing w:after="0" w:line="238" w:lineRule="auto"/>
        <w:rPr>
          <w:sz w:val="20"/>
          <w:szCs w:val="20"/>
          <w:color w:val="auto"/>
        </w:rPr>
      </w:pPr>
      <w:r>
        <w:rPr>
          <w:rFonts w:ascii="Arial" w:cs="Arial" w:eastAsia="Arial" w:hAnsi="Arial"/>
          <w:sz w:val="22"/>
          <w:szCs w:val="22"/>
          <w:color w:val="auto"/>
        </w:rPr>
        <w:t>767 5th Avenue</w:t>
      </w:r>
    </w:p>
    <w:p>
      <w:pPr>
        <w:spacing w:after="0" w:line="235" w:lineRule="auto"/>
        <w:rPr>
          <w:sz w:val="20"/>
          <w:szCs w:val="20"/>
          <w:color w:val="auto"/>
        </w:rPr>
      </w:pPr>
      <w:r>
        <w:rPr>
          <w:rFonts w:ascii="Arial" w:cs="Arial" w:eastAsia="Arial" w:hAnsi="Arial"/>
          <w:sz w:val="22"/>
          <w:szCs w:val="22"/>
          <w:color w:val="auto"/>
        </w:rPr>
        <w:t>New York, NY 10153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J. Aiello, michael.aiello@weil.com</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Alexander D. Lynch, alex.lynch@weil.com</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Eoghan P. Keenan, eoghan.keenan@weil.com</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Governing Law; Consent to Jurisdiction</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70" w:lineRule="auto"/>
        <w:tabs>
          <w:tab w:leader="none" w:pos="942"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in accordance with the laws of the State of New York, without regard to the conflict of laws principles thereof that would require the application of the law of any other jurisdiction. The parties irrevocably and unconditionally consent to submit to the exclusive jurisdiction of the United States District Court for the Southern District of New York solely and specifically for any action, proceeding or investigation in any court or before any governmental authority (“</w:t>
      </w:r>
      <w:r>
        <w:rPr>
          <w:rFonts w:ascii="Arial" w:cs="Arial" w:eastAsia="Arial" w:hAnsi="Arial"/>
          <w:sz w:val="19"/>
          <w:szCs w:val="19"/>
          <w:b w:val="1"/>
          <w:bCs w:val="1"/>
          <w:i w:val="1"/>
          <w:iCs w:val="1"/>
          <w:color w:val="auto"/>
        </w:rPr>
        <w:t>Litigation</w:t>
      </w:r>
      <w:r>
        <w:rPr>
          <w:rFonts w:ascii="Arial" w:cs="Arial" w:eastAsia="Arial" w:hAnsi="Arial"/>
          <w:sz w:val="19"/>
          <w:szCs w:val="19"/>
          <w:color w:val="auto"/>
        </w:rPr>
        <w:t>”) arising out of or relating to this Agreement and the transactions contemplated hereby. Each of the parties hereto hereby irrevocably and unconditionally waives, and agrees not to assert, by way of motion, as a defense, counterclaim or otherwise, in any such Litigation, the defense of sovereign immunity, any claim that it is not personally subject to the jurisdiction of the aforesaid courts for any reason other than the failure to serve process in accordance with this Section 7.9,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Litigation in any such court is brought in an inconvenient forum, that the venue of such Litigation is improper, or that this Agreement, or the subject matter hereof, may not be enforced in or by such courts and further irrevocably waives, to the fullest extent permitted by applicable law, the benefit of any defense that would hinder, fetter or delay the levy, execution or collection of any amount to which the party is entitled pursuant to the final judgment of any court having jurisdiction. Each of the parties irrevocably and unconditionally waives, to the fullest extent permitted by applicable law, any and all rights to trial by jury in connection with any Litigation arising out of or relating to this Agreement or the transactions contemplated hereby.</w:t>
      </w:r>
    </w:p>
    <w:p>
      <w:pPr>
        <w:sectPr>
          <w:pgSz w:w="11900" w:h="16838" w:orient="portrait"/>
          <w:cols w:equalWidth="0" w:num="1">
            <w:col w:w="11240"/>
          </w:cols>
          <w:pgMar w:left="320" w:top="118" w:right="339"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426" w:gutter="0" w:footer="0" w:header="0"/>
          <w:type w:val="continuous"/>
        </w:sectPr>
      </w:pPr>
    </w:p>
    <w:bookmarkStart w:id="54" w:name="page55"/>
    <w:bookmarkEnd w:id="54"/>
    <w:p>
      <w:pPr>
        <w:jc w:val="both"/>
        <w:ind w:right="220" w:firstLine="656"/>
        <w:spacing w:after="0" w:line="287" w:lineRule="auto"/>
        <w:tabs>
          <w:tab w:leader="none" w:pos="954"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Each of the parties expressly acknowledges that the foregoing waiver is intended to be irrevocable under the laws of the State of New York and of the United States of America;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consent by the Selling Shareholder and Regeneron to jurisdiction and service contained in this Section 7.9 is solely for the purpose referred to in this Section 7.9 and shall not be deemed to be a general submission to said courts or in the State of New York other than for such purpose.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u w:val="single" w:color="auto"/>
          <w:color w:val="auto"/>
        </w:rPr>
        <w:t>Interpretation</w:t>
      </w:r>
      <w:r>
        <w:rPr>
          <w:rFonts w:ascii="Arial" w:cs="Arial" w:eastAsia="Arial" w:hAnsi="Arial"/>
          <w:sz w:val="21"/>
          <w:szCs w:val="21"/>
          <w:color w:val="auto"/>
        </w:rPr>
        <w:t>.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Pages Follow</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line="251" w:lineRule="auto"/>
        <w:rPr>
          <w:sz w:val="20"/>
          <w:szCs w:val="20"/>
          <w:color w:val="auto"/>
        </w:rPr>
      </w:pPr>
      <w:r>
        <w:rPr>
          <w:rFonts w:ascii="Arial" w:cs="Arial" w:eastAsia="Arial" w:hAnsi="Arial"/>
          <w:sz w:val="22"/>
          <w:szCs w:val="22"/>
          <w:color w:val="auto"/>
        </w:rPr>
        <w:t>IN WITNESS WHEREOF, the parties hereto have caused this Stock Repurchase Agreement to be duly executed and delivered as of the date first above written.</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Karen Linehan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Executive Vice President, Legal Affairs and General Counsel</w:t>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Robert E. Landry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  Executive Vice President, Finance and Chief Financial Officer</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Stock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[Transfer of Stock Ownership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283210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2"/>
          <w:szCs w:val="22"/>
          <w:b w:val="1"/>
          <w:bCs w:val="1"/>
          <w:color w:val="auto"/>
        </w:rPr>
        <w:t>STOCK POWER</w:t>
      </w:r>
    </w:p>
    <w:p>
      <w:pPr>
        <w:spacing w:after="0" w:line="234" w:lineRule="exact"/>
        <w:rPr>
          <w:sz w:val="20"/>
          <w:szCs w:val="20"/>
          <w:color w:val="auto"/>
        </w:rPr>
      </w:pPr>
    </w:p>
    <w:p>
      <w:pPr>
        <w:ind w:left="260"/>
        <w:spacing w:after="0"/>
        <w:tabs>
          <w:tab w:leader="none" w:pos="1080" w:val="left"/>
          <w:tab w:leader="none" w:pos="2200" w:val="left"/>
          <w:tab w:leader="none" w:pos="3780" w:val="left"/>
          <w:tab w:leader="none" w:pos="4940" w:val="left"/>
          <w:tab w:leader="none" w:pos="5600" w:val="left"/>
          <w:tab w:leader="none" w:pos="6860" w:val="left"/>
          <w:tab w:leader="none" w:pos="8140" w:val="left"/>
          <w:tab w:leader="none" w:pos="9000" w:val="left"/>
          <w:tab w:leader="none" w:pos="10620" w:val="left"/>
        </w:tabs>
        <w:rPr>
          <w:sz w:val="20"/>
          <w:szCs w:val="20"/>
          <w:color w:val="auto"/>
        </w:rPr>
      </w:pPr>
      <w:r>
        <w:rPr>
          <w:rFonts w:ascii="Arial" w:cs="Arial" w:eastAsia="Arial" w:hAnsi="Arial"/>
          <w:sz w:val="22"/>
          <w:szCs w:val="22"/>
          <w:b w:val="1"/>
          <w:bCs w:val="1"/>
          <w:color w:val="auto"/>
        </w:rPr>
        <w:t>FOR</w:t>
      </w:r>
      <w:r>
        <w:rPr>
          <w:sz w:val="20"/>
          <w:szCs w:val="20"/>
          <w:color w:val="auto"/>
        </w:rPr>
        <w:tab/>
      </w:r>
      <w:r>
        <w:rPr>
          <w:rFonts w:ascii="Arial" w:cs="Arial" w:eastAsia="Arial" w:hAnsi="Arial"/>
          <w:sz w:val="22"/>
          <w:szCs w:val="22"/>
          <w:b w:val="1"/>
          <w:bCs w:val="1"/>
          <w:color w:val="auto"/>
        </w:rPr>
        <w:t>VALUE</w:t>
      </w:r>
      <w:r>
        <w:rPr>
          <w:sz w:val="20"/>
          <w:szCs w:val="20"/>
          <w:color w:val="auto"/>
        </w:rPr>
        <w:tab/>
      </w:r>
      <w:r>
        <w:rPr>
          <w:rFonts w:ascii="Arial" w:cs="Arial" w:eastAsia="Arial" w:hAnsi="Arial"/>
          <w:sz w:val="22"/>
          <w:szCs w:val="22"/>
          <w:b w:val="1"/>
          <w:bCs w:val="1"/>
          <w:color w:val="auto"/>
        </w:rPr>
        <w:t>RECEIVED,</w:t>
      </w:r>
      <w:r>
        <w:rPr>
          <w:sz w:val="20"/>
          <w:szCs w:val="20"/>
          <w:color w:val="auto"/>
        </w:rPr>
        <w:tab/>
      </w:r>
      <w:r>
        <w:rPr>
          <w:rFonts w:ascii="Arial" w:cs="Arial" w:eastAsia="Arial" w:hAnsi="Arial"/>
          <w:sz w:val="22"/>
          <w:szCs w:val="22"/>
          <w:u w:val="single" w:color="auto"/>
          <w:color w:val="auto"/>
        </w:rPr>
        <w:t>SANOFI</w:t>
      </w:r>
      <w:r>
        <w:rPr>
          <w:sz w:val="20"/>
          <w:szCs w:val="20"/>
          <w:color w:val="auto"/>
        </w:rPr>
        <w:tab/>
      </w:r>
      <w:r>
        <w:rPr>
          <w:rFonts w:ascii="Arial" w:cs="Arial" w:eastAsia="Arial" w:hAnsi="Arial"/>
          <w:sz w:val="22"/>
          <w:szCs w:val="22"/>
          <w:u w:val="single" w:color="auto"/>
          <w:color w:val="auto"/>
        </w:rPr>
        <w:t>SA</w:t>
      </w:r>
      <w:r>
        <w:rPr>
          <w:sz w:val="20"/>
          <w:szCs w:val="20"/>
          <w:color w:val="auto"/>
        </w:rPr>
        <w:tab/>
      </w:r>
      <w:r>
        <w:rPr>
          <w:rFonts w:ascii="Arial" w:cs="Arial" w:eastAsia="Arial" w:hAnsi="Arial"/>
          <w:sz w:val="22"/>
          <w:szCs w:val="22"/>
          <w:color w:val="auto"/>
        </w:rPr>
        <w:t>HEREBY</w:t>
      </w:r>
      <w:r>
        <w:rPr>
          <w:sz w:val="20"/>
          <w:szCs w:val="20"/>
          <w:color w:val="auto"/>
        </w:rPr>
        <w:tab/>
      </w:r>
      <w:r>
        <w:rPr>
          <w:rFonts w:ascii="Arial" w:cs="Arial" w:eastAsia="Arial" w:hAnsi="Arial"/>
          <w:sz w:val="22"/>
          <w:szCs w:val="22"/>
          <w:color w:val="auto"/>
        </w:rPr>
        <w:t>ASSIGNS</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22"/>
          <w:szCs w:val="22"/>
          <w:color w:val="auto"/>
        </w:rPr>
        <w:t>TRANSFERS</w:t>
      </w:r>
      <w:r>
        <w:rPr>
          <w:sz w:val="20"/>
          <w:szCs w:val="20"/>
          <w:color w:val="auto"/>
        </w:rPr>
        <w:tab/>
      </w:r>
      <w:r>
        <w:rPr>
          <w:rFonts w:ascii="Arial" w:cs="Arial" w:eastAsia="Arial" w:hAnsi="Arial"/>
          <w:sz w:val="21"/>
          <w:szCs w:val="21"/>
          <w:color w:val="auto"/>
        </w:rPr>
        <w:t>UNTO</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_______________________________,  </w:t>
      </w:r>
      <w:r>
        <w:rPr>
          <w:rFonts w:ascii="Arial" w:cs="Arial" w:eastAsia="Arial" w:hAnsi="Arial"/>
          <w:sz w:val="21"/>
          <w:szCs w:val="21"/>
          <w:u w:val="single" w:color="auto"/>
          <w:color w:val="auto"/>
        </w:rPr>
        <w:t>TWELVE  MILLION</w:t>
      </w:r>
      <w:r>
        <w:rPr>
          <w:rFonts w:ascii="Arial" w:cs="Arial" w:eastAsia="Arial" w:hAnsi="Arial"/>
          <w:sz w:val="21"/>
          <w:szCs w:val="21"/>
          <w:color w:val="auto"/>
        </w:rPr>
        <w:t xml:space="preserve">  (12,000,000)  SHARES  OF  THE  COMMON  STOCK  OF</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u w:val="single" w:color="auto"/>
          <w:color w:val="auto"/>
        </w:rPr>
        <w:t>REGENERON PHARMACEUTICALS, INC.</w:t>
      </w:r>
      <w:r>
        <w:rPr>
          <w:rFonts w:ascii="Arial" w:cs="Arial" w:eastAsia="Arial" w:hAnsi="Arial"/>
          <w:sz w:val="21"/>
          <w:szCs w:val="21"/>
          <w:color w:val="auto"/>
        </w:rPr>
        <w:t xml:space="preserve"> STANDING IN HIS/HER NAME ON THE BOOKS OF SAID CORPORATION REPRESENTED BY CERTIFICATE/BOOK NOS. </w:t>
      </w:r>
      <w:r>
        <w:rPr>
          <w:rFonts w:ascii="Arial" w:cs="Arial" w:eastAsia="Arial" w:hAnsi="Arial"/>
          <w:sz w:val="21"/>
          <w:szCs w:val="21"/>
          <w:u w:val="single" w:color="auto"/>
          <w:color w:val="auto"/>
        </w:rPr>
        <w:t>RE-9025</w:t>
      </w:r>
      <w:r>
        <w:rPr>
          <w:rFonts w:ascii="Arial" w:cs="Arial" w:eastAsia="Arial" w:hAnsi="Arial"/>
          <w:sz w:val="21"/>
          <w:szCs w:val="21"/>
          <w:color w:val="auto"/>
        </w:rPr>
        <w:t xml:space="preserve">, </w:t>
      </w:r>
      <w:r>
        <w:rPr>
          <w:rFonts w:ascii="Arial" w:cs="Arial" w:eastAsia="Arial" w:hAnsi="Arial"/>
          <w:sz w:val="21"/>
          <w:szCs w:val="21"/>
          <w:u w:val="single" w:color="auto"/>
          <w:color w:val="auto"/>
        </w:rPr>
        <w:t>RE-9026</w:t>
      </w:r>
      <w:r>
        <w:rPr>
          <w:rFonts w:ascii="Arial" w:cs="Arial" w:eastAsia="Arial" w:hAnsi="Arial"/>
          <w:sz w:val="21"/>
          <w:szCs w:val="21"/>
          <w:color w:val="auto"/>
        </w:rPr>
        <w:t xml:space="preserve">, </w:t>
      </w:r>
      <w:r>
        <w:rPr>
          <w:rFonts w:ascii="Arial" w:cs="Arial" w:eastAsia="Arial" w:hAnsi="Arial"/>
          <w:sz w:val="21"/>
          <w:szCs w:val="21"/>
          <w:u w:val="single" w:color="auto"/>
          <w:color w:val="auto"/>
        </w:rPr>
        <w:t>RE-9027</w:t>
      </w:r>
      <w:r>
        <w:rPr>
          <w:rFonts w:ascii="Arial" w:cs="Arial" w:eastAsia="Arial" w:hAnsi="Arial"/>
          <w:sz w:val="21"/>
          <w:szCs w:val="21"/>
          <w:color w:val="auto"/>
        </w:rPr>
        <w:t xml:space="preserve">, </w:t>
      </w:r>
      <w:r>
        <w:rPr>
          <w:rFonts w:ascii="Arial" w:cs="Arial" w:eastAsia="Arial" w:hAnsi="Arial"/>
          <w:sz w:val="21"/>
          <w:szCs w:val="21"/>
          <w:u w:val="single" w:color="auto"/>
          <w:color w:val="auto"/>
        </w:rPr>
        <w:t>RE-9028</w:t>
      </w:r>
      <w:r>
        <w:rPr>
          <w:rFonts w:ascii="Arial" w:cs="Arial" w:eastAsia="Arial" w:hAnsi="Arial"/>
          <w:sz w:val="21"/>
          <w:szCs w:val="21"/>
          <w:color w:val="auto"/>
        </w:rPr>
        <w:t xml:space="preserve">, </w:t>
      </w:r>
      <w:r>
        <w:rPr>
          <w:rFonts w:ascii="Arial" w:cs="Arial" w:eastAsia="Arial" w:hAnsi="Arial"/>
          <w:sz w:val="21"/>
          <w:szCs w:val="21"/>
          <w:u w:val="single" w:color="auto"/>
          <w:color w:val="auto"/>
        </w:rPr>
        <w:t>RE-9029</w:t>
      </w:r>
      <w:r>
        <w:rPr>
          <w:rFonts w:ascii="Arial" w:cs="Arial" w:eastAsia="Arial" w:hAnsi="Arial"/>
          <w:sz w:val="21"/>
          <w:szCs w:val="21"/>
          <w:color w:val="auto"/>
        </w:rPr>
        <w:t xml:space="preserve">, </w:t>
      </w:r>
      <w:r>
        <w:rPr>
          <w:rFonts w:ascii="Arial" w:cs="Arial" w:eastAsia="Arial" w:hAnsi="Arial"/>
          <w:sz w:val="21"/>
          <w:szCs w:val="21"/>
          <w:u w:val="single" w:color="auto"/>
          <w:color w:val="auto"/>
        </w:rPr>
        <w:t>RE-9030</w:t>
      </w:r>
      <w:r>
        <w:rPr>
          <w:rFonts w:ascii="Arial" w:cs="Arial" w:eastAsia="Arial" w:hAnsi="Arial"/>
          <w:sz w:val="21"/>
          <w:szCs w:val="21"/>
          <w:color w:val="auto"/>
        </w:rPr>
        <w:t xml:space="preserve">, </w:t>
      </w:r>
      <w:r>
        <w:rPr>
          <w:rFonts w:ascii="Arial" w:cs="Arial" w:eastAsia="Arial" w:hAnsi="Arial"/>
          <w:sz w:val="21"/>
          <w:szCs w:val="21"/>
          <w:u w:val="single" w:color="auto"/>
          <w:color w:val="auto"/>
        </w:rPr>
        <w:t>RE-9031</w:t>
      </w:r>
      <w:r>
        <w:rPr>
          <w:rFonts w:ascii="Arial" w:cs="Arial" w:eastAsia="Arial" w:hAnsi="Arial"/>
          <w:sz w:val="21"/>
          <w:szCs w:val="21"/>
          <w:color w:val="auto"/>
        </w:rPr>
        <w:t xml:space="preserve">, </w:t>
      </w:r>
      <w:r>
        <w:rPr>
          <w:rFonts w:ascii="Arial" w:cs="Arial" w:eastAsia="Arial" w:hAnsi="Arial"/>
          <w:sz w:val="21"/>
          <w:szCs w:val="21"/>
          <w:u w:val="single" w:color="auto"/>
          <w:color w:val="auto"/>
        </w:rPr>
        <w:t>RE-9032</w:t>
      </w:r>
      <w:r>
        <w:rPr>
          <w:rFonts w:ascii="Arial" w:cs="Arial" w:eastAsia="Arial" w:hAnsi="Arial"/>
          <w:sz w:val="21"/>
          <w:szCs w:val="21"/>
          <w:color w:val="auto"/>
        </w:rPr>
        <w:t xml:space="preserve">, </w:t>
      </w:r>
      <w:r>
        <w:rPr>
          <w:rFonts w:ascii="Arial" w:cs="Arial" w:eastAsia="Arial" w:hAnsi="Arial"/>
          <w:sz w:val="21"/>
          <w:szCs w:val="21"/>
          <w:u w:val="single" w:color="auto"/>
          <w:color w:val="auto"/>
        </w:rPr>
        <w:t>RE-9033</w:t>
      </w:r>
      <w:r>
        <w:rPr>
          <w:rFonts w:ascii="Arial" w:cs="Arial" w:eastAsia="Arial" w:hAnsi="Arial"/>
          <w:sz w:val="21"/>
          <w:szCs w:val="21"/>
          <w:color w:val="auto"/>
        </w:rPr>
        <w:t xml:space="preserve">, RE-9034, </w:t>
      </w:r>
      <w:r>
        <w:rPr>
          <w:rFonts w:ascii="Arial" w:cs="Arial" w:eastAsia="Arial" w:hAnsi="Arial"/>
          <w:sz w:val="21"/>
          <w:szCs w:val="21"/>
          <w:u w:val="single" w:color="auto"/>
          <w:color w:val="auto"/>
        </w:rPr>
        <w:t>RE-9035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RE-9036</w:t>
      </w:r>
      <w:r>
        <w:rPr>
          <w:rFonts w:ascii="Arial" w:cs="Arial" w:eastAsia="Arial" w:hAnsi="Arial"/>
          <w:sz w:val="21"/>
          <w:szCs w:val="21"/>
          <w:color w:val="auto"/>
        </w:rPr>
        <w:t xml:space="preserve"> HEREWITH, AND DOES HEREBY IRREVOCABLY CONSTITUTE AND APPOINT </w:t>
      </w:r>
      <w:r>
        <w:rPr>
          <w:rFonts w:ascii="Arial" w:cs="Arial" w:eastAsia="Arial" w:hAnsi="Arial"/>
          <w:sz w:val="21"/>
          <w:szCs w:val="21"/>
          <w:u w:val="single" w:color="auto"/>
          <w:color w:val="auto"/>
        </w:rPr>
        <w:t>AMERICAN STOCK TRANSFER &amp; TRUST COMPANY, LLC</w:t>
      </w:r>
      <w:r>
        <w:rPr>
          <w:rFonts w:ascii="Arial" w:cs="Arial" w:eastAsia="Arial" w:hAnsi="Arial"/>
          <w:sz w:val="21"/>
          <w:szCs w:val="21"/>
          <w:color w:val="auto"/>
        </w:rPr>
        <w:t xml:space="preserve"> ATTORNEY TO TRANSFER THE SAID STOCK ON THE BOOKS OF SAID CORPORATION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-342900</wp:posOffset>
            </wp:positionV>
            <wp:extent cx="537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DATED: MAY [●], 2020</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SELLING STOCKHOLDER </w:t>
      </w:r>
      <w:r>
        <w:rPr>
          <w:rFonts w:ascii="Arial" w:cs="Arial" w:eastAsia="Arial" w:hAnsi="Arial"/>
          <w:sz w:val="18"/>
          <w:szCs w:val="18"/>
          <w:color w:val="auto"/>
        </w:rPr>
        <w:t>(if entity)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Sanofi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0429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429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 of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0429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429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0429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429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SELLING STOCKHOLDER </w:t>
      </w:r>
      <w:r>
        <w:rPr>
          <w:rFonts w:ascii="Arial" w:cs="Arial" w:eastAsia="Arial" w:hAnsi="Arial"/>
          <w:sz w:val="18"/>
          <w:szCs w:val="18"/>
          <w:color w:val="auto"/>
        </w:rPr>
        <w:t>(if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342900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(Print Legibly – Name of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342900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00" w:lineRule="exact"/>
        <w:rPr>
          <w:sz w:val="20"/>
          <w:szCs w:val="20"/>
          <w:color w:val="auto"/>
        </w:rPr>
      </w:pPr>
    </w:p>
    <w:p>
      <w:pPr>
        <w:sectPr>
          <w:pgSz w:w="11900" w:h="16838" w:orient="portrait"/>
          <w:cols w:equalWidth="0" w:num="2">
            <w:col w:w="5120" w:space="720"/>
            <w:col w:w="5400"/>
          </w:cols>
          <w:pgMar w:left="320" w:top="112" w:right="33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0429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429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Title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12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To be signed in </w:t>
      </w:r>
      <w:r>
        <w:rPr>
          <w:rFonts w:ascii="Arial" w:cs="Arial" w:eastAsia="Arial" w:hAnsi="Arial"/>
          <w:sz w:val="19"/>
          <w:szCs w:val="19"/>
          <w:b w:val="1"/>
          <w:bCs w:val="1"/>
          <w:u w:val="single" w:color="auto"/>
          <w:color w:val="auto"/>
        </w:rPr>
        <w:t>exactly</w:t>
      </w:r>
      <w:r>
        <w:rPr>
          <w:rFonts w:ascii="Arial" w:cs="Arial" w:eastAsia="Arial" w:hAnsi="Arial"/>
          <w:sz w:val="19"/>
          <w:szCs w:val="19"/>
          <w:color w:val="auto"/>
        </w:rPr>
        <w:t xml:space="preserve"> the same name as the shares are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1)"/>
      <w:numFmt w:val="lowerRoman"/>
      <w:start w:val="1"/>
    </w:lvl>
  </w:abstractNum>
  <w:abstractNum w:abstractNumId="2">
    <w:nsid w:val="836C40E"/>
    <w:multiLevelType w:val="hybridMultilevel"/>
    <w:lvl w:ilvl="0">
      <w:lvlJc w:val="left"/>
      <w:lvlText w:val="(%1)"/>
      <w:numFmt w:val="lowerLetter"/>
      <w:start w:val="1"/>
    </w:lvl>
  </w:abstractNum>
  <w:abstractNum w:abstractNumId="3">
    <w:nsid w:val="2901D82"/>
    <w:multiLevelType w:val="hybridMultilevel"/>
    <w:lvl w:ilvl="0">
      <w:lvlJc w:val="left"/>
      <w:lvlText w:val="(%1)"/>
      <w:numFmt w:val="lowerLetter"/>
      <w:start w:val="3"/>
    </w:lvl>
  </w:abstractNum>
  <w:abstractNum w:abstractNumId="4">
    <w:nsid w:val="3A95F874"/>
    <w:multiLevelType w:val="hybridMultilevel"/>
    <w:lvl w:ilvl="0">
      <w:lvlJc w:val="left"/>
      <w:lvlText w:val="(%1)"/>
      <w:numFmt w:val="lowerLetter"/>
      <w:start w:val="4"/>
    </w:lvl>
  </w:abstractNum>
  <w:abstractNum w:abstractNumId="5">
    <w:nsid w:val="8138641"/>
    <w:multiLevelType w:val="hybridMultilevel"/>
    <w:lvl w:ilvl="0">
      <w:lvlJc w:val="left"/>
      <w:lvlText w:val="(%1)"/>
      <w:numFmt w:val="decimal"/>
      <w:start w:val="1"/>
    </w:lvl>
    <w:lvl w:ilvl="1">
      <w:lvlJc w:val="left"/>
      <w:lvlText w:val="(%2)"/>
      <w:numFmt w:val="lowerLetter"/>
      <w:start w:val="1"/>
    </w:lvl>
  </w:abstractNum>
  <w:abstractNum w:abstractNumId="6">
    <w:nsid w:val="1E7FF521"/>
    <w:multiLevelType w:val="hybridMultilevel"/>
    <w:lvl w:ilvl="0">
      <w:lvlJc w:val="left"/>
      <w:lvlText w:val="(%1)"/>
      <w:numFmt w:val="decimal"/>
      <w:start w:val="7"/>
    </w:lvl>
  </w:abstractNum>
  <w:abstractNum w:abstractNumId="7">
    <w:nsid w:val="7C3DBD3D"/>
    <w:multiLevelType w:val="hybridMultilevel"/>
    <w:lvl w:ilvl="0">
      <w:lvlJc w:val="left"/>
      <w:lvlText w:val="%1"/>
      <w:numFmt w:val="lowerLetter"/>
      <w:start w:val="1"/>
    </w:lvl>
    <w:lvl w:ilvl="1">
      <w:lvlJc w:val="left"/>
      <w:lvlText w:val="%2."/>
      <w:numFmt w:val="decimal"/>
      <w:start w:val="1"/>
    </w:lvl>
  </w:abstractNum>
  <w:abstractNum w:abstractNumId="8">
    <w:nsid w:val="737B8DDC"/>
    <w:multiLevelType w:val="hybridMultilevel"/>
    <w:lvl w:ilvl="0">
      <w:lvlJc w:val="left"/>
      <w:lvlText w:val="(%1)"/>
      <w:numFmt w:val="lowerLetter"/>
      <w:start w:val="1"/>
    </w:lvl>
    <w:lvl w:ilvl="1">
      <w:lvlJc w:val="left"/>
      <w:lvlText w:val="%2"/>
      <w:numFmt w:val="decimal"/>
      <w:start w:val="1"/>
    </w:lvl>
  </w:abstractNum>
  <w:abstractNum w:abstractNumId="9">
    <w:nsid w:val="6CEAF087"/>
    <w:multiLevelType w:val="hybridMultilevel"/>
    <w:lvl w:ilvl="0">
      <w:lvlJc w:val="left"/>
      <w:lvlText w:val="(%1)"/>
      <w:numFmt w:val="lowerRoman"/>
      <w:start w:val="1"/>
    </w:lvl>
  </w:abstractNum>
  <w:abstractNum w:abstractNumId="10">
    <w:nsid w:val="22221A70"/>
    <w:multiLevelType w:val="hybridMultilevel"/>
    <w:lvl w:ilvl="0">
      <w:lvlJc w:val="left"/>
      <w:lvlText w:val="(%1)"/>
      <w:numFmt w:val="lowerRoman"/>
      <w:start w:val="4"/>
    </w:lvl>
  </w:abstractNum>
  <w:abstractNum w:abstractNumId="11">
    <w:nsid w:val="4516DDE9"/>
    <w:multiLevelType w:val="hybridMultilevel"/>
    <w:lvl w:ilvl="0">
      <w:lvlJc w:val="left"/>
      <w:lvlText w:val="(%1)"/>
      <w:numFmt w:val="lowerRoman"/>
      <w:start w:val="9"/>
    </w:lvl>
  </w:abstractNum>
  <w:abstractNum w:abstractNumId="12">
    <w:nsid w:val="3006C83E"/>
    <w:multiLevelType w:val="hybridMultilevel"/>
    <w:lvl w:ilvl="0">
      <w:lvlJc w:val="left"/>
      <w:lvlText w:val="(%1)"/>
      <w:numFmt w:val="lowerRoman"/>
      <w:start w:val="15"/>
    </w:lvl>
  </w:abstractNum>
  <w:abstractNum w:abstractNumId="13">
    <w:nsid w:val="614FD4A1"/>
    <w:multiLevelType w:val="hybridMultilevel"/>
    <w:lvl w:ilvl="0">
      <w:lvlJc w:val="left"/>
      <w:lvlText w:val="(%1)"/>
      <w:numFmt w:val="lowerRoman"/>
      <w:start w:val="20"/>
    </w:lvl>
  </w:abstractNum>
  <w:abstractNum w:abstractNumId="14">
    <w:nsid w:val="419AC241"/>
    <w:multiLevelType w:val="hybridMultilevel"/>
    <w:lvl w:ilvl="0">
      <w:lvlJc w:val="left"/>
      <w:lvlText w:val="(%1)"/>
      <w:numFmt w:val="lowerRoman"/>
      <w:start w:val="24"/>
    </w:lvl>
  </w:abstractNum>
  <w:abstractNum w:abstractNumId="15">
    <w:nsid w:val="5577F8E1"/>
    <w:multiLevelType w:val="hybridMultilevel"/>
    <w:lvl w:ilvl="0">
      <w:lvlJc w:val="left"/>
      <w:lvlText w:val="(%1)"/>
      <w:numFmt w:val="lowerRoman"/>
      <w:start w:val="25"/>
    </w:lvl>
  </w:abstractNum>
  <w:abstractNum w:abstractNumId="16">
    <w:nsid w:val="440BADFC"/>
    <w:multiLevelType w:val="hybridMultilevel"/>
    <w:lvl w:ilvl="0">
      <w:lvlJc w:val="left"/>
      <w:lvlText w:val="(%1)"/>
      <w:numFmt w:val="lowerRoman"/>
      <w:start w:val="29"/>
    </w:lvl>
  </w:abstractNum>
  <w:abstractNum w:abstractNumId="17">
    <w:nsid w:val="5072367"/>
    <w:multiLevelType w:val="hybridMultilevel"/>
    <w:lvl w:ilvl="0">
      <w:lvlJc w:val="left"/>
      <w:lvlText w:val="(%1)"/>
      <w:numFmt w:val="lowerLetter"/>
      <w:start w:val="2"/>
    </w:lvl>
    <w:lvl w:ilvl="1">
      <w:lvlJc w:val="left"/>
      <w:lvlText w:val="(%2)"/>
      <w:numFmt w:val="lowerRoman"/>
      <w:start w:val="1"/>
    </w:lvl>
  </w:abstractNum>
  <w:abstractNum w:abstractNumId="18">
    <w:nsid w:val="3804823E"/>
    <w:multiLevelType w:val="hybridMultilevel"/>
    <w:lvl w:ilvl="0">
      <w:lvlJc w:val="left"/>
      <w:lvlText w:val="%1"/>
      <w:numFmt w:val="lowerLetter"/>
      <w:start w:val="1"/>
    </w:lvl>
    <w:lvl w:ilvl="1">
      <w:lvlJc w:val="left"/>
      <w:lvlText w:val="(%2)"/>
      <w:numFmt w:val="lowerRoman"/>
      <w:start w:val="7"/>
    </w:lvl>
  </w:abstractNum>
  <w:abstractNum w:abstractNumId="19">
    <w:nsid w:val="77465F01"/>
    <w:multiLevelType w:val="hybridMultilevel"/>
    <w:lvl w:ilvl="0">
      <w:lvlJc w:val="left"/>
      <w:lvlText w:val="(%1)"/>
      <w:numFmt w:val="lowerLetter"/>
      <w:start w:val="3"/>
    </w:lvl>
    <w:lvl w:ilvl="1">
      <w:lvlJc w:val="left"/>
      <w:lvlText w:val="%2"/>
      <w:numFmt w:val="lowerRoman"/>
      <w:start w:val="1"/>
    </w:lvl>
  </w:abstractNum>
  <w:abstractNum w:abstractNumId="20">
    <w:nsid w:val="7724C67E"/>
    <w:multiLevelType w:val="hybridMultilevel"/>
    <w:lvl w:ilvl="0">
      <w:lvlJc w:val="left"/>
      <w:lvlText w:val="%1"/>
      <w:numFmt w:val="lowerLetter"/>
      <w:start w:val="1"/>
    </w:lvl>
    <w:lvl w:ilvl="1">
      <w:lvlJc w:val="left"/>
      <w:lvlText w:val="%2."/>
      <w:numFmt w:val="decimal"/>
      <w:start w:val="2"/>
    </w:lvl>
  </w:abstractNum>
  <w:abstractNum w:abstractNumId="21">
    <w:nsid w:val="5C482A97"/>
    <w:multiLevelType w:val="hybridMultilevel"/>
    <w:lvl w:ilvl="0">
      <w:lvlJc w:val="left"/>
      <w:lvlText w:val="(%1)"/>
      <w:numFmt w:val="lowerLetter"/>
      <w:start w:val="1"/>
    </w:lvl>
    <w:lvl w:ilvl="1">
      <w:lvlJc w:val="left"/>
      <w:lvlText w:val="%2"/>
      <w:numFmt w:val="decimal"/>
      <w:start w:val="1"/>
    </w:lvl>
  </w:abstractNum>
  <w:abstractNum w:abstractNumId="22">
    <w:nsid w:val="2463B9EA"/>
    <w:multiLevelType w:val="hybridMultilevel"/>
    <w:lvl w:ilvl="0">
      <w:lvlJc w:val="left"/>
      <w:lvlText w:val="%1"/>
      <w:numFmt w:val="lowerLetter"/>
      <w:start w:val="1"/>
    </w:lvl>
    <w:lvl w:ilvl="1">
      <w:lvlJc w:val="left"/>
      <w:lvlText w:val="%2."/>
      <w:numFmt w:val="decimal"/>
      <w:start w:val="3"/>
    </w:lvl>
  </w:abstractNum>
  <w:abstractNum w:abstractNumId="23">
    <w:nsid w:val="5E884ADC"/>
    <w:multiLevelType w:val="hybridMultilevel"/>
    <w:lvl w:ilvl="0">
      <w:lvlJc w:val="left"/>
      <w:lvlText w:val="(%1)"/>
      <w:numFmt w:val="lowerLetter"/>
      <w:start w:val="1"/>
    </w:lvl>
    <w:lvl w:ilvl="1">
      <w:lvlJc w:val="left"/>
      <w:lvlText w:val="%2."/>
      <w:numFmt w:val="decimal"/>
      <w:start w:val="4"/>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1)"/>
      <w:numFmt w:val="lowerLetter"/>
      <w:start w:val="2"/>
    </w:lvl>
  </w:abstractNum>
  <w:abstractNum w:abstractNumId="26">
    <w:nsid w:val="580BD78F"/>
    <w:multiLevelType w:val="hybridMultilevel"/>
    <w:lvl w:ilvl="0">
      <w:lvlJc w:val="left"/>
      <w:lvlText w:val="(%1)"/>
      <w:numFmt w:val="lowerLetter"/>
      <w:start w:val="8"/>
    </w:lvl>
  </w:abstractNum>
  <w:abstractNum w:abstractNumId="27">
    <w:nsid w:val="153EA438"/>
    <w:multiLevelType w:val="hybridMultilevel"/>
    <w:lvl w:ilvl="0">
      <w:lvlJc w:val="left"/>
      <w:lvlText w:val="(%1)"/>
      <w:numFmt w:val="lowerLetter"/>
      <w:start w:val="12"/>
    </w:lvl>
    <w:lvl w:ilvl="1">
      <w:lvlJc w:val="left"/>
      <w:lvlText w:val="%2."/>
      <w:numFmt w:val="decimal"/>
      <w:start w:val="6"/>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0">
    <w:nsid w:val="6A2342EC"/>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31">
    <w:nsid w:val="2A487CB0"/>
    <w:multiLevelType w:val="hybridMultilevel"/>
    <w:lvl w:ilvl="0">
      <w:lvlJc w:val="left"/>
      <w:lvlText w:val="(%1)"/>
      <w:numFmt w:val="lowerLetter"/>
      <w:start w:val="10"/>
    </w:lvl>
    <w:lvl w:ilvl="1">
      <w:lvlJc w:val="left"/>
      <w:lvlText w:val="(%2)"/>
      <w:numFmt w:val="lowerRoman"/>
      <w:start w:val="1"/>
    </w:lvl>
  </w:abstractNum>
  <w:abstractNum w:abstractNumId="32">
    <w:nsid w:val="1D4ED43B"/>
    <w:multiLevelType w:val="hybridMultilevel"/>
    <w:lvl w:ilvl="0">
      <w:lvlJc w:val="left"/>
      <w:lvlText w:val="(%1)"/>
      <w:numFmt w:val="lowerLetter"/>
      <w:start w:val="35"/>
    </w:lvl>
    <w:lvl w:ilvl="1">
      <w:lvlJc w:val="left"/>
      <w:lvlText w:val="(%2)"/>
      <w:numFmt w:val="lowerRoman"/>
      <w:start w:val="6"/>
    </w:lvl>
  </w:abstractNum>
  <w:abstractNum w:abstractNumId="33">
    <w:nsid w:val="725A06FB"/>
    <w:multiLevelType w:val="hybridMultilevel"/>
    <w:lvl w:ilvl="0">
      <w:lvlJc w:val="left"/>
      <w:lvlText w:val="(%1)"/>
      <w:numFmt w:val="lowerLetter"/>
      <w:start w:val="12"/>
    </w:lvl>
  </w:abstractNum>
  <w:abstractNum w:abstractNumId="34">
    <w:nsid w:val="2CD89A32"/>
    <w:multiLevelType w:val="hybridMultilevel"/>
    <w:lvl w:ilvl="0">
      <w:lvlJc w:val="left"/>
      <w:lvlText w:val="%1"/>
      <w:numFmt w:val="lowerLetter"/>
      <w:start w:val="1"/>
    </w:lvl>
    <w:lvl w:ilvl="1">
      <w:lvlJc w:val="left"/>
      <w:lvlText w:val="%2."/>
      <w:numFmt w:val="decimal"/>
      <w:start w:val="7"/>
    </w:lvl>
  </w:abstractNum>
  <w:abstractNum w:abstractNumId="35">
    <w:nsid w:val="57E4CCAF"/>
    <w:multiLevelType w:val="hybridMultilevel"/>
    <w:lvl w:ilvl="0">
      <w:lvlJc w:val="left"/>
      <w:lvlText w:val="(%1)"/>
      <w:numFmt w:val="lowerLetter"/>
      <w:start w:val="1"/>
    </w:lvl>
    <w:lvl w:ilvl="1">
      <w:lvlJc w:val="left"/>
      <w:lvlText w:val="%2"/>
      <w:numFmt w:val="decimal"/>
      <w:start w:val="1"/>
    </w:lvl>
  </w:abstractNum>
  <w:abstractNum w:abstractNumId="36">
    <w:nsid w:val="7A6D8D3C"/>
    <w:multiLevelType w:val="hybridMultilevel"/>
    <w:lvl w:ilvl="0">
      <w:lvlJc w:val="left"/>
      <w:lvlText w:val="%1"/>
      <w:numFmt w:val="lowerLetter"/>
      <w:start w:val="1"/>
    </w:lvl>
    <w:lvl w:ilvl="1">
      <w:lvlJc w:val="left"/>
      <w:lvlText w:val="(%2)"/>
      <w:numFmt w:val="lowerLetter"/>
      <w:start w:val="2"/>
    </w:lvl>
  </w:abstractNum>
  <w:abstractNum w:abstractNumId="37">
    <w:nsid w:val="4B588F54"/>
    <w:multiLevelType w:val="hybridMultilevel"/>
    <w:lvl w:ilvl="0">
      <w:lvlJc w:val="left"/>
      <w:lvlText w:val="(%1)"/>
      <w:numFmt w:val="lowerLetter"/>
      <w:start w:val="35"/>
    </w:lvl>
    <w:lvl w:ilvl="1">
      <w:lvlJc w:val="left"/>
      <w:lvlText w:val="%2"/>
      <w:numFmt w:val="lowerLetter"/>
      <w:start w:val="1"/>
    </w:lvl>
  </w:abstractNum>
  <w:abstractNum w:abstractNumId="38">
    <w:nsid w:val="542289EC"/>
    <w:multiLevelType w:val="hybridMultilevel"/>
    <w:lvl w:ilvl="0">
      <w:lvlJc w:val="left"/>
      <w:lvlText w:val="(%1)"/>
      <w:numFmt w:val="lowerLetter"/>
      <w:start w:val="4"/>
    </w:lvl>
  </w:abstractNum>
  <w:abstractNum w:abstractNumId="39">
    <w:nsid w:val="6DE91B18"/>
    <w:multiLevelType w:val="hybridMultilevel"/>
    <w:lvl w:ilvl="0">
      <w:lvlJc w:val="left"/>
      <w:lvlText w:val="(%1)"/>
      <w:numFmt w:val="lowerLetter"/>
      <w:start w:val="6"/>
    </w:lvl>
    <w:lvl w:ilvl="1">
      <w:lvlJc w:val="left"/>
      <w:lvlText w:val="%2."/>
      <w:numFmt w:val="decimal"/>
      <w:start w:val="9"/>
    </w:lvl>
  </w:abstractNum>
  <w:abstractNum w:abstractNumId="40">
    <w:nsid w:val="38437FDB"/>
    <w:multiLevelType w:val="hybridMultilevel"/>
    <w:lvl w:ilvl="0">
      <w:lvlJc w:val="left"/>
      <w:lvlText w:val="%1"/>
      <w:numFmt w:val="lowerLetter"/>
      <w:start w:val="1"/>
    </w:lvl>
    <w:lvl w:ilvl="1">
      <w:lvlJc w:val="left"/>
      <w:lvlText w:val="%2."/>
      <w:numFmt w:val="decimal"/>
      <w:start w:val="12"/>
    </w:lvl>
  </w:abstractNum>
  <w:abstractNum w:abstractNumId="41">
    <w:nsid w:val="7644A45C"/>
    <w:multiLevelType w:val="hybridMultilevel"/>
    <w:lvl w:ilvl="0">
      <w:lvlJc w:val="left"/>
      <w:lvlText w:val="(%1)"/>
      <w:numFmt w:val="lowerLetter"/>
      <w:start w:val="2"/>
    </w:lvl>
    <w:lvl w:ilvl="1">
      <w:lvlJc w:val="left"/>
      <w:lvlText w:val="%2"/>
      <w:numFmt w:val="decimal"/>
      <w:start w:val="1"/>
    </w:lvl>
  </w:abstractNum>
  <w:abstractNum w:abstractNumId="42">
    <w:nsid w:val="32FFF902"/>
    <w:multiLevelType w:val="hybridMultilevel"/>
    <w:lvl w:ilvl="0">
      <w:lvlJc w:val="left"/>
      <w:lvlText w:val="%1."/>
      <w:numFmt w:val="decimal"/>
      <w:start w:val="17"/>
    </w:lvl>
  </w:abstractNum>
  <w:abstractNum w:abstractNumId="43">
    <w:nsid w:val="684A481A"/>
    <w:multiLevelType w:val="hybridMultilevel"/>
    <w:lvl w:ilvl="0">
      <w:lvlJc w:val="left"/>
      <w:lvlText w:val="%1."/>
      <w:numFmt w:val="decimal"/>
      <w:start w:val="22"/>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1"/>
    </w:lvl>
    <w:lvl w:ilvl="1">
      <w:lvlJc w:val="left"/>
      <w:lvlText w:val="(%2)"/>
      <w:numFmt w:val="lowerRoman"/>
      <w:start w:val="1"/>
    </w:lvl>
  </w:abstractNum>
  <w:abstractNum w:abstractNumId="49">
    <w:nsid w:val="75C6C33A"/>
    <w:multiLevelType w:val="hybridMultilevel"/>
    <w:lvl w:ilvl="0">
      <w:lvlJc w:val="left"/>
      <w:lvlText w:val="(%1)"/>
      <w:numFmt w:val="lowerLetter"/>
      <w:start w:val="2"/>
    </w:lvl>
    <w:lvl w:ilvl="1">
      <w:lvlJc w:val="left"/>
      <w:lvlText w:val="%2"/>
      <w:numFmt w:val="lowerRoman"/>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2"/>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2020-05-29T15:17:33Z</dcterms:created>
  <dcterms:modified xsi:type="dcterms:W3CDTF">2020-05-29T15:17:33Z</dcterms:modified>
</cp:coreProperties>
</file>