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-99695</wp:posOffset>
            </wp:positionV>
            <wp:extent cx="2092325" cy="428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777 Old Saw Mill River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Tarrytown, NY 10591-6707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Phone 914 847 7000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www.regeneron.com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40" w:space="720"/>
            <w:col w:w="2260"/>
          </w:cols>
          <w:pgMar w:left="240" w:top="854" w:right="239" w:bottom="1440" w:gutter="0" w:footer="0" w:header="0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June 12, 2014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Mr. Jim B. Rosenberg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Senior Assistant Chief Accountant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U.S. 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Regeneron Pharmaceuticals,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10-K for the Fiscal Year Ended December 31, 2013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Filed February 13, 2014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File No. 000-19034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Dear Mr. Rosenberg: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firstLine="23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Regeneron Pharmaceuticals, Inc. (the “Company”) acknowledges receipt of oral comments provided by the staff of the Securities and Exchange Commission on June 3, 2014, with respect to the above-referenced Form 10-K. The Company subsequently corresponded with Scott Wuenschell on June 9, 2014, who kindly granted the Company’s request for a five business day extension. Accordingly, the Company plans to expand its explanations to supplement its initial responses in its letter dated April 30, 2014, on or before June 24, 2014.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If you have any questions regarding the foregoing, please contact me at (914) 847-7270.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REGENERON PHARMACEUTICALS,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/s/ Robert E. Landry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Robert E. Landry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Senior Vice President, Finance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Chief Financial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 w:right="7660" w:hanging="652"/>
        <w:spacing w:after="0" w:line="258" w:lineRule="auto"/>
        <w:tabs>
          <w:tab w:leader="none" w:pos="498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 xml:space="preserve">Securities and Exchange Commission </w:t>
      </w:r>
      <w:r>
        <w:rPr>
          <w:rFonts w:ascii="Arial" w:cs="Arial" w:eastAsia="Arial" w:hAnsi="Arial"/>
          <w:sz w:val="22"/>
          <w:szCs w:val="22"/>
          <w:color w:val="auto"/>
        </w:rPr>
        <w:t>Scott Wuenschell</w:t>
      </w:r>
    </w:p>
    <w:p>
      <w:pPr>
        <w:ind w:left="660"/>
        <w:spacing w:after="0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Joel Parker</w:t>
      </w:r>
    </w:p>
    <w:sectPr>
      <w:pgSz w:w="11900" w:h="16838" w:orient="portrait"/>
      <w:cols w:equalWidth="0" w:num="1">
        <w:col w:w="11420"/>
      </w:cols>
      <w:pgMar w:left="240" w:top="85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2019-12-06T03:45:11Z</dcterms:created>
  <dcterms:modified xsi:type="dcterms:W3CDTF">2019-12-06T03:45:11Z</dcterms:modified>
</cp:coreProperties>
</file>