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Fenimore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Pharmaceuticals,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777 Old Saw Mill River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Tarrytown, New York 10591-6707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Regeneron Pharmaceuticals,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5,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000-19034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Christopher Fenimore: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May 20, 2024 response to our comment letter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 we</w:t>
      </w: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otherwise, any references to prior comments are to comments in our May 8,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 Business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Products, page 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one and your intended disclosure revisions. As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of net product sales of Regeneron-discovered products appears to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constitute a metric, the disclosure requirements set forth in Staff Release No. 33-10751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applicable. Accordingly, please revise your future filings to include the information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in your response that describes how management uses these operating metrics in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managing or monitoring the performance of your business, and why these metrics provide</w:t>
      </w:r>
    </w:p>
    <w:p>
      <w:pPr>
        <w:ind w:left="120" w:right="6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useful information to investors. July 22,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5179" w:firstLine="8"/>
        <w:spacing w:after="0" w:line="309" w:lineRule="auto"/>
        <w:tabs>
          <w:tab w:leader="none" w:pos="316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Collaborations, License and Other Agreements Sanofi, page F-17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two. In order to illustrate the mechanics of your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contingent reimbursement obligation and the amounts reported in your Statement of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please provide us with the following:</w:t>
      </w:r>
    </w:p>
    <w:p>
      <w:pPr>
        <w:ind w:right="22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the calculation of your contingent reimbursement obligation as of</w:t>
      </w:r>
    </w:p>
    <w:p>
      <w:pPr>
        <w:ind w:right="1919" w:firstLine="1053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2023 based on the cumulative development costs incurred prior to July</w:t>
      </w:r>
    </w:p>
    <w:p>
      <w:pPr>
        <w:ind w:left="10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1, 2022 and the contractually specified reimbursement percentages, as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well as a</w:t>
      </w: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rollforward of your obligation for each period presented;</w:t>
      </w:r>
    </w:p>
    <w:p>
      <w:pPr>
        <w:ind w:right="20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the calculation of "Regeneron's obligation for its share of Sanofi</w:t>
      </w: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R&amp;D expenses, net of reimbursement of R&amp;D expenses" for each period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presented;</w:t>
      </w: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for us the estimated net present value differential of the 10% repayment rate</w:t>
      </w:r>
    </w:p>
    <w:p>
      <w:pPr>
        <w:ind w:right="2439" w:firstLine="1053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versus the 20% repayment rate which was deemed to be contingent consideration</w:t>
      </w:r>
    </w:p>
    <w:p>
      <w:pPr>
        <w:ind w:right="1819" w:firstLine="1053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attributable to your acquisition of the Libtayo rights and the amount recorded as an</w:t>
      </w:r>
    </w:p>
    <w:p>
      <w:pPr>
        <w:ind w:left="10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to the Libtayo intangible asset for each period presented.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Frank Wyman at 202-551-3660 or Angela Connell at 202-551-3426 if you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43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2024-10-09T23:12:23Z</dcterms:created>
  <dcterms:modified xsi:type="dcterms:W3CDTF">2024-10-09T23:12:23Z</dcterms:modified>
</cp:coreProperties>
</file>