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333-228352</w:t>
      </w:r>
    </w:p>
    <w:p>
      <w:pPr>
        <w:spacing w:after="0" w:line="213" w:lineRule="exact"/>
        <w:rPr>
          <w:sz w:val="24"/>
          <w:szCs w:val="24"/>
          <w:color w:val="auto"/>
        </w:rPr>
      </w:pPr>
    </w:p>
    <w:p>
      <w:pPr>
        <w:ind w:right="100"/>
        <w:spacing w:after="0" w:line="262" w:lineRule="auto"/>
        <w:rPr>
          <w:sz w:val="20"/>
          <w:szCs w:val="20"/>
          <w:color w:val="auto"/>
        </w:rPr>
      </w:pPr>
      <w:r>
        <w:rPr>
          <w:rFonts w:ascii="Arial" w:cs="Arial" w:eastAsia="Arial" w:hAnsi="Arial"/>
          <w:sz w:val="18"/>
          <w:szCs w:val="18"/>
          <w:b w:val="1"/>
          <w:bCs w:val="1"/>
          <w:color w:val="EF505F"/>
        </w:rPr>
        <w:t>The information in this preliminary prospectus supplement is not complete and may be changed. This preliminary prospectus supplement and the accompanying prospectus do not constitute an offer to sell these securities or a solicitation of an offer to buy these securities in any jurisdiction where the offer or sale is prohibited.</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EF505F"/>
        </w:rPr>
        <w:t>Subject to Completion, dated May 26,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November 13, 2018)</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12,771,033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2207895</wp:posOffset>
            </wp:positionH>
            <wp:positionV relativeFrom="paragraph">
              <wp:posOffset>160020</wp:posOffset>
            </wp:positionV>
            <wp:extent cx="2726055" cy="334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605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160020</wp:posOffset>
            </wp:positionV>
            <wp:extent cx="1800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This prospectus supplement relates to an offering of 12,771,033 shares of our common stock, par value $0.001 per share, by Sanofi ("Sanofi") and its indirectly wholly owned subsidiary, Aventisub LLC ("Aventisub," and, collectively with Sanofi, the "selling shareholders"). We will not receive any of the proceeds from the sale of shares of our common stock sold in this offering.</w:t>
      </w:r>
    </w:p>
    <w:p>
      <w:pPr>
        <w:spacing w:after="0" w:line="194" w:lineRule="exact"/>
        <w:rPr>
          <w:sz w:val="24"/>
          <w:szCs w:val="24"/>
          <w:color w:val="auto"/>
        </w:rPr>
      </w:pPr>
    </w:p>
    <w:p>
      <w:pPr>
        <w:ind w:right="80" w:firstLine="351"/>
        <w:spacing w:after="0" w:line="291" w:lineRule="auto"/>
        <w:rPr>
          <w:sz w:val="20"/>
          <w:szCs w:val="20"/>
          <w:color w:val="auto"/>
        </w:rPr>
      </w:pPr>
      <w:r>
        <w:rPr>
          <w:rFonts w:ascii="Arial" w:cs="Arial" w:eastAsia="Arial" w:hAnsi="Arial"/>
          <w:sz w:val="16"/>
          <w:szCs w:val="16"/>
          <w:color w:val="auto"/>
        </w:rPr>
        <w:t>Subject to the completion of this offering, we have agreed to purchase an aggregate of approximately $5 billion of common stock from Sanofi at the price at which the shares of common stock are sold to the public in this offering, less the underwriting discount, as described in the section of this prospectus supplement entitled "Prospectus Summary—Recent Developments—Share Repurchase." Following this offering and the approximate $5 billion share repurchase (and assuming that the underwriters exercise their option to purchase additional shares in full), the selling shareholders will have disposed of all of the shares of our common stock held by Sanofi and its affiliates, other than 400,000 shares that Sanofi intends to retain. The share numbers in this prospectus supplement are estimates based on the closing price per share of our common stock on May 22, 2020 of $569.91.</w:t>
      </w:r>
    </w:p>
    <w:p>
      <w:pPr>
        <w:spacing w:after="0" w:line="174" w:lineRule="exact"/>
        <w:rPr>
          <w:sz w:val="24"/>
          <w:szCs w:val="24"/>
          <w:color w:val="auto"/>
        </w:rPr>
      </w:pPr>
    </w:p>
    <w:p>
      <w:pPr>
        <w:ind w:right="120" w:firstLine="351"/>
        <w:spacing w:after="0" w:line="268" w:lineRule="auto"/>
        <w:rPr>
          <w:sz w:val="20"/>
          <w:szCs w:val="20"/>
          <w:color w:val="auto"/>
        </w:rPr>
      </w:pPr>
      <w:r>
        <w:rPr>
          <w:rFonts w:ascii="Arial" w:cs="Arial" w:eastAsia="Arial" w:hAnsi="Arial"/>
          <w:sz w:val="18"/>
          <w:szCs w:val="18"/>
          <w:color w:val="auto"/>
        </w:rPr>
        <w:t>Our common stock is listed for trading on the Nasdaq Global Select Market under the symbol "REGN." The last reported sale price of our common stock on May 22, 2020 was $569.91 per share.</w:t>
      </w:r>
    </w:p>
    <w:p>
      <w:pPr>
        <w:spacing w:after="0" w:line="167" w:lineRule="exact"/>
        <w:rPr>
          <w:sz w:val="24"/>
          <w:szCs w:val="24"/>
          <w:color w:val="auto"/>
        </w:rPr>
      </w:pPr>
    </w:p>
    <w:p>
      <w:pPr>
        <w:ind w:right="60" w:firstLine="351"/>
        <w:spacing w:after="0" w:line="237" w:lineRule="auto"/>
        <w:rPr>
          <w:rFonts w:ascii="Arial" w:cs="Arial" w:eastAsia="Arial" w:hAnsi="Arial"/>
          <w:sz w:val="22"/>
          <w:szCs w:val="22"/>
          <w:b w:val="1"/>
          <w:bCs w:val="1"/>
          <w:color w:val="0000EE"/>
        </w:rPr>
      </w:pPr>
      <w:r>
        <w:rPr>
          <w:rFonts w:ascii="Arial" w:cs="Arial" w:eastAsia="Arial" w:hAnsi="Arial"/>
          <w:sz w:val="22"/>
          <w:szCs w:val="22"/>
          <w:b w:val="1"/>
          <w:bCs w:val="1"/>
          <w:color w:val="auto"/>
        </w:rPr>
        <w:t xml:space="preserve">Investing in our common stock involves risks, including those described in the "Risk Factors" section beginning on </w:t>
      </w:r>
      <w:hyperlink r:id="rId10">
        <w:r>
          <w:rPr>
            <w:rFonts w:ascii="Arial" w:cs="Arial" w:eastAsia="Arial" w:hAnsi="Arial"/>
            <w:sz w:val="22"/>
            <w:szCs w:val="22"/>
            <w:b w:val="1"/>
            <w:bCs w:val="1"/>
            <w:color w:val="auto"/>
          </w:rPr>
          <w:t xml:space="preserve">page S-7 of this prospectus supplement and the sections entitled "Risk Factors" beginning on page 27 of our </w:t>
        </w:r>
        <w:r>
          <w:rPr>
            <w:rFonts w:ascii="Arial" w:cs="Arial" w:eastAsia="Arial" w:hAnsi="Arial"/>
            <w:sz w:val="22"/>
            <w:szCs w:val="22"/>
            <w:b w:val="1"/>
            <w:bCs w:val="1"/>
            <w:u w:val="single" w:color="auto"/>
            <w:color w:val="0000EE"/>
          </w:rPr>
          <w:t>Annual</w:t>
        </w:r>
      </w:hyperlink>
      <w:r>
        <w:rPr>
          <w:rFonts w:ascii="Arial" w:cs="Arial" w:eastAsia="Arial" w:hAnsi="Arial"/>
          <w:sz w:val="22"/>
          <w:szCs w:val="22"/>
          <w:b w:val="1"/>
          <w:bCs w:val="1"/>
          <w:color w:val="auto"/>
        </w:rPr>
        <w:t xml:space="preserve"> </w:t>
      </w:r>
      <w:hyperlink r:id="rId11">
        <w:r>
          <w:rPr>
            <w:rFonts w:ascii="Arial" w:cs="Arial" w:eastAsia="Arial" w:hAnsi="Arial"/>
            <w:sz w:val="22"/>
            <w:szCs w:val="22"/>
            <w:b w:val="1"/>
            <w:bCs w:val="1"/>
            <w:u w:val="single" w:color="auto"/>
            <w:color w:val="0000EE"/>
          </w:rPr>
          <w:t>Report on Form 10-K for the year ended December 31, 2019</w:t>
        </w:r>
        <w:r>
          <w:rPr>
            <w:rFonts w:ascii="Arial" w:cs="Arial" w:eastAsia="Arial" w:hAnsi="Arial"/>
            <w:sz w:val="22"/>
            <w:szCs w:val="22"/>
            <w:b w:val="1"/>
            <w:bCs w:val="1"/>
            <w:color w:val="000000"/>
          </w:rPr>
          <w:t>, and beginning on page 43 of our most recent</w:t>
        </w:r>
        <w:r>
          <w:rPr>
            <w:rFonts w:ascii="Arial" w:cs="Arial" w:eastAsia="Arial" w:hAnsi="Arial"/>
            <w:sz w:val="22"/>
            <w:szCs w:val="22"/>
            <w:b w:val="1"/>
            <w:bCs w:val="1"/>
            <w:color w:val="0000EE"/>
          </w:rPr>
          <w:t xml:space="preserve"> </w:t>
        </w:r>
        <w:r>
          <w:rPr>
            <w:rFonts w:ascii="Arial" w:cs="Arial" w:eastAsia="Arial" w:hAnsi="Arial"/>
            <w:sz w:val="22"/>
            <w:szCs w:val="22"/>
            <w:b w:val="1"/>
            <w:bCs w:val="1"/>
            <w:u w:val="single" w:color="auto"/>
            <w:color w:val="0000EE"/>
          </w:rPr>
          <w:t>Quarterly</w:t>
        </w:r>
      </w:hyperlink>
      <w:r>
        <w:rPr>
          <w:rFonts w:ascii="Arial" w:cs="Arial" w:eastAsia="Arial" w:hAnsi="Arial"/>
          <w:sz w:val="22"/>
          <w:szCs w:val="22"/>
          <w:b w:val="1"/>
          <w:bCs w:val="1"/>
          <w:color w:val="0000EE"/>
        </w:rPr>
        <w:t xml:space="preserve"> </w:t>
      </w:r>
      <w:hyperlink r:id="rId11">
        <w:r>
          <w:rPr>
            <w:rFonts w:ascii="Arial" w:cs="Arial" w:eastAsia="Arial" w:hAnsi="Arial"/>
            <w:sz w:val="22"/>
            <w:szCs w:val="22"/>
            <w:b w:val="1"/>
            <w:bCs w:val="1"/>
            <w:u w:val="single" w:color="auto"/>
            <w:color w:val="0000EE"/>
          </w:rPr>
          <w:t>Report on Form 10-Q for the quarterly period ended March 31, 2020</w:t>
        </w:r>
        <w:r>
          <w:rPr>
            <w:rFonts w:ascii="Arial" w:cs="Arial" w:eastAsia="Arial" w:hAnsi="Arial"/>
            <w:sz w:val="22"/>
            <w:szCs w:val="22"/>
            <w:b w:val="1"/>
            <w:bCs w:val="1"/>
            <w:color w:val="000000"/>
          </w:rPr>
          <w:t xml:space="preserve">, each of which is incorporated by reference into </w:t>
        </w:r>
      </w:hyperlink>
      <w:r>
        <w:rPr>
          <w:rFonts w:ascii="Arial" w:cs="Arial" w:eastAsia="Arial" w:hAnsi="Arial"/>
          <w:sz w:val="22"/>
          <w:szCs w:val="22"/>
          <w:b w:val="1"/>
          <w:bCs w:val="1"/>
          <w:color w:val="0000EE"/>
        </w:rPr>
        <w:t xml:space="preserve">this </w:t>
      </w:r>
      <w:r>
        <w:rPr>
          <w:rFonts w:ascii="Arial" w:cs="Arial" w:eastAsia="Arial" w:hAnsi="Arial"/>
          <w:sz w:val="22"/>
          <w:szCs w:val="22"/>
          <w:b w:val="1"/>
          <w:bCs w:val="1"/>
          <w:color w:val="000000"/>
        </w:rPr>
        <w:t>prospectus supplement.</w:t>
      </w:r>
    </w:p>
    <w:p>
      <w:pPr>
        <w:spacing w:after="0" w:line="20" w:lineRule="exact"/>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column">
              <wp:posOffset>2670810</wp:posOffset>
            </wp:positionH>
            <wp:positionV relativeFrom="paragraph">
              <wp:posOffset>132715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393" w:lineRule="exact"/>
        <w:rPr>
          <w:rFonts w:ascii="Arial" w:cs="Arial" w:eastAsia="Arial" w:hAnsi="Arial"/>
          <w:sz w:val="22"/>
          <w:szCs w:val="22"/>
          <w:b w:val="1"/>
          <w:bCs w:val="1"/>
          <w:color w:val="auto"/>
        </w:rPr>
      </w:pPr>
    </w:p>
    <w:tbl>
      <w:tblPr>
        <w:tblLayout w:type="fixed"/>
        <w:tblInd w:w="14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20" w:type="dxa"/>
            <w:vAlign w:val="bottom"/>
            <w:tcBorders>
              <w:top w:val="single" w:sz="8" w:color="auto"/>
              <w:bottom w:val="single" w:sz="8" w:color="auto"/>
            </w:tcBorders>
          </w:tcPr>
          <w:p>
            <w:pPr>
              <w:spacing w:after="0"/>
              <w:rPr>
                <w:sz w:val="3"/>
                <w:szCs w:val="3"/>
                <w:color w:val="auto"/>
              </w:rPr>
            </w:pPr>
          </w:p>
        </w:tc>
        <w:tc>
          <w:tcPr>
            <w:tcW w:w="210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Per share</w:t>
            </w:r>
          </w:p>
        </w:tc>
        <w:tc>
          <w:tcPr>
            <w:tcW w:w="140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Total</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Public offering price</w:t>
            </w:r>
          </w:p>
        </w:tc>
        <w:tc>
          <w:tcPr>
            <w:tcW w:w="2100" w:type="dxa"/>
            <w:vAlign w:val="bottom"/>
          </w:tcPr>
          <w:p>
            <w:pPr>
              <w:jc w:val="right"/>
              <w:ind w:right="85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97"/>
              <w:spacing w:after="0"/>
              <w:rPr>
                <w:sz w:val="20"/>
                <w:szCs w:val="20"/>
                <w:color w:val="auto"/>
              </w:rPr>
            </w:pPr>
            <w:r>
              <w:rPr>
                <w:rFonts w:ascii="Arial" w:cs="Arial" w:eastAsia="Arial" w:hAnsi="Arial"/>
                <w:sz w:val="18"/>
                <w:szCs w:val="18"/>
                <w:color w:val="auto"/>
              </w:rPr>
              <w:t>$</w:t>
            </w:r>
          </w:p>
        </w:tc>
      </w:tr>
      <w:tr>
        <w:trPr>
          <w:trHeight w:val="21"/>
        </w:trPr>
        <w:tc>
          <w:tcPr>
            <w:tcW w:w="4840" w:type="dxa"/>
            <w:vAlign w:val="bottom"/>
            <w:tcBorders>
              <w:bottom w:val="single" w:sz="8" w:color="auto"/>
            </w:tcBorders>
            <w:gridSpan w:val="2"/>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2100" w:type="dxa"/>
            <w:vAlign w:val="bottom"/>
          </w:tcPr>
          <w:p>
            <w:pPr>
              <w:jc w:val="right"/>
              <w:ind w:right="85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97"/>
              <w:spacing w:after="0"/>
              <w:rPr>
                <w:sz w:val="20"/>
                <w:szCs w:val="20"/>
                <w:color w:val="auto"/>
              </w:rPr>
            </w:pPr>
            <w:r>
              <w:rPr>
                <w:rFonts w:ascii="Arial" w:cs="Arial" w:eastAsia="Arial" w:hAnsi="Arial"/>
                <w:sz w:val="18"/>
                <w:szCs w:val="18"/>
                <w:color w:val="auto"/>
              </w:rPr>
              <w:t>$</w:t>
            </w:r>
          </w:p>
        </w:tc>
      </w:tr>
      <w:tr>
        <w:trPr>
          <w:trHeight w:val="21"/>
        </w:trPr>
        <w:tc>
          <w:tcPr>
            <w:tcW w:w="4840" w:type="dxa"/>
            <w:vAlign w:val="bottom"/>
            <w:tcBorders>
              <w:bottom w:val="single" w:sz="8" w:color="auto"/>
            </w:tcBorders>
            <w:gridSpan w:val="2"/>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Proceeds, before expenses, to the selling shareholders</w:t>
            </w:r>
          </w:p>
        </w:tc>
        <w:tc>
          <w:tcPr>
            <w:tcW w:w="2100" w:type="dxa"/>
            <w:vAlign w:val="bottom"/>
          </w:tcPr>
          <w:p>
            <w:pPr>
              <w:jc w:val="right"/>
              <w:ind w:right="85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97"/>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8" w:lineRule="exact"/>
        <w:rPr>
          <w:rFonts w:ascii="Arial" w:cs="Arial" w:eastAsia="Arial" w:hAnsi="Arial"/>
          <w:sz w:val="22"/>
          <w:szCs w:val="22"/>
          <w:b w:val="1"/>
          <w:bCs w:val="1"/>
          <w:color w:val="auto"/>
        </w:rPr>
      </w:pPr>
    </w:p>
    <w:p>
      <w:pPr>
        <w:ind w:right="180" w:firstLine="348"/>
        <w:spacing w:after="0" w:line="268" w:lineRule="auto"/>
        <w:rPr>
          <w:sz w:val="20"/>
          <w:szCs w:val="20"/>
          <w:color w:val="auto"/>
        </w:rPr>
      </w:pPr>
      <w:r>
        <w:rPr>
          <w:rFonts w:ascii="Arial" w:cs="Arial" w:eastAsia="Arial" w:hAnsi="Arial"/>
          <w:sz w:val="18"/>
          <w:szCs w:val="18"/>
          <w:color w:val="auto"/>
        </w:rPr>
        <w:t>The underwriters may also purchase up to an additional 1,277,103 shares of our common stock from the selling shareholders at the public offering price, less the underwriting discount, within 30 days from the date of this prospectus supplement.</w:t>
      </w:r>
    </w:p>
    <w:p>
      <w:pPr>
        <w:spacing w:after="0" w:line="180" w:lineRule="exact"/>
        <w:rPr>
          <w:rFonts w:ascii="Arial" w:cs="Arial" w:eastAsia="Arial" w:hAnsi="Arial"/>
          <w:sz w:val="22"/>
          <w:szCs w:val="22"/>
          <w:b w:val="1"/>
          <w:bCs w:val="1"/>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92" w:lineRule="exact"/>
        <w:rPr>
          <w:rFonts w:ascii="Arial" w:cs="Arial" w:eastAsia="Arial" w:hAnsi="Arial"/>
          <w:sz w:val="22"/>
          <w:szCs w:val="22"/>
          <w:b w:val="1"/>
          <w:bCs w:val="1"/>
          <w:color w:val="auto"/>
        </w:rPr>
      </w:pPr>
    </w:p>
    <w:tbl>
      <w:tblPr>
        <w:tblLayout w:type="fixed"/>
        <w:tblInd w:w="360" w:type="dxa"/>
        <w:tblCellMar>
          <w:top w:w="0" w:type="dxa"/>
          <w:left w:w="0" w:type="dxa"/>
          <w:bottom w:w="0" w:type="dxa"/>
          <w:right w:w="0" w:type="dxa"/>
        </w:tblCellMar>
      </w:tblP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The underwriters expect to deliver the shares on or about</w:t>
            </w:r>
          </w:p>
        </w:tc>
        <w:tc>
          <w:tcPr>
            <w:tcW w:w="2160" w:type="dxa"/>
            <w:vAlign w:val="bottom"/>
          </w:tcPr>
          <w:p>
            <w:pPr>
              <w:jc w:val="right"/>
              <w:ind w:right="1052"/>
              <w:spacing w:after="0"/>
              <w:rPr>
                <w:sz w:val="20"/>
                <w:szCs w:val="20"/>
                <w:color w:val="auto"/>
              </w:rPr>
            </w:pPr>
            <w:r>
              <w:rPr>
                <w:rFonts w:ascii="Arial" w:cs="Arial" w:eastAsia="Arial" w:hAnsi="Arial"/>
                <w:sz w:val="18"/>
                <w:szCs w:val="18"/>
                <w:color w:val="auto"/>
              </w:rPr>
              <w:t>, 2020.</w:t>
            </w:r>
          </w:p>
        </w:tc>
      </w:tr>
      <w:tr>
        <w:trPr>
          <w:trHeight w:val="218"/>
        </w:trPr>
        <w:tc>
          <w:tcPr>
            <w:tcW w:w="38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r>
    </w:tbl>
    <w:p>
      <w:pPr>
        <w:spacing w:after="0" w:line="200" w:lineRule="exact"/>
        <w:rPr>
          <w:rFonts w:ascii="Arial" w:cs="Arial" w:eastAsia="Arial" w:hAnsi="Arial"/>
          <w:sz w:val="22"/>
          <w:szCs w:val="22"/>
          <w:b w:val="1"/>
          <w:bCs w:val="1"/>
          <w:color w:val="auto"/>
        </w:rPr>
      </w:pPr>
    </w:p>
    <w:p>
      <w:pPr>
        <w:sectPr>
          <w:pgSz w:w="11900" w:h="16838" w:orient="portrait"/>
          <w:cols w:equalWidth="0" w:num="1">
            <w:col w:w="11240"/>
          </w:cols>
          <w:pgMar w:left="320" w:top="685" w:right="339" w:bottom="0" w:gutter="0" w:footer="0" w:header="0"/>
        </w:sectPr>
      </w:pPr>
    </w:p>
    <w:p>
      <w:pPr>
        <w:spacing w:after="0" w:line="332" w:lineRule="exact"/>
        <w:rPr>
          <w:rFonts w:ascii="Arial" w:cs="Arial" w:eastAsia="Arial" w:hAnsi="Arial"/>
          <w:sz w:val="22"/>
          <w:szCs w:val="22"/>
          <w:b w:val="1"/>
          <w:bCs w:val="1"/>
          <w:color w:val="auto"/>
        </w:rPr>
      </w:pPr>
    </w:p>
    <w:p>
      <w:pPr>
        <w:jc w:val="center"/>
        <w:spacing w:after="0"/>
        <w:rPr>
          <w:sz w:val="20"/>
          <w:szCs w:val="20"/>
          <w:color w:val="auto"/>
        </w:rPr>
      </w:pPr>
      <w:r>
        <w:rPr>
          <w:rFonts w:ascii="Arial" w:cs="Arial" w:eastAsia="Arial" w:hAnsi="Arial"/>
          <w:sz w:val="16"/>
          <w:szCs w:val="16"/>
          <w:i w:val="1"/>
          <w:iCs w:val="1"/>
          <w:color w:val="auto"/>
        </w:rPr>
        <w:t>Joint Book-Running Managers</w:t>
      </w:r>
    </w:p>
    <w:p>
      <w:pPr>
        <w:sectPr>
          <w:pgSz w:w="11900" w:h="16838" w:orient="portrait"/>
          <w:cols w:equalWidth="0" w:num="1">
            <w:col w:w="11240"/>
          </w:cols>
          <w:pgMar w:left="320" w:top="685" w:right="339" w:bottom="0" w:gutter="0" w:footer="0" w:header="0"/>
          <w:type w:val="continuous"/>
        </w:sectPr>
      </w:pPr>
    </w:p>
    <w:bookmarkStart w:id="1" w:name="page2"/>
    <w:bookmarkEnd w:id="1"/>
    <w:p>
      <w:pPr>
        <w:spacing w:after="0"/>
        <w:tabs>
          <w:tab w:leader="none" w:pos="8360" w:val="left"/>
        </w:tabs>
        <w:rPr>
          <w:sz w:val="20"/>
          <w:szCs w:val="20"/>
          <w:color w:val="auto"/>
        </w:rPr>
      </w:pPr>
      <w:r>
        <w:rPr>
          <w:rFonts w:ascii="Arial" w:cs="Arial" w:eastAsia="Arial" w:hAnsi="Arial"/>
          <w:sz w:val="24"/>
          <w:szCs w:val="24"/>
          <w:b w:val="1"/>
          <w:bCs w:val="1"/>
          <w:color w:val="auto"/>
        </w:rPr>
        <w:t>BofA Securities</w:t>
      </w:r>
      <w:r>
        <w:rPr>
          <w:sz w:val="20"/>
          <w:szCs w:val="20"/>
          <w:color w:val="auto"/>
        </w:rPr>
        <w:tab/>
      </w:r>
      <w:r>
        <w:rPr>
          <w:rFonts w:ascii="Arial" w:cs="Arial" w:eastAsia="Arial" w:hAnsi="Arial"/>
          <w:sz w:val="22"/>
          <w:szCs w:val="22"/>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160020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Pr>
          <w:p>
            <w:pPr>
              <w:ind w:left="3740"/>
              <w:spacing w:after="0"/>
              <w:rPr>
                <w:sz w:val="20"/>
                <w:szCs w:val="20"/>
                <w:color w:val="auto"/>
              </w:rPr>
            </w:pPr>
            <w:r>
              <w:rPr>
                <w:rFonts w:ascii="Arial" w:cs="Arial" w:eastAsia="Arial" w:hAnsi="Arial"/>
                <w:sz w:val="18"/>
                <w:szCs w:val="18"/>
                <w:b w:val="1"/>
                <w:bCs w:val="1"/>
                <w:color w:val="auto"/>
              </w:rPr>
              <w:t>Prospectus Supplement dated</w:t>
            </w:r>
          </w:p>
        </w:tc>
        <w:tc>
          <w:tcPr>
            <w:tcW w:w="4740" w:type="dxa"/>
            <w:vAlign w:val="bottom"/>
          </w:tcPr>
          <w:p>
            <w:pPr>
              <w:jc w:val="right"/>
              <w:ind w:right="3652"/>
              <w:spacing w:after="0"/>
              <w:rPr>
                <w:sz w:val="20"/>
                <w:szCs w:val="20"/>
                <w:color w:val="auto"/>
              </w:rPr>
            </w:pPr>
            <w:r>
              <w:rPr>
                <w:rFonts w:ascii="Arial" w:cs="Arial" w:eastAsia="Arial" w:hAnsi="Arial"/>
                <w:sz w:val="18"/>
                <w:szCs w:val="18"/>
                <w:b w:val="1"/>
                <w:bCs w:val="1"/>
                <w:color w:val="auto"/>
              </w:rPr>
              <w:t>, 2020.</w:t>
            </w:r>
          </w:p>
        </w:tc>
      </w:tr>
      <w:tr>
        <w:trPr>
          <w:trHeight w:val="228"/>
        </w:trPr>
        <w:tc>
          <w:tcPr>
            <w:tcW w:w="650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Prospectus Supplement</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340" w:type="dxa"/>
            <w:vAlign w:val="bottom"/>
            <w:gridSpan w:val="4"/>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tc>
        <w:tc>
          <w:tcPr>
            <w:tcW w:w="4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8340" w:type="dxa"/>
            <w:vAlign w:val="bottom"/>
            <w:gridSpan w:val="4"/>
            <w:vMerge w:val="continue"/>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SPECIAL NOTE REGARDING FORWARD-LOOKING STATEMENTS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S-iii</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 REGARDING TRADEMARKS AND TRADE NAMES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S-v</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SUMMARY</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S-1</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S-7</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SELECTED CONSOLIDATED HISTORICAL FINANCIAL DATA</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S-11</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USE OF PROCEEDS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S-13</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CAPITALIZATION</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S-14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SELLING SHAREHOLDERS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S-15</w:t>
              </w:r>
            </w:hyperlink>
          </w:p>
        </w:tc>
        <w:tc>
          <w:tcPr>
            <w:tcW w:w="0" w:type="dxa"/>
            <w:vAlign w:val="bottom"/>
          </w:tcPr>
          <w:p>
            <w:pPr>
              <w:spacing w:after="0"/>
              <w:rPr>
                <w:sz w:val="1"/>
                <w:szCs w:val="1"/>
                <w:color w:val="auto"/>
              </w:rPr>
            </w:pPr>
          </w:p>
        </w:tc>
      </w:tr>
      <w:tr>
        <w:trPr>
          <w:trHeight w:val="184"/>
        </w:trPr>
        <w:tc>
          <w:tcPr>
            <w:tcW w:w="8340" w:type="dxa"/>
            <w:vAlign w:val="bottom"/>
            <w:gridSpan w:val="4"/>
          </w:tcPr>
          <w:p>
            <w:pPr>
              <w:spacing w:after="0" w:line="184" w:lineRule="exact"/>
              <w:rPr>
                <w:rFonts w:ascii="Arial" w:cs="Arial" w:eastAsia="Arial" w:hAnsi="Arial"/>
                <w:sz w:val="18"/>
                <w:szCs w:val="18"/>
                <w:color w:val="0000EE"/>
              </w:rPr>
            </w:pPr>
            <w:hyperlink w:anchor="page23">
              <w:r>
                <w:rPr>
                  <w:rFonts w:ascii="Arial" w:cs="Arial" w:eastAsia="Arial" w:hAnsi="Arial"/>
                  <w:sz w:val="18"/>
                  <w:szCs w:val="18"/>
                  <w:color w:val="0000EE"/>
                </w:rPr>
                <w:t>MATERIAL U.S. FEDERAL INCOME TAX CONSIDERATIONS TO NON-U.S. HOLDERS OF COMMON</w:t>
              </w:r>
            </w:hyperlink>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6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STOCK</w:t>
              </w:r>
            </w:hyperlink>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2"/>
          </w:tcPr>
          <w:p>
            <w:pPr>
              <w:jc w:val="right"/>
              <w:spacing w:after="0" w:line="196"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S-16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gridSpan w:val="4"/>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UNDERWRITING</w:t>
              </w:r>
            </w:hyperlink>
          </w:p>
        </w:tc>
        <w:tc>
          <w:tcPr>
            <w:tcW w:w="40" w:type="dxa"/>
            <w:vAlign w:val="bottom"/>
          </w:tcPr>
          <w:p>
            <w:pPr>
              <w:spacing w:after="0"/>
              <w:rPr>
                <w:sz w:val="19"/>
                <w:szCs w:val="19"/>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S-20</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VALIDITY OF THE COMMON STOCK</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S-27</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EXPERTS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S-27</w:t>
              </w:r>
            </w:hyperlink>
          </w:p>
        </w:tc>
        <w:tc>
          <w:tcPr>
            <w:tcW w:w="0" w:type="dxa"/>
            <w:vAlign w:val="bottom"/>
          </w:tcPr>
          <w:p>
            <w:pPr>
              <w:spacing w:after="0"/>
              <w:rPr>
                <w:sz w:val="1"/>
                <w:szCs w:val="1"/>
                <w:color w:val="auto"/>
              </w:rPr>
            </w:pPr>
          </w:p>
        </w:tc>
      </w:tr>
      <w:tr>
        <w:trPr>
          <w:trHeight w:val="222"/>
        </w:trPr>
        <w:tc>
          <w:tcPr>
            <w:tcW w:w="834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WHERE YOU CAN FIND MORE INFORMATION AND INCORPORATION BY REFERENCE</w:t>
              </w:r>
            </w:hyperlink>
          </w:p>
        </w:tc>
        <w:tc>
          <w:tcPr>
            <w:tcW w:w="40" w:type="dxa"/>
            <w:vAlign w:val="bottom"/>
          </w:tcPr>
          <w:p>
            <w:pPr>
              <w:spacing w:after="0"/>
              <w:rPr>
                <w:sz w:val="19"/>
                <w:szCs w:val="19"/>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S-28</w:t>
              </w:r>
            </w:hyperlink>
          </w:p>
        </w:tc>
        <w:tc>
          <w:tcPr>
            <w:tcW w:w="0" w:type="dxa"/>
            <w:vAlign w:val="bottom"/>
          </w:tcPr>
          <w:p>
            <w:pPr>
              <w:spacing w:after="0"/>
              <w:rPr>
                <w:sz w:val="1"/>
                <w:szCs w:val="1"/>
                <w:color w:val="auto"/>
              </w:rPr>
            </w:pPr>
          </w:p>
        </w:tc>
      </w:tr>
      <w:tr>
        <w:trPr>
          <w:trHeight w:val="648"/>
        </w:trPr>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0" w:type="dxa"/>
            <w:vAlign w:val="bottom"/>
            <w:gridSpan w:val="2"/>
          </w:tcPr>
          <w:p>
            <w:pPr>
              <w:ind w:left="3320"/>
              <w:spacing w:after="0"/>
              <w:rPr>
                <w:sz w:val="20"/>
                <w:szCs w:val="20"/>
                <w:color w:val="auto"/>
              </w:rPr>
            </w:pPr>
            <w:r>
              <w:rPr>
                <w:rFonts w:ascii="Arial" w:cs="Arial" w:eastAsia="Arial" w:hAnsi="Arial"/>
                <w:sz w:val="18"/>
                <w:szCs w:val="18"/>
                <w:b w:val="1"/>
                <w:bCs w:val="1"/>
                <w:color w:val="auto"/>
              </w:rPr>
              <w:t>Prospectus</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340" w:type="dxa"/>
            <w:vAlign w:val="bottom"/>
            <w:gridSpan w:val="4"/>
            <w:vMerge w:val="restart"/>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ABOUT THIS PROSPECTUS</w:t>
              </w:r>
            </w:hyperlink>
          </w:p>
        </w:tc>
        <w:tc>
          <w:tcPr>
            <w:tcW w:w="4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834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CAUTIONARY STATEMENT REGARDING FORWARD-LOOKING STATEMENTS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NOTE REGARDING TRADEMARKS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SUMMARY</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USE OF PROCEEDS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SECURITIES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CAPITAL STOCK</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DESCRIPTION OF DEBT SECURITIES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DESCRIPTION OF WARRANTS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14</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PLAN OF DISTRIBUTION</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15</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LEGAL MATTERS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EXPERTS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22"/>
        </w:trPr>
        <w:tc>
          <w:tcPr>
            <w:tcW w:w="8340" w:type="dxa"/>
            <w:vAlign w:val="bottom"/>
            <w:gridSpan w:val="4"/>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WHERE YOU CAN FIND MORE INFORMATION</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When used in this prospectus supplement, the terms "Regeneron," "Company," "we," "our," and "us" refer to Regeneron Pharmaceuticals, Inc. and its subsidiaries, unless otherwise specified.</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This document is in two parts. The first part is this prospectus supplement, which contains specific information about the selling shareholders and the terms on which the selling shareholders are offering and selling our common stock. The second part is the accompanying prospectus dated November 13, 2018, which contains and incorporates by reference important business and financial information about us and other information about the offering.</w:t>
      </w:r>
    </w:p>
    <w:p>
      <w:pPr>
        <w:spacing w:after="0" w:line="160"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supplement and the accompanying prospectus are part of a registration statement that we filed with the SEC using a "shelf" registration process. In this prospectus supplement, we provide you with specific information about the shares of our common stock that the selling shareholders are selling in this offering. Both this prospectus supplement and the accompanying prospectus include important information about us, our common stock, the selling shareholders and other information you should know before investing. This prospectus supplement also adds to, updates and changes information contained in the accompanying prospectus. You should read both this prospectus supplement and the accompanying prospectus as well as additional information described under "Where You Can Find More Information and Incorporation By Reference" beginning on page S-28 of this prospectus supplement before investing in our common stock. Generally, when we refer to the prospectus, we are referring to both parts of this document combined together with additional information described under "Where You Can Find More Information and Incorporation By Reference" on page S-28.</w:t>
      </w:r>
    </w:p>
    <w:p>
      <w:pPr>
        <w:spacing w:after="0" w:line="17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Before you invest in our common stock, you also should carefully read the registration statement (including the exhibits thereto), of which this prospectus supplement and the accompanying prospectus form a part, and the documents incorporated by reference therein.</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responsible for the information contained in or incorporated by reference into this prospectus supplement and the accompanying prospectus or in any free writing prospectus. Neither we, the selling shareholders, nor any of the underwriters have authorized anyone to provide you with different information. We are not, and the selling shareholders and the underwriters are not, making an offer to sell our common stock in any jurisdiction where the offer or sale is not permitted. You should assume that the information appearing in this prospectus supplement, the accompanying prospectus, the registration statement, and the documents incorporated by reference herein or therein is accurate only as of their respective dates. Our business, financial condition, results of operations, and prospects may have changed since those dates.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prospectus supplement and the accompanying prospectus, including the documents incorporated by reference herein and therein, and other statements that Regeneron may make, may contain forward-looking statements with respect to Regeneron's future financial or business performance, strategies or expectations,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w:t>
      </w:r>
    </w:p>
    <w:p>
      <w:pPr>
        <w:spacing w:after="0" w:line="20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These statements concern, and these risks and uncertainties include, among others, the impact of SARS-CoV-2 (the virus that has caused the COVID-19 pandemic) on Regeneron's business and its employees, collaborators, suppliers, and other third parties on which Regeneron relies, Regeneron's and its collaborators' ability to continue to conduct research and clinical programs, Regeneron's ability to manage its supply chain, net product sales of products marketed by Regeneron and/or its collaborators (collectively, "Regeneron's Products"), and the global economy; the nature, timing, and possible success and therapeutic applications of Regeneron's Products and our product candidates and research and clinical programs now underway or planned, including without limitation EYLEA® (aflibercept) Injection, Dupixent® (dupilumab) Injection, Libtayo® (cemiplimab) Injection, Praluent® (alirocumab) Injection, Kevzara® (sarilumab) Injection, fasinumab, evinacumab, REGN-EB3, garetosmab, pozelimab, Regeneron's oncology programs (including its costimulatory bispecific portfolio), Regeneron's COVID-19 antibody program and other earlier-stage programs, and the use of human genetics in Regeneron's research programs; the likelihood and timing of achieving any of our anticipated development milestones; unforeseen safety issues resulting from the administration of Regeneron's Products and product candidates in patients, including serious complications or side effects in connection with the use of Regeneron's Products and product candidates in clinical trials; the likelihood and timing of possible regulatory approval and commercial launch of our late-stage product candidates and new indications for Regeneron's Products, including without limitation EYLEA, Dupixent, Libtayo, Praluent, Kevzara, fasinumab, evinacumab, REGN-EB3, garetosmab, pozelimab, and REGN1979; the extent to which the results from the research and development programs conducted by us or our collaborators may be replicated in other studies and lead to therapeutic applications; ongoing regulatory obligations and oversight impacting Regeneron's Products (such as EYLEA, Dupixent, Libtayo, Praluent, and Kevzara), research and clinical programs, and business, including those relating to patient privacy; determinations by regulatory and administrative governmental authorities which may delay or restrict our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product candidates; coverage and reimbursement determinations by third-party payors, including Medicare and Medicaid; unanticipated expenses; the costs of developing, producing, and selling products; our ability to meet any of our financial projections or guidance,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Dupixent and Praluent described further in the notes to our financial statements incorporated by reference into this prospectus supplement), other litigation and other proceedings and governmental investigations relating to the Company and/or its operations (including, without limitation, those described in the notes to our financial statements incorporated by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reference into this prospectus supplement), the ultimate outcome of any such proceedings and investigations, and the impact any of the foregoing may have on our business, prospects, operating results, and financial condition.</w:t>
      </w:r>
    </w:p>
    <w:p>
      <w:pPr>
        <w:spacing w:after="0" w:line="186" w:lineRule="exact"/>
        <w:rPr>
          <w:sz w:val="20"/>
          <w:szCs w:val="20"/>
          <w:color w:val="auto"/>
        </w:rPr>
      </w:pPr>
    </w:p>
    <w:p>
      <w:pPr>
        <w:ind w:right="60" w:firstLine="344"/>
        <w:spacing w:after="0" w:line="298" w:lineRule="auto"/>
        <w:rPr>
          <w:sz w:val="20"/>
          <w:szCs w:val="20"/>
          <w:color w:val="auto"/>
        </w:rPr>
      </w:pPr>
      <w:r>
        <w:rPr>
          <w:rFonts w:ascii="Arial" w:cs="Arial" w:eastAsia="Arial" w:hAnsi="Arial"/>
          <w:sz w:val="16"/>
          <w:szCs w:val="16"/>
          <w:color w:val="auto"/>
        </w:rPr>
        <w:t>You are cautioned not to rely on any such statements. In evaluating such statements, shareholders and potential investors should specifically consider the various factors described in the "Risk Factors" on page S-6 of this prospectus supplement and in our documents filed with the SEC,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TRADEMARKS AND TRADE NAMES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"ARCALYST®," "EYLEA®," "Libtayo®" (in the United States), "Praluent®" (in the United States), "Regeneron®," "Regeneron Genetics Center®," "</w:t>
      </w:r>
      <w:r>
        <w:rPr>
          <w:rFonts w:ascii="Arial" w:cs="Arial" w:eastAsia="Arial" w:hAnsi="Arial"/>
          <w:sz w:val="18"/>
          <w:szCs w:val="18"/>
          <w:i w:val="1"/>
          <w:iCs w:val="1"/>
          <w:color w:val="auto"/>
        </w:rPr>
        <w:t>Veloci-Bi</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18"/>
          <w:szCs w:val="18"/>
          <w:color w:val="auto"/>
        </w:rPr>
        <w:t>®," "</w:t>
      </w:r>
      <w:r>
        <w:rPr>
          <w:rFonts w:ascii="Arial" w:cs="Arial" w:eastAsia="Arial" w:hAnsi="Arial"/>
          <w:sz w:val="18"/>
          <w:szCs w:val="18"/>
          <w:i w:val="1"/>
          <w:iCs w:val="1"/>
          <w:color w:val="auto"/>
        </w:rPr>
        <w:t>VelociSuite</w:t>
      </w:r>
      <w:r>
        <w:rPr>
          <w:rFonts w:ascii="Arial" w:cs="Arial" w:eastAsia="Arial" w:hAnsi="Arial"/>
          <w:sz w:val="18"/>
          <w:szCs w:val="18"/>
          <w:color w:val="auto"/>
        </w:rPr>
        <w:t>®," "</w:t>
      </w:r>
      <w:r>
        <w:rPr>
          <w:rFonts w:ascii="Arial" w:cs="Arial" w:eastAsia="Arial" w:hAnsi="Arial"/>
          <w:sz w:val="18"/>
          <w:szCs w:val="18"/>
          <w:i w:val="1"/>
          <w:iCs w:val="1"/>
          <w:color w:val="auto"/>
        </w:rPr>
        <w:t>VelociT</w:t>
      </w:r>
      <w:r>
        <w:rPr>
          <w:rFonts w:ascii="Arial" w:cs="Arial" w:eastAsia="Arial" w:hAnsi="Arial"/>
          <w:sz w:val="18"/>
          <w:szCs w:val="18"/>
          <w:color w:val="auto"/>
        </w:rPr>
        <w:t>™," and "ZALTRAP®" are trademarks of Regeneron Pharmaceuticals, Inc. Trademarks and trade names of other companies appearing in this prospectus supplement are, to the knowledge of Regeneron Pharmaceuticals, Inc., the property of their respective owners.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6339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included elsewhere or incorporated by reference into this prospectus supplement or the accompanying prospectus. Because this is a summary, it may not contain all the information that is important to you. You should read this entire prospectus supplement and the accompanying prospectus, including the information incorporated by reference herein and therein, before making an investment decision.</w:t>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240" w:right="20" w:firstLine="351"/>
        <w:spacing w:after="0" w:line="306" w:lineRule="auto"/>
        <w:rPr>
          <w:sz w:val="20"/>
          <w:szCs w:val="20"/>
          <w:color w:val="auto"/>
        </w:rPr>
      </w:pPr>
      <w:r>
        <w:rPr>
          <w:rFonts w:ascii="Arial" w:cs="Arial" w:eastAsia="Arial" w:hAnsi="Arial"/>
          <w:sz w:val="16"/>
          <w:szCs w:val="16"/>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infectious diseases, and rare diseases.</w:t>
      </w:r>
    </w:p>
    <w:p>
      <w:pPr>
        <w:spacing w:after="0" w:line="160" w:lineRule="exact"/>
        <w:rPr>
          <w:sz w:val="20"/>
          <w:szCs w:val="20"/>
          <w:color w:val="auto"/>
        </w:rPr>
      </w:pPr>
    </w:p>
    <w:p>
      <w:pPr>
        <w:jc w:val="both"/>
        <w:ind w:left="240" w:right="180" w:firstLine="351"/>
        <w:spacing w:after="0" w:line="306"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160" w:lineRule="exact"/>
        <w:rPr>
          <w:sz w:val="20"/>
          <w:szCs w:val="20"/>
          <w:color w:val="auto"/>
        </w:rPr>
      </w:pPr>
    </w:p>
    <w:p>
      <w:pPr>
        <w:ind w:left="240" w:firstLine="348"/>
        <w:spacing w:after="0" w:line="287" w:lineRule="auto"/>
        <w:rPr>
          <w:sz w:val="20"/>
          <w:szCs w:val="20"/>
          <w:color w:val="auto"/>
        </w:rPr>
      </w:pPr>
      <w:r>
        <w:rPr>
          <w:rFonts w:ascii="Arial" w:cs="Arial" w:eastAsia="Arial" w:hAnsi="Arial"/>
          <w:sz w:val="16"/>
          <w:szCs w:val="16"/>
          <w:color w:val="auto"/>
        </w:rPr>
        <w:t xml:space="preserve">We currently have seven products that have received marketing approval, which are currently marketed by us, Bayer, and/or Sanofi: EYLEA® (aflibercept) Injection, Dupixent® (dupilumab) Injection, Libtayo® (cemiplimab) Injection, Praluent® (alirocumab) Injection, Kevzara® (sarilumab) Solution for Subcutaneous Injection, ARCALYST® (rilonacept) Injection for Subcutaneous Use, and ZALTRAP® (ziv-aflibercept) Injection for Intravenous Infusion. All 22 of our product candidates in clinical development, including the five U.S. Food and Drug Administration ("FDA") approved products which we are investigating in additional indications, were discovered in our research laboratories. 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16"/>
          <w:szCs w:val="16"/>
          <w:color w:val="auto"/>
        </w:rPr>
        <w:t>® technology platforms. We continue to invest in the development of enabling technologies to assist in our efforts to identify, develop, manufacture, and commercialize new product candidates. Our preclinical research programs include the areas of oncology/immuno-oncology, angiogenesis, ophthalmology, metabolic and related diseases, muscle diseases and disorders, inflammation and immune diseases, bone and cartilage, pain and neurobiology, cardiovascular diseases, infectious diseases, and diseases related to aging.</w:t>
      </w:r>
    </w:p>
    <w:p>
      <w:pPr>
        <w:spacing w:after="0" w:line="396" w:lineRule="exact"/>
        <w:rPr>
          <w:sz w:val="20"/>
          <w:szCs w:val="20"/>
          <w:color w:val="auto"/>
        </w:rPr>
      </w:pPr>
    </w:p>
    <w:p>
      <w:pPr>
        <w:jc w:val="both"/>
        <w:ind w:left="240" w:right="20" w:firstLine="351"/>
        <w:spacing w:after="0" w:line="306" w:lineRule="auto"/>
        <w:rPr>
          <w:sz w:val="20"/>
          <w:szCs w:val="20"/>
          <w:color w:val="auto"/>
        </w:rPr>
      </w:pPr>
      <w:r>
        <w:rPr>
          <w:rFonts w:ascii="Arial" w:cs="Arial" w:eastAsia="Arial" w:hAnsi="Arial"/>
          <w:sz w:val="16"/>
          <w:szCs w:val="16"/>
          <w:color w:val="auto"/>
        </w:rPr>
        <w:t xml:space="preserve">Our principal executive offices are located at 777 Old Saw Mill River Road, Tarrytown, New York 10591, and our telephone number at that address is (914) 847-7000. Our website address is </w:t>
      </w:r>
      <w:r>
        <w:rPr>
          <w:rFonts w:ascii="Arial" w:cs="Arial" w:eastAsia="Arial" w:hAnsi="Arial"/>
          <w:sz w:val="16"/>
          <w:szCs w:val="16"/>
          <w:i w:val="1"/>
          <w:iCs w:val="1"/>
          <w:color w:val="auto"/>
        </w:rPr>
        <w:t>www.regeneron.com</w:t>
      </w:r>
      <w:r>
        <w:rPr>
          <w:rFonts w:ascii="Arial" w:cs="Arial" w:eastAsia="Arial" w:hAnsi="Arial"/>
          <w:sz w:val="16"/>
          <w:szCs w:val="16"/>
          <w:color w:val="auto"/>
        </w:rPr>
        <w:t>. The information on, or accessible through, our website is not part of this prospectus and should not be relied upon in connection with making any investment decision with respect to the securities offered by this prospectus supplement.</w:t>
      </w: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Ownership</w:t>
      </w:r>
    </w:p>
    <w:p>
      <w:pPr>
        <w:spacing w:after="0" w:line="231" w:lineRule="exact"/>
        <w:rPr>
          <w:sz w:val="20"/>
          <w:szCs w:val="20"/>
          <w:color w:val="auto"/>
        </w:rPr>
      </w:pPr>
    </w:p>
    <w:p>
      <w:pPr>
        <w:ind w:left="240" w:right="100" w:firstLine="351"/>
        <w:spacing w:after="0" w:line="294" w:lineRule="auto"/>
        <w:rPr>
          <w:sz w:val="20"/>
          <w:szCs w:val="20"/>
          <w:color w:val="auto"/>
        </w:rPr>
      </w:pPr>
      <w:r>
        <w:rPr>
          <w:rFonts w:ascii="Arial" w:cs="Arial" w:eastAsia="Arial" w:hAnsi="Arial"/>
          <w:sz w:val="16"/>
          <w:szCs w:val="16"/>
          <w:color w:val="auto"/>
        </w:rPr>
        <w:t>Regeneron is an independent, publicly traded company, with no single majority shareholder and a majority of independent directors on its board of directors. As of March 31, 2020, Sanofi, directly and indirectly through Aventisub, owned approximately 20.7% of outstanding shares of our common stock and Class A stock. Following this offering and the approximate $5 billion share repurchase (and assuming that the underwriters exercise their option to purchase additional shares in full), the selling shareholders will have disposed of all of the shares of our common stock held by Sanofi and its affiliates, other than 400,000 shares that Sanofi intends to retain.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5927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Share Repurchase</w:t>
      </w:r>
    </w:p>
    <w:p>
      <w:pPr>
        <w:spacing w:after="0" w:line="231" w:lineRule="exact"/>
        <w:rPr>
          <w:sz w:val="20"/>
          <w:szCs w:val="20"/>
          <w:color w:val="auto"/>
        </w:rPr>
      </w:pPr>
    </w:p>
    <w:p>
      <w:pPr>
        <w:ind w:left="240" w:firstLine="351"/>
        <w:spacing w:after="0" w:line="288" w:lineRule="auto"/>
        <w:rPr>
          <w:sz w:val="20"/>
          <w:szCs w:val="20"/>
          <w:color w:val="auto"/>
        </w:rPr>
      </w:pPr>
      <w:r>
        <w:rPr>
          <w:rFonts w:ascii="Arial" w:cs="Arial" w:eastAsia="Arial" w:hAnsi="Arial"/>
          <w:sz w:val="16"/>
          <w:szCs w:val="16"/>
          <w:color w:val="auto"/>
        </w:rPr>
        <w:t>On May 25, 2020, we entered into a stock repurchase agreement with Sanofi, pursuant to which we have agreed to purchase an aggregate of approximately $5 billion of common stock from Sanofi at the price at which the shares of common stock are sold to the public in this offering, less the underwriting discount (the "Repurchase"). Closing of the Repurchase is conditioned on, and is expected to occur immediately after, the completion of this offering and is subject to other customary closing conditions. Any shares bought in the Repurchase will thereafter cease to be outstanding and will be retained as treasury shares or cancelled. We currently intend to use cash on hand, together with borrowings under new indebtedness (described further under "Bridge Loan Facility" below), to fund the Repurchase. The Repurchase is in addition to our existing share repurchase authorization. Subject to the closing of the offering, we will have repurchased an aggregate of approximately $5.3 billion of shares of common stock in 2020, $273 million of which was repurchased pursuant to our share repurchase program authorized by our board of directors in November 2019.</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Amendment to Investor Agreement</w:t>
      </w:r>
    </w:p>
    <w:p>
      <w:pPr>
        <w:spacing w:after="0" w:line="231" w:lineRule="exact"/>
        <w:rPr>
          <w:sz w:val="20"/>
          <w:szCs w:val="20"/>
          <w:color w:val="auto"/>
        </w:rPr>
      </w:pPr>
    </w:p>
    <w:p>
      <w:pPr>
        <w:ind w:left="240" w:right="100" w:firstLine="351"/>
        <w:spacing w:after="0" w:line="303" w:lineRule="auto"/>
        <w:rPr>
          <w:sz w:val="20"/>
          <w:szCs w:val="20"/>
          <w:color w:val="auto"/>
        </w:rPr>
      </w:pPr>
      <w:r>
        <w:rPr>
          <w:rFonts w:ascii="Arial" w:cs="Arial" w:eastAsia="Arial" w:hAnsi="Arial"/>
          <w:sz w:val="15"/>
          <w:szCs w:val="15"/>
          <w:color w:val="auto"/>
        </w:rPr>
        <w:t>On May 25, 2020, we entered into an amendment to the Amended and Restated Investor Agreement, dated as of January 11, 2014, as amended, by and among Sanofi, certain of Sanofi's affiliates, and Regeneron (the "Investor Agreement"), which is conditioned upon and will only become effective upon completion of this offering and the Repurchase. The amendment provides, among other things, that following this offering and the Repurchase,</w:t>
      </w:r>
    </w:p>
    <w:p>
      <w:pPr>
        <w:spacing w:after="0" w:line="1" w:lineRule="exact"/>
        <w:rPr>
          <w:sz w:val="20"/>
          <w:szCs w:val="20"/>
          <w:color w:val="auto"/>
        </w:rPr>
      </w:pPr>
    </w:p>
    <w:p>
      <w:pPr>
        <w:jc w:val="both"/>
        <w:ind w:left="240" w:right="320" w:firstLine="2"/>
        <w:spacing w:after="0" w:line="300" w:lineRule="auto"/>
        <w:tabs>
          <w:tab w:leader="none" w:pos="488"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"standstill" provisions, which contractually prohibit Sanofi from seeking to directly or indirectly exert control of Regeneron, will continue to apply pursuant to their terms; (2) Sanofi will no longer have the right to designate an independent board member for Regeneron's board of directors;</w:t>
      </w:r>
    </w:p>
    <w:p>
      <w:pPr>
        <w:ind w:left="240" w:right="20" w:firstLine="2"/>
        <w:spacing w:after="0" w:line="287" w:lineRule="auto"/>
        <w:tabs>
          <w:tab w:leader="none" w:pos="48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voting commitments contained in the Investor Agreement will continue to apply to the shares of our common stock held by Sanofi and its affiliates following this offering and the Repurchase, for so long as such shares are held by them; (4) Sanofi and its affiliates will no longer have registration rights with respect to the shares of our common stock held by them as provided in the Investor Agreement; (5) the information rights and pre-emptive rights provided to Sanofi and its affiliates under the Investor Agreement will no longer apply; and (6) the lock-up restrictions in the Investor Agreement will continue to apply to the shares of our common stock held by Sanofi and its affiliates following this offering and the Repurchase until December 20, 2020 (except those shares may be used to satisfy certain funding obligations of Sanofi under the companies' existing collaborations). The termination of Sanofi's board designation right will not impact the term of the current Sanofi designee, N. Anthony Coles, M.D., or his nomination for election as a Class III director at the Company's 2020 annual meeting of shareholders.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Bridge Loan Facility</w:t>
      </w:r>
    </w:p>
    <w:p>
      <w:pPr>
        <w:spacing w:after="0" w:line="231" w:lineRule="exact"/>
        <w:rPr>
          <w:sz w:val="20"/>
          <w:szCs w:val="20"/>
          <w:color w:val="auto"/>
        </w:rPr>
      </w:pPr>
    </w:p>
    <w:p>
      <w:pPr>
        <w:ind w:left="240" w:right="120" w:firstLine="351"/>
        <w:spacing w:after="0" w:line="290" w:lineRule="auto"/>
        <w:rPr>
          <w:sz w:val="20"/>
          <w:szCs w:val="20"/>
          <w:color w:val="auto"/>
        </w:rPr>
      </w:pPr>
      <w:r>
        <w:rPr>
          <w:rFonts w:ascii="Arial" w:cs="Arial" w:eastAsia="Arial" w:hAnsi="Arial"/>
          <w:sz w:val="16"/>
          <w:szCs w:val="16"/>
          <w:color w:val="auto"/>
        </w:rPr>
        <w:t>On May 25, 2020, the Company entered into a credit agreement (the "Bridge Credit Agreement") by and among the Company, as the borrower; Goldman Sachs Bank USA, as administrative agent, sole bookrunner, sole lead arranger, and a lender; and the other lenders party thereto from time to time. Pursuant to the Bridge Credit Agreement, the lenders have provided commitments for a $1.5 billion senior unsecured 364-day bridge loan facility (the "Bridge Facility"). We will pay certain customary fees in connection with the Bridge Facility. The proceeds of the loans under the Bridge Facility may be used only to finance, in part, the Repurchase described above and to pay related fees, costs, and expenses. Loans, if any, under the Bridge Facility will bear interest at a variable interest rate based on either the London Interbank Offered Rate or the alternate base rate, plus an applicable margin that varies with the Company's debt rating and total leverage ratio.</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064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0" w:firstLine="348"/>
        <w:spacing w:after="0" w:line="290" w:lineRule="auto"/>
        <w:rPr>
          <w:sz w:val="20"/>
          <w:szCs w:val="20"/>
          <w:color w:val="auto"/>
        </w:rPr>
      </w:pPr>
      <w:r>
        <w:rPr>
          <w:rFonts w:ascii="Arial" w:cs="Arial" w:eastAsia="Arial" w:hAnsi="Arial"/>
          <w:sz w:val="16"/>
          <w:szCs w:val="16"/>
          <w:color w:val="auto"/>
        </w:rPr>
        <w:t>The Bridge Facility, if funded, will mature 364 days after the funding thereunder. The aggregate commitments for the Bridge Facility will be permanently reduced, and we will be required to prepay loans (if any) borrowed under the Bridge Facility, on a dollar-for-dollar basis by the net cash proceeds received by the Company and its subsidiaries from certain asset sales, debt issuances, and equity offerings, subject to certain exceptions set forth in the Bridge Credit Agreement. The funding of the Bridge Facility is contingent on the satisfaction of customary conditions. We cannot assure you that we will be able to successfully borrow under the Bridge Facility on the terms described herein or at all. The Repurchase described above must be consummated within a specified period after the date of the Bridge Credit Agreement; otherwise we will be required to repay all loans (if any) drawn thereunder and the Bridge Facility will terminate in full.</w:t>
      </w:r>
    </w:p>
    <w:p>
      <w:pPr>
        <w:spacing w:after="0" w:line="172" w:lineRule="exact"/>
        <w:rPr>
          <w:sz w:val="20"/>
          <w:szCs w:val="20"/>
          <w:color w:val="auto"/>
        </w:rPr>
      </w:pPr>
    </w:p>
    <w:p>
      <w:pPr>
        <w:ind w:left="240" w:right="40" w:firstLine="348"/>
        <w:spacing w:after="0" w:line="285" w:lineRule="auto"/>
        <w:rPr>
          <w:sz w:val="20"/>
          <w:szCs w:val="20"/>
          <w:color w:val="auto"/>
        </w:rPr>
      </w:pPr>
      <w:r>
        <w:rPr>
          <w:rFonts w:ascii="Arial" w:cs="Arial" w:eastAsia="Arial" w:hAnsi="Arial"/>
          <w:sz w:val="16"/>
          <w:szCs w:val="16"/>
          <w:color w:val="auto"/>
        </w:rPr>
        <w:t>The Bridge Credit Agreement contains financial and operating covenants, which are substantially similar to the covenants set forth in the Credit Agreement, dated as of December 14, 2018 (the "Revolving Credit Agreement"), by and among the Company, as a borrower and guarantor, certain subsidiaries of the Company party thereto as subsidiary borrowers, JPMorgan Chase Bank, N.A., as administrative agent, and the lenders party thereto from time to time (except for such matters specifically relating to the Bridge Facility or the transactions contemplated thereby). The Company's entry into the Revolving Credit Agreement was previously reported in its Current Report on Form 8-K filed with the SEC on December 17, 2018. Financial covenants include a maximum total leverage ratio and a minimum interest expense coverage ratio. Operating covenants include, among other things, limitations on (i) the incurrence of indebtedness by the Company's subsidiaries, (ii) liens on assets of the Company and its subsidiaries, (iii) certain fundamental changes and the disposition of assets by the Company and its subsidiaries, (iv) entering into swap agreements, (v) entering into affiliate transactions, and (vi) the payment of dividends, distributions, and certain other restricted payments in respect of the capital stock of the Company and its subsidiaries (the "Restricted Payments Covenant"). Similar to the Revolving Credit Agreement, the Restricted Payments Covenant allows the Company, so long as no event of default exists or would arise therefrom, to make payments that would otherwise be restricted if at the time of the making of any such payment and immediately thereafter it meets a specified total leverage ratio requirement. The Bridge Credit Agreement contains other customary covenants, representations and warranties, and events of default.</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Update Regarding Phase 3 Trial of Dupixent in Eosinophilic Esophagitis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On May 22, 2020, Regeneron and Sanofi announced positive results from Part A of the pivotal Phase 3 trial evaluating Dupixent in patients</w:t>
      </w:r>
    </w:p>
    <w:p>
      <w:pPr>
        <w:spacing w:after="0" w:line="38" w:lineRule="exact"/>
        <w:rPr>
          <w:sz w:val="20"/>
          <w:szCs w:val="20"/>
          <w:color w:val="auto"/>
        </w:rPr>
      </w:pPr>
    </w:p>
    <w:p>
      <w:pPr>
        <w:ind w:left="240"/>
        <w:spacing w:after="0" w:line="295" w:lineRule="auto"/>
        <w:rPr>
          <w:sz w:val="20"/>
          <w:szCs w:val="20"/>
          <w:color w:val="auto"/>
        </w:rPr>
      </w:pPr>
      <w:r>
        <w:rPr>
          <w:rFonts w:ascii="Arial" w:cs="Arial" w:eastAsia="Arial" w:hAnsi="Arial"/>
          <w:sz w:val="16"/>
          <w:szCs w:val="16"/>
          <w:color w:val="auto"/>
        </w:rPr>
        <w:t>12 years and older with eosinophilic esophagitis ("EoE"). The trial met both of its co-primary endpoints, as well as all key secondary endpoints. The next portion of the Phase 3 trial (Part B) evaluates an additional Dupixent dosing regimen. The trial is ongoing, with additional patients enrolling in Part B as well as patients continuing in a 28-week extended active treatment period (Part C). The potential use of Dupixent in EoE is currently under clinical development, and the safety and efficacy have not been fully evaluated by any regulatory authority.</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Update Regarding Potential COVID-19 Treatments</w:t>
      </w:r>
    </w:p>
    <w:p>
      <w:pPr>
        <w:spacing w:after="0" w:line="231" w:lineRule="exact"/>
        <w:rPr>
          <w:sz w:val="20"/>
          <w:szCs w:val="20"/>
          <w:color w:val="auto"/>
        </w:rPr>
      </w:pPr>
    </w:p>
    <w:p>
      <w:pPr>
        <w:jc w:val="both"/>
        <w:ind w:left="240" w:right="120" w:firstLine="351"/>
        <w:spacing w:after="0" w:line="298" w:lineRule="auto"/>
        <w:rPr>
          <w:sz w:val="20"/>
          <w:szCs w:val="20"/>
          <w:color w:val="auto"/>
        </w:rPr>
      </w:pPr>
      <w:r>
        <w:rPr>
          <w:rFonts w:ascii="Arial" w:cs="Arial" w:eastAsia="Arial" w:hAnsi="Arial"/>
          <w:sz w:val="16"/>
          <w:szCs w:val="16"/>
          <w:i w:val="1"/>
          <w:iCs w:val="1"/>
          <w:color w:val="auto"/>
        </w:rPr>
        <w:t xml:space="preserve">REGN-COV2. </w:t>
      </w:r>
      <w:r>
        <w:rPr>
          <w:rFonts w:ascii="Arial" w:cs="Arial" w:eastAsia="Arial" w:hAnsi="Arial"/>
          <w:sz w:val="16"/>
          <w:szCs w:val="16"/>
          <w:color w:val="auto"/>
        </w:rPr>
        <w:t>We are using our end-to-end antibody technologies to discover and develop brand new therapeutic antibodies for COVID-19. We</w:t>
      </w:r>
      <w:r>
        <w:rPr>
          <w:rFonts w:ascii="Arial" w:cs="Arial" w:eastAsia="Arial" w:hAnsi="Arial"/>
          <w:sz w:val="16"/>
          <w:szCs w:val="16"/>
          <w:i w:val="1"/>
          <w:iCs w:val="1"/>
          <w:color w:val="auto"/>
        </w:rPr>
        <w:t xml:space="preserve"> </w:t>
      </w:r>
      <w:r>
        <w:rPr>
          <w:rFonts w:ascii="Arial" w:cs="Arial" w:eastAsia="Arial" w:hAnsi="Arial"/>
          <w:sz w:val="16"/>
          <w:szCs w:val="16"/>
          <w:color w:val="auto"/>
        </w:rPr>
        <w:t>are advancing REGN-COV2, a novel investigational antibody "cocktail" treatment designed to prevent and treat the SARS-CoV-2 virus. In April 2020, we advanced our leading neutralizing antibodies into pre-clinical and clinical-scale cell production lines and plan to begin clinical studies in June 2020. We are working to rapidly scale-up manufacturing, with a goal to have large quantities of preventative doses available by the end of August 2020.</w:t>
      </w:r>
    </w:p>
    <w:p>
      <w:pPr>
        <w:spacing w:after="0" w:line="166" w:lineRule="exact"/>
        <w:rPr>
          <w:sz w:val="20"/>
          <w:szCs w:val="20"/>
          <w:color w:val="auto"/>
        </w:rPr>
      </w:pPr>
    </w:p>
    <w:p>
      <w:pPr>
        <w:ind w:left="240" w:right="100" w:firstLine="351"/>
        <w:spacing w:after="0" w:line="259" w:lineRule="auto"/>
        <w:rPr>
          <w:sz w:val="20"/>
          <w:szCs w:val="20"/>
          <w:color w:val="auto"/>
        </w:rPr>
      </w:pPr>
      <w:r>
        <w:rPr>
          <w:rFonts w:ascii="Arial" w:cs="Arial" w:eastAsia="Arial" w:hAnsi="Arial"/>
          <w:sz w:val="18"/>
          <w:szCs w:val="18"/>
          <w:i w:val="1"/>
          <w:iCs w:val="1"/>
          <w:color w:val="auto"/>
        </w:rPr>
        <w:t xml:space="preserve">Kevzara. </w:t>
      </w:r>
      <w:r>
        <w:rPr>
          <w:rFonts w:ascii="Arial" w:cs="Arial" w:eastAsia="Arial" w:hAnsi="Arial"/>
          <w:sz w:val="18"/>
          <w:szCs w:val="18"/>
          <w:color w:val="auto"/>
        </w:rPr>
        <w:t>In April 2020, we provided an update on the adaptively-designed Phase 2/3 U.S. study evaluating Kevzara in patients hospitalized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COVID-19 infection. An Independent Data Monitoring Committee for the study recommended continuing the ongoing Phase 3 trial only in the more advanced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1675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6130" cy="167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"critical" group with the 400 mg dose of Kevzara and discontinuing the study in the less advanced "severe" group, based on initial Phase 2 results.</w:t>
      </w:r>
    </w:p>
    <w:p>
      <w:pPr>
        <w:spacing w:after="0" w:line="248" w:lineRule="exact"/>
        <w:rPr>
          <w:sz w:val="20"/>
          <w:szCs w:val="20"/>
          <w:color w:val="auto"/>
        </w:rPr>
      </w:pPr>
    </w:p>
    <w:p>
      <w:pPr>
        <w:jc w:val="both"/>
        <w:ind w:left="240" w:right="320" w:firstLine="348"/>
        <w:spacing w:after="0" w:line="259" w:lineRule="auto"/>
        <w:rPr>
          <w:sz w:val="20"/>
          <w:szCs w:val="20"/>
          <w:color w:val="auto"/>
        </w:rPr>
      </w:pPr>
      <w:r>
        <w:rPr>
          <w:rFonts w:ascii="Arial" w:cs="Arial" w:eastAsia="Arial" w:hAnsi="Arial"/>
          <w:sz w:val="18"/>
          <w:szCs w:val="18"/>
          <w:color w:val="auto"/>
        </w:rPr>
        <w:t>We announced an expanded agreement with the Biomedical Advanced Research Development Authority of the U.S. Department of Health and Human Services to fund certain research and development activities related to COVID-19 treatments, including REGN-COV2 and the U.S. Kevzara study.</w:t>
      </w:r>
    </w:p>
    <w:p>
      <w:pPr>
        <w:spacing w:after="0" w:line="194" w:lineRule="exact"/>
        <w:rPr>
          <w:sz w:val="20"/>
          <w:szCs w:val="20"/>
          <w:color w:val="auto"/>
        </w:rPr>
      </w:pPr>
    </w:p>
    <w:p>
      <w:pPr>
        <w:ind w:left="240" w:firstLine="351"/>
        <w:spacing w:after="0" w:line="331" w:lineRule="auto"/>
        <w:rPr>
          <w:sz w:val="20"/>
          <w:szCs w:val="20"/>
          <w:color w:val="auto"/>
        </w:rPr>
      </w:pPr>
      <w:r>
        <w:rPr>
          <w:rFonts w:ascii="Arial" w:cs="Arial" w:eastAsia="Arial" w:hAnsi="Arial"/>
          <w:sz w:val="16"/>
          <w:szCs w:val="16"/>
          <w:color w:val="auto"/>
        </w:rPr>
        <w:t>Regeneron's expected timeline for the development of COVID-19 treatments is estimated and subject to change depending on many scientific and technical factors. The use of Kevzara to treat the symptoms of COVID-19 is investigational and has not been fully evaluated by any regulatory authority.</w:t>
      </w:r>
    </w:p>
    <w:p>
      <w:pPr>
        <w:spacing w:after="0" w:line="200" w:lineRule="exact"/>
        <w:rPr>
          <w:sz w:val="20"/>
          <w:szCs w:val="20"/>
          <w:color w:val="auto"/>
        </w:rPr>
      </w:pPr>
    </w:p>
    <w:p>
      <w:pPr>
        <w:spacing w:after="0" w:line="4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8396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6130" cy="839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The Offering</w:t>
      </w:r>
    </w:p>
    <w:p>
      <w:pPr>
        <w:spacing w:after="0" w:line="225" w:lineRule="exact"/>
        <w:rPr>
          <w:sz w:val="20"/>
          <w:szCs w:val="20"/>
          <w:color w:val="auto"/>
        </w:rPr>
      </w:pPr>
    </w:p>
    <w:p>
      <w:pPr>
        <w:ind w:left="1320"/>
        <w:spacing w:after="0"/>
        <w:tabs>
          <w:tab w:leader="none" w:pos="2640" w:val="left"/>
        </w:tabs>
        <w:rPr>
          <w:sz w:val="20"/>
          <w:szCs w:val="20"/>
          <w:color w:val="auto"/>
        </w:rPr>
      </w:pPr>
      <w:r>
        <w:rPr>
          <w:rFonts w:ascii="Arial" w:cs="Arial" w:eastAsia="Arial" w:hAnsi="Arial"/>
          <w:sz w:val="18"/>
          <w:szCs w:val="18"/>
          <w:b w:val="1"/>
          <w:bCs w:val="1"/>
          <w:color w:val="auto"/>
        </w:rPr>
        <w:t>Issuer</w:t>
      </w:r>
      <w:r>
        <w:rPr>
          <w:sz w:val="20"/>
          <w:szCs w:val="20"/>
          <w:color w:val="auto"/>
        </w:rPr>
        <w:tab/>
      </w:r>
      <w:r>
        <w:rPr>
          <w:rFonts w:ascii="Arial" w:cs="Arial" w:eastAsia="Arial" w:hAnsi="Arial"/>
          <w:sz w:val="18"/>
          <w:szCs w:val="18"/>
          <w:color w:val="auto"/>
        </w:rPr>
        <w:t>Regeneron Pharmaceuticals, Inc.</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Regeneron</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common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stock offered</w:t>
      </w:r>
    </w:p>
    <w:p>
      <w:pPr>
        <w:spacing w:after="0" w:line="9"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by the selling</w:t>
      </w:r>
      <w:r>
        <w:rPr>
          <w:sz w:val="20"/>
          <w:szCs w:val="20"/>
          <w:color w:val="auto"/>
        </w:rPr>
        <w:tab/>
      </w:r>
      <w:r>
        <w:rPr>
          <w:rFonts w:ascii="Arial" w:cs="Arial" w:eastAsia="Arial" w:hAnsi="Arial"/>
          <w:sz w:val="15"/>
          <w:szCs w:val="15"/>
          <w:color w:val="auto"/>
        </w:rPr>
        <w:t>12,771,033 shares. The share numbers in this prospectus supplement are estimates based on the closing</w:t>
      </w:r>
    </w:p>
    <w:p>
      <w:pPr>
        <w:spacing w:after="0" w:line="9"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shareholders</w:t>
      </w:r>
      <w:r>
        <w:rPr>
          <w:sz w:val="20"/>
          <w:szCs w:val="20"/>
          <w:color w:val="auto"/>
        </w:rPr>
        <w:tab/>
      </w:r>
      <w:r>
        <w:rPr>
          <w:rFonts w:ascii="Arial" w:cs="Arial" w:eastAsia="Arial" w:hAnsi="Arial"/>
          <w:sz w:val="18"/>
          <w:szCs w:val="18"/>
          <w:color w:val="auto"/>
        </w:rPr>
        <w:t>price per share of our common stock on May 22, 2020 of $569.91.</w:t>
      </w:r>
    </w:p>
    <w:p>
      <w:pPr>
        <w:spacing w:after="0" w:line="213" w:lineRule="exact"/>
        <w:rPr>
          <w:sz w:val="20"/>
          <w:szCs w:val="20"/>
          <w:color w:val="auto"/>
        </w:rPr>
      </w:pPr>
    </w:p>
    <w:p>
      <w:pPr>
        <w:ind w:left="1320"/>
        <w:spacing w:after="0"/>
        <w:tabs>
          <w:tab w:leader="none" w:pos="2640" w:val="left"/>
        </w:tabs>
        <w:rPr>
          <w:sz w:val="20"/>
          <w:szCs w:val="20"/>
          <w:color w:val="auto"/>
        </w:rPr>
      </w:pPr>
      <w:r>
        <w:rPr>
          <w:rFonts w:ascii="Arial" w:cs="Arial" w:eastAsia="Arial" w:hAnsi="Arial"/>
          <w:sz w:val="18"/>
          <w:szCs w:val="18"/>
          <w:b w:val="1"/>
          <w:bCs w:val="1"/>
          <w:color w:val="auto"/>
        </w:rPr>
        <w:t>Stock</w:t>
      </w:r>
      <w:r>
        <w:rPr>
          <w:sz w:val="20"/>
          <w:szCs w:val="20"/>
          <w:color w:val="auto"/>
        </w:rPr>
        <w:tab/>
      </w:r>
      <w:r>
        <w:rPr>
          <w:rFonts w:ascii="Arial" w:cs="Arial" w:eastAsia="Arial" w:hAnsi="Arial"/>
          <w:sz w:val="18"/>
          <w:szCs w:val="18"/>
          <w:color w:val="auto"/>
        </w:rPr>
        <w:t>Subject to the completion of this offering, we have agreed to purchase an aggregate of approximately</w:t>
      </w:r>
    </w:p>
    <w:p>
      <w:pPr>
        <w:spacing w:after="0" w:line="21"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Repurchase</w:t>
      </w:r>
      <w:r>
        <w:rPr>
          <w:sz w:val="20"/>
          <w:szCs w:val="20"/>
          <w:color w:val="auto"/>
        </w:rPr>
        <w:tab/>
      </w:r>
      <w:r>
        <w:rPr>
          <w:rFonts w:ascii="Arial" w:cs="Arial" w:eastAsia="Arial" w:hAnsi="Arial"/>
          <w:sz w:val="18"/>
          <w:szCs w:val="18"/>
          <w:color w:val="auto"/>
        </w:rPr>
        <w:t>$5 billion of common stock from Sanofi at the price at which the shares of common stock are sold to</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the public in this offering, less the underwriting discount.</w:t>
      </w:r>
    </w:p>
    <w:p>
      <w:pPr>
        <w:spacing w:after="0" w:line="213" w:lineRule="exact"/>
        <w:rPr>
          <w:sz w:val="20"/>
          <w:szCs w:val="20"/>
          <w:color w:val="auto"/>
        </w:rPr>
      </w:pPr>
    </w:p>
    <w:p>
      <w:pPr>
        <w:ind w:left="1320"/>
        <w:spacing w:after="0"/>
        <w:tabs>
          <w:tab w:leader="none" w:pos="2640" w:val="left"/>
        </w:tabs>
        <w:rPr>
          <w:sz w:val="20"/>
          <w:szCs w:val="20"/>
          <w:color w:val="auto"/>
        </w:rPr>
      </w:pPr>
      <w:r>
        <w:rPr>
          <w:rFonts w:ascii="Arial" w:cs="Arial" w:eastAsia="Arial" w:hAnsi="Arial"/>
          <w:sz w:val="18"/>
          <w:szCs w:val="18"/>
          <w:b w:val="1"/>
          <w:bCs w:val="1"/>
          <w:color w:val="auto"/>
        </w:rPr>
        <w:t>Option to</w:t>
      </w:r>
      <w:r>
        <w:rPr>
          <w:sz w:val="20"/>
          <w:szCs w:val="20"/>
          <w:color w:val="auto"/>
        </w:rPr>
        <w:tab/>
      </w:r>
      <w:r>
        <w:rPr>
          <w:rFonts w:ascii="Arial" w:cs="Arial" w:eastAsia="Arial" w:hAnsi="Arial"/>
          <w:sz w:val="15"/>
          <w:szCs w:val="15"/>
          <w:color w:val="auto"/>
        </w:rPr>
        <w:t>1,277,103 shares to be sold by the selling shareholders. Except as otherwise indicated, all information</w:t>
      </w:r>
    </w:p>
    <w:p>
      <w:pPr>
        <w:spacing w:after="0" w:line="21"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purchase</w:t>
      </w:r>
      <w:r>
        <w:rPr>
          <w:sz w:val="20"/>
          <w:szCs w:val="20"/>
          <w:color w:val="auto"/>
        </w:rPr>
        <w:tab/>
      </w:r>
      <w:r>
        <w:rPr>
          <w:rFonts w:ascii="Arial" w:cs="Arial" w:eastAsia="Arial" w:hAnsi="Arial"/>
          <w:sz w:val="18"/>
          <w:szCs w:val="18"/>
          <w:color w:val="auto"/>
        </w:rPr>
        <w:t>in this prospectus supplement reflects no exercise of the underwriters' option to purchase additional</w:t>
      </w:r>
    </w:p>
    <w:p>
      <w:pPr>
        <w:spacing w:after="0" w:line="9"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6"/>
          <w:szCs w:val="16"/>
          <w:b w:val="1"/>
          <w:bCs w:val="1"/>
          <w:color w:val="auto"/>
        </w:rPr>
        <w:t>additional</w:t>
      </w:r>
      <w:r>
        <w:rPr>
          <w:sz w:val="20"/>
          <w:szCs w:val="20"/>
          <w:color w:val="auto"/>
        </w:rPr>
        <w:tab/>
      </w:r>
      <w:r>
        <w:rPr>
          <w:rFonts w:ascii="Arial" w:cs="Arial" w:eastAsia="Arial" w:hAnsi="Arial"/>
          <w:sz w:val="16"/>
          <w:szCs w:val="16"/>
          <w:color w:val="auto"/>
        </w:rPr>
        <w:t>shares. Following this offering and the approximate $5 billion share repurchase (and assuming that the</w:t>
      </w:r>
    </w:p>
    <w:p>
      <w:pPr>
        <w:spacing w:after="0" w:line="32"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color w:val="auto"/>
        </w:rPr>
        <w:t>underwriters exercise their option to purchase additional shares in full), the selling shareholders will</w:t>
      </w:r>
    </w:p>
    <w:p>
      <w:pPr>
        <w:spacing w:after="0" w:line="9" w:lineRule="exact"/>
        <w:rPr>
          <w:sz w:val="20"/>
          <w:szCs w:val="20"/>
          <w:color w:val="auto"/>
        </w:rPr>
      </w:pPr>
    </w:p>
    <w:p>
      <w:pPr>
        <w:ind w:left="2660" w:right="1160"/>
        <w:spacing w:after="0" w:line="260" w:lineRule="auto"/>
        <w:rPr>
          <w:sz w:val="20"/>
          <w:szCs w:val="20"/>
          <w:color w:val="auto"/>
        </w:rPr>
      </w:pPr>
      <w:r>
        <w:rPr>
          <w:rFonts w:ascii="Arial" w:cs="Arial" w:eastAsia="Arial" w:hAnsi="Arial"/>
          <w:sz w:val="18"/>
          <w:szCs w:val="18"/>
          <w:color w:val="auto"/>
        </w:rPr>
        <w:t>have disposed of all of the shares of our common stock held by Sanofi and its affiliates, other than 400,000 shares that Sanofi intends to retain.</w:t>
      </w:r>
    </w:p>
    <w:p>
      <w:pPr>
        <w:spacing w:after="0" w:line="187"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Regeneron</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common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stock</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outstanding</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immediately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after this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offering and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the</w:t>
      </w:r>
    </w:p>
    <w:p>
      <w:pPr>
        <w:spacing w:after="0" w:line="9"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Repurchase</w:t>
      </w:r>
      <w:r>
        <w:rPr>
          <w:sz w:val="20"/>
          <w:szCs w:val="20"/>
          <w:color w:val="auto"/>
        </w:rPr>
        <w:tab/>
      </w:r>
      <w:r>
        <w:rPr>
          <w:rFonts w:ascii="Arial" w:cs="Arial" w:eastAsia="Arial" w:hAnsi="Arial"/>
          <w:sz w:val="18"/>
          <w:szCs w:val="18"/>
          <w:color w:val="auto"/>
        </w:rPr>
        <w:t>101,568,881 shares.</w:t>
      </w:r>
    </w:p>
    <w:p>
      <w:pPr>
        <w:spacing w:after="0" w:line="21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Regeneron</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Class A stock</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outstanding</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immediately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after this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offering and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the</w:t>
      </w:r>
    </w:p>
    <w:p>
      <w:pPr>
        <w:spacing w:after="0" w:line="9"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Repurchase</w:t>
      </w:r>
      <w:r>
        <w:rPr>
          <w:sz w:val="20"/>
          <w:szCs w:val="20"/>
          <w:color w:val="auto"/>
        </w:rPr>
        <w:tab/>
      </w:r>
      <w:r>
        <w:rPr>
          <w:rFonts w:ascii="Arial" w:cs="Arial" w:eastAsia="Arial" w:hAnsi="Arial"/>
          <w:sz w:val="18"/>
          <w:szCs w:val="18"/>
          <w:color w:val="auto"/>
        </w:rPr>
        <w:t>1,848,970 shares.</w:t>
      </w:r>
    </w:p>
    <w:p>
      <w:pPr>
        <w:spacing w:after="0" w:line="21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Use of</w:t>
      </w:r>
    </w:p>
    <w:p>
      <w:pPr>
        <w:spacing w:after="0" w:line="21"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Proceeds</w:t>
      </w:r>
      <w:r>
        <w:rPr>
          <w:sz w:val="20"/>
          <w:szCs w:val="20"/>
          <w:color w:val="auto"/>
        </w:rPr>
        <w:tab/>
      </w:r>
      <w:r>
        <w:rPr>
          <w:rFonts w:ascii="Arial" w:cs="Arial" w:eastAsia="Arial" w:hAnsi="Arial"/>
          <w:sz w:val="18"/>
          <w:szCs w:val="18"/>
          <w:color w:val="auto"/>
        </w:rPr>
        <w:t>The Company will not receive any proceeds from the sale of common stock in this offering.</w:t>
      </w:r>
    </w:p>
    <w:p>
      <w:pPr>
        <w:spacing w:after="0" w:line="21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b w:val="1"/>
          <w:bCs w:val="1"/>
          <w:color w:val="auto"/>
        </w:rPr>
        <w:t>symbol</w:t>
      </w:r>
      <w:r>
        <w:rPr>
          <w:sz w:val="20"/>
          <w:szCs w:val="20"/>
          <w:color w:val="auto"/>
        </w:rPr>
        <w:tab/>
      </w:r>
      <w:r>
        <w:rPr>
          <w:rFonts w:ascii="Arial" w:cs="Arial" w:eastAsia="Arial" w:hAnsi="Arial"/>
          <w:sz w:val="18"/>
          <w:szCs w:val="18"/>
          <w:color w:val="auto"/>
        </w:rPr>
        <w:t>"REGN"</w:t>
      </w:r>
    </w:p>
    <w:p>
      <w:pPr>
        <w:spacing w:after="0" w:line="213" w:lineRule="exact"/>
        <w:rPr>
          <w:sz w:val="20"/>
          <w:szCs w:val="20"/>
          <w:color w:val="auto"/>
        </w:rPr>
      </w:pPr>
    </w:p>
    <w:p>
      <w:pPr>
        <w:ind w:left="1320"/>
        <w:spacing w:after="0"/>
        <w:tabs>
          <w:tab w:leader="none" w:pos="264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Investing in our common stock involves substantial risks. Before investing in our common stock, you</w:t>
      </w:r>
    </w:p>
    <w:p>
      <w:pPr>
        <w:spacing w:after="0" w:line="21" w:lineRule="exact"/>
        <w:rPr>
          <w:sz w:val="20"/>
          <w:szCs w:val="20"/>
          <w:color w:val="auto"/>
        </w:rPr>
      </w:pPr>
    </w:p>
    <w:p>
      <w:pPr>
        <w:ind w:left="2660" w:right="880"/>
        <w:spacing w:after="0" w:line="300" w:lineRule="auto"/>
        <w:rPr>
          <w:sz w:val="20"/>
          <w:szCs w:val="20"/>
          <w:color w:val="auto"/>
        </w:rPr>
      </w:pPr>
      <w:r>
        <w:rPr>
          <w:rFonts w:ascii="Arial" w:cs="Arial" w:eastAsia="Arial" w:hAnsi="Arial"/>
          <w:sz w:val="15"/>
          <w:szCs w:val="15"/>
          <w:color w:val="auto"/>
        </w:rPr>
        <w:t>should carefully read and consider the information set forth in the "Risk Factors" section beginning on page S-6 of this prospectus supplement and the sections entitled "Risk Factors" beginning on page 27</w:t>
      </w:r>
    </w:p>
    <w:p>
      <w:pPr>
        <w:spacing w:after="0" w:line="1" w:lineRule="exact"/>
        <w:rPr>
          <w:sz w:val="20"/>
          <w:szCs w:val="20"/>
          <w:color w:val="auto"/>
        </w:rPr>
      </w:pPr>
    </w:p>
    <w:p>
      <w:pPr>
        <w:ind w:left="2660" w:right="86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of our </w:t>
      </w:r>
      <w:hyperlink r:id="rId10">
        <w:r>
          <w:rPr>
            <w:rFonts w:ascii="Arial" w:cs="Arial" w:eastAsia="Arial" w:hAnsi="Arial"/>
            <w:sz w:val="16"/>
            <w:szCs w:val="16"/>
            <w:u w:val="single" w:color="auto"/>
            <w:color w:val="0000EE"/>
          </w:rPr>
          <w:t>Annual Report on Form 10-K for the year ended December 31,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beginning on page 43 of our most recent </w:t>
      </w:r>
      <w:hyperlink r:id="rId11">
        <w:r>
          <w:rPr>
            <w:rFonts w:ascii="Arial" w:cs="Arial" w:eastAsia="Arial" w:hAnsi="Arial"/>
            <w:sz w:val="16"/>
            <w:szCs w:val="16"/>
            <w:u w:val="single" w:color="auto"/>
            <w:color w:val="0000EE"/>
          </w:rPr>
          <w:t>Quarterly Report on Form 10-Q for the quarterly period ended March 31, 2020,</w:t>
        </w:r>
      </w:hyperlink>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each of which is incorporated by reference into this prospectus supplement.</w:t>
      </w:r>
    </w:p>
    <w:p>
      <w:pPr>
        <w:spacing w:after="0" w:line="219" w:lineRule="exact"/>
        <w:rPr>
          <w:sz w:val="20"/>
          <w:szCs w:val="20"/>
          <w:color w:val="auto"/>
        </w:rPr>
      </w:pPr>
    </w:p>
    <w:p>
      <w:pPr>
        <w:ind w:left="240" w:firstLine="351"/>
        <w:spacing w:after="0" w:line="306" w:lineRule="auto"/>
        <w:rPr>
          <w:sz w:val="20"/>
          <w:szCs w:val="20"/>
          <w:color w:val="auto"/>
        </w:rPr>
      </w:pPr>
      <w:r>
        <w:rPr>
          <w:rFonts w:ascii="Arial" w:cs="Arial" w:eastAsia="Arial" w:hAnsi="Arial"/>
          <w:sz w:val="16"/>
          <w:szCs w:val="16"/>
          <w:color w:val="auto"/>
        </w:rPr>
        <w:t>Unless the context requires otherwise, the number of shares of our common stock and our Class A stock, par value $0.001 per share, to be outstanding after this offering as set forth above is based on 110,342,196 shares and 1,848,970 shares, respectively, outstanding as of March 31, 2020 and gives effect to the Repurchase being completed based on the closing price per share of our common stock on May 22,</w:t>
      </w:r>
    </w:p>
    <w:p>
      <w:pPr>
        <w:sectPr>
          <w:pgSz w:w="11900" w:h="16838" w:orient="portrait"/>
          <w:cols w:equalWidth="0" w:num="1">
            <w:col w:w="10720"/>
          </w:cols>
          <w:pgMar w:left="320" w:top="131"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29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6130" cy="2129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color w:val="auto"/>
        </w:rPr>
        <w:t>2020 of $569.91. For purposes of the foregoing amounts, the number of shares of our common stock to be outstanding after this offering excludes (in each case, as of March 31, 2020):</w:t>
      </w:r>
    </w:p>
    <w:p>
      <w:pPr>
        <w:spacing w:after="0" w:line="213" w:lineRule="exact"/>
        <w:rPr>
          <w:sz w:val="20"/>
          <w:szCs w:val="20"/>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1,848,970 shares of common stock issuable upon conversion of shares of our Class A stock;</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25,192,675 shares of common stock issuable upon the exercise of outstanding stock options at a weighted average price of $345.65 per share;</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aggregate of 10,224,452 shares of common stock reserved for future issuances under equity incentive plans; and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119,841 shares of common stock relating to unvested restricted stock units (including performance-based restricted stock units).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Any investment in our common stock involves a high degree of risk. You should carefully consider the risks described below and all of the information contained in this prospectus supplement and the accompanying prospectus before deciding whether to purchase our common stock. In addition, you should carefully consider, among other things, the matters discussed in the sections entitled "Risk Factors" in our Annual Report on Form 10-K for the year ended December 31, 2019, our Quarterly Report on Form 10-Q for the quarterly period ended March 31, 2020, and other documents that we subsequently file with the SEC, all of which are incorporated by reference into this prospectus supplement. The risks and uncertainties described below and in our Annual Report on Form 10-K for the year ended December 31, 2019, and in our Quarterly Report on Form 10-Q for the quarterly period ended March 31, 2020, are not the only risks and uncertainties we face. Additional risks and uncertainties not presently known to us or that we currently deem immaterial may also impair our business operations. If any such risks actually occur, our business, financial condition and results of operations would suffer. In that event, the trading price of our common stock could decline, and you may lose all or part of your investment in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right="440"/>
        <w:spacing w:after="0" w:line="369" w:lineRule="auto"/>
        <w:rPr>
          <w:sz w:val="20"/>
          <w:szCs w:val="20"/>
          <w:color w:val="auto"/>
        </w:rPr>
      </w:pPr>
      <w:r>
        <w:rPr>
          <w:rFonts w:ascii="Arial" w:cs="Arial" w:eastAsia="Arial" w:hAnsi="Arial"/>
          <w:sz w:val="15"/>
          <w:szCs w:val="15"/>
          <w:b w:val="1"/>
          <w:bCs w:val="1"/>
          <w:i w:val="1"/>
          <w:iCs w:val="1"/>
          <w:color w:val="auto"/>
        </w:rPr>
        <w:t>Please see "Risk Factors" under Item 1A in our Annual Report on Form 10-K for the year ended December 31, 2019 and in our Quarterly Report on Form 10-Q for the quarterly period ended March 31, 2020 for a discussion of risks affecting our business, in addition to the risks set out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the effects of the COVID-19 pandemic.</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December 2019, a novel strain of coronavirus, SARS-CoV-2, causing a disease referred to as COVID-19, was reported to have surfaced in Wuhan, China. It has since spread to multiple other countries; and, in March 2020, the World Health Organization declared the COVID-19 outbreak a pandemic. This pandemic has adversely affected or has the potential to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business partners and customers, and the demand for some of our marketed products.</w:t>
      </w:r>
    </w:p>
    <w:p>
      <w:pPr>
        <w:spacing w:after="0" w:line="169"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COVID-19 pandemic has resulted in travel and other restrictions to reduce the spread of the disease, including governmental orders across the globe, which, among other things, direct individuals to shelter at their places of residence, direct businesses and governmental agencies to cease non-essential operations at physical locations, prohibit certain non-essential gatherings, maintain social distancing, and order cessation of non-essential travel. As a result of these recent developments, we have implemented work-from-home policies for a significant part of our employees (except those deemed critical, such as those working in our laboratories and manufacturing facilities). The effects of shelter-in-place and social distancing orders, government-imposed quarantines, and work-from-home policies may negatively impact productivity, disrupt our business, and delay our clinical programs and development timelines, the magnitude of which will depend, in part, on the length and severity of the restrictions and other limitations on our ability to conduct our business in the ordinary course. Such restrictions and limitations may also negatively impact our access to regulatory authorities (which may be affected, among other things, by travel restrictions and may be delayed in responding to inquiries, reviewing filings, and conducting inspections); our ability to perform regularly scheduled quality checks and maintenance; and our ability to obtain services from third-party specialty vendors and other providers or to access their expertise as fully and timely as needed. The COVID-19 pandemic may also result in the loss of some of our key personnel, either temporarily or permanently. In addition, our sales and marketing efforts may be impacted by postponement of face-to-face meetings and restrictions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access by non-essential personnel to hospitals or clinics, all of which could slow adoption and implementation of our marketed products, resulting in lower net product sales. For example, while the impact of shelter-in-place and social distancing orders, physicians' office closures, and delays in the treatment of patients following the COVID-19 pandemic on our net product sales of EYLEA for the three months ended March 31, 2020 was limited, overall U.S. EYLEA demand was lower in April 2020 compared to the same period of 2019. In addition to other potential impacts of the COVID-19 pandemic on net product sales, we expect to see continued adverse impact on new patient starts for all products while these measures remain in place. Demand for some or all of our marketed products may continue to be reduced while the shelter-in-place or social distancing orders are in effect and, as a result, some of our inventory may become obsolete and may need to be written off, impacting our operating results. These and similar, and perhaps more severe, disruptions in our operations may materially adversely impact our business, operating results, and financial condition.</w:t>
      </w:r>
    </w:p>
    <w:p>
      <w:pPr>
        <w:spacing w:after="0" w:line="178"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Quarantines, shelter-in-place, social distancing, and similar government orders (or the perception that such orders, shutdowns, or other restrictions on the conduct of business operations could occur) related to COVID-19 or other infectious diseases are impacting personnel at our research and manufacturing facilities, our suppliers, and other third parties on which we rely, and may impact the availability or cost of materials produced by or purchased from such parties, which could result in a disruption in our supply chain. While some materials may be obtained from more than one supplier, port closures and other restrictions resulting from the COVID-19 pandemic could disrupt our supply chain or limit our ability to obtain sufficient materials for the production and development of our products and product candidates as well as our research efforts.</w:t>
      </w:r>
    </w:p>
    <w:p>
      <w:pPr>
        <w:spacing w:after="0" w:line="174"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In addition, infections and deaths related to COVID-19 may disrupt the United States' healthcare and healthcare regulatory systems. Such disruptions could divert healthcare resources away from, or materially delay, FDA review and potential approval of our product candidates and new indications for our marketed products. It is unknown how long these disruptions could continue. In addition, our clinical trials are likely to be affected by the COVID-19 pandemic. Site initiation and patient enrollment may be delayed due to prioritization of hospital resources toward the COVID-19 pandemic, and some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could be delayed or disrupted. For example, we have had to adjust the development timelines for many of our clinical programs that are either currently enrolling patients or have not yet commenced due to the COVID-19 pandemic. The disruptions caused by the COVID-19 pandemic may impact the progress of our clinical trials, including the readouts of trial results. Further, while we are focused on developing novel therapies to address the COVID-19 pandemic, our research programs and the development of our other product candidates may need to be de-prioritized. Any elongation or de-prioritization of our research programs and clinical trials or delay in regulatory review resulting from such disruptions could materially affect the development and study of our product candidates, which would increase our operating expenses and may have a material adverse effect on our operating results.</w:t>
      </w:r>
    </w:p>
    <w:p>
      <w:pPr>
        <w:spacing w:after="0" w:line="17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it is currently resulting in significant disruption of global financial markets. This disruption, if sustained or recurrent, could make it more difficult for us to access capital if needed. In addition, a recession or market correction resulting from the spread of COVID-19 could materially affect our business and the value of our Common Stock.</w:t>
      </w:r>
    </w:p>
    <w:p>
      <w:pPr>
        <w:spacing w:after="0" w:line="197"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global COVID-19 pandemic continues to rapidly evolve. The ultimate impact of this pandemic is highly uncertain and subject to change. We do not yet know the full extent of potential delays or impacts on our business, our clinical trials, healthcare systems, or the global economy as a whole. These effects could have a material impact on our operations.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To the extent the COVID-19 pandemic adversely affects our business, prospects, operating results, or financial condition, it may also have the effect of heightening many of the other risks described in this "Risk Factors" section and in the sections entitled "Risk Factors" in our most recent Annual Report on Form 10-K, Quarterly Report on Form 10-Q, and any subsequent report we file with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refinance the Bridge Loan prior to its maturity.</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5"/>
          <w:szCs w:val="15"/>
          <w:color w:val="auto"/>
        </w:rPr>
        <w:t>We currently intend to refinance the Bridge Loan prior to its maturity, although there can be no assurance that we will be able to do so on favorable terms, if at all. Our ability to refinance could be adversely affected if there is a significant decline in the demand for our products or other significantly unfavorable changes in economic conditions. If we are unable to refinance the Bridge Loan, the increased indebtedness may limit our ability to obtain additional financing, if needed, and may limit our ability to conduct our business. 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together with funds generated by our current and anticipated EYLEA net product sales and funding we are entitled to receive under our collaboration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Future sales of our common stock in the public market or the issuance of securities senior to our common stock could adversely affect the trading price of our common stock and our ability to raise funds in new stock offerings.</w:t>
      </w:r>
    </w:p>
    <w:p>
      <w:pPr>
        <w:spacing w:after="0" w:line="186"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Sale of a substantial number of shares of our common stock in the public markets following this offering, or the perception that these sales might occur, could cause the market price of our common stock to decline or could impair our ability to raise capital through a future sale of, or pay for acquisitions using, our equity securities.</w:t>
      </w:r>
    </w:p>
    <w:p>
      <w:pPr>
        <w:spacing w:after="0" w:line="194"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may issue common stock or equity securities senior to our common stock in the future for a number of reasons, including to finance our operations and business strategy, to adjust our ratio of debt-to-equity, as consideration in acquisitions, or for other reasons. We cannot predict the effect, if any, that future sales or issuances of shares of our common stock or other equity securities, or the availability of shares of our common stock or any other equity securities for future sale or issuance, will have on the trading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 significantly, which could negatively affect us and holders of our common stock.</w:t>
      </w:r>
    </w:p>
    <w:p>
      <w:pPr>
        <w:spacing w:after="0" w:line="225"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The trading price of our common stock may fluctuate significantly in response to a number of factors, many of which are beyond our control. For instance, if our financial results are below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expectations of securities analysts and investors, the market price of our common stock could decrease, perhaps significantly. Other factors that may affect the market price of our common stock include announcements relating to significant corporate transactions; fluctuations in our quarterly and annual financial results; operating and stock price performance of companies that investors deem comparable to us; future sales by us or our subsidiaries of equity, equity-related or debt securities; the amount, if any, of dividends that we pay on our common stock; anticipated or pending investigations, proceedings or litigation that involve or affect us; changes in regional, national or global financial markets and economies and general market conditions, such as interest or foreign exchange rates, stock, commodity, credit or asset valuations or volatility; and changes in government regulation or proposals relating to us. In addition, the U.S. and global securities markets have experienced significant price and volume fluctuations. These fluctuations often have been unrelated to the operating performance of companies in these markets. Market fluctuations and broad market, economic, and industry factors may negatively affect the price of our common stock, regardless of our operating performance. You may not be able to sell your shares of our common stock at or above the public offering price, or at all. Any volatility of or a significant decrease in the market price of our common stock could also negatively affect our ability to make acquisitions using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issuances of equity securities would dilute the ownership of existing shareholders and could reduce our earnings per share.</w:t>
      </w:r>
    </w:p>
    <w:p>
      <w:pPr>
        <w:spacing w:after="0" w:line="248" w:lineRule="exact"/>
        <w:rPr>
          <w:sz w:val="20"/>
          <w:szCs w:val="20"/>
          <w:color w:val="auto"/>
        </w:rPr>
      </w:pPr>
    </w:p>
    <w:p>
      <w:pPr>
        <w:ind w:right="60" w:firstLine="348"/>
        <w:spacing w:after="0" w:line="331" w:lineRule="auto"/>
        <w:rPr>
          <w:sz w:val="20"/>
          <w:szCs w:val="20"/>
          <w:color w:val="auto"/>
        </w:rPr>
      </w:pPr>
      <w:r>
        <w:rPr>
          <w:rFonts w:ascii="Arial" w:cs="Arial" w:eastAsia="Arial" w:hAnsi="Arial"/>
          <w:sz w:val="16"/>
          <w:szCs w:val="16"/>
          <w:color w:val="auto"/>
        </w:rPr>
        <w:t>We may issue equity securities in the future in connection with capital raisings, acquisitions, strategic transactions, or for other purposes. To the extent we issue additional equity securities, the ownership of our existing shareholders would be diluted and our earnings per share could be reduced.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certificate of incorporation and by-laws may discourage a takeover attempt.</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Provisions contained in our certificate of incorporation and by-laws could make it more difficult for a third party to acquire us, even if doing so might be beneficial to our shareholders. Provisions of our certificate of incorporation and by-laws impose various procedural and other requirements which could make it more difficult for shareholders to effect certain corporate actions. For example, our certificate of incorporation authorizes our board of directors to determine the rights, preferences, privileges, and restrictions of unissued series of preferred stock, without any vote or action by our shareholders. Thus, our board of directors can authorize and issue shares of preferred stock with voting or conversion rights that could adversely affect the voting or other rights of holders of our common stock. These provisions could limit the price that certain investors might be willing to pay in the future for shares of our common stock. See "Description of Capital Stock" in the accompanying prospectus.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common stock may not receive dividends.</w:t>
      </w:r>
    </w:p>
    <w:p>
      <w:pPr>
        <w:spacing w:after="0" w:line="225" w:lineRule="exact"/>
        <w:rPr>
          <w:sz w:val="20"/>
          <w:szCs w:val="20"/>
          <w:color w:val="auto"/>
        </w:rPr>
      </w:pPr>
    </w:p>
    <w:p>
      <w:pPr>
        <w:ind w:right="400" w:firstLine="351"/>
        <w:spacing w:after="0" w:line="298" w:lineRule="auto"/>
        <w:rPr>
          <w:sz w:val="20"/>
          <w:szCs w:val="20"/>
          <w:color w:val="auto"/>
        </w:rPr>
      </w:pPr>
      <w:r>
        <w:rPr>
          <w:rFonts w:ascii="Arial" w:cs="Arial" w:eastAsia="Arial" w:hAnsi="Arial"/>
          <w:sz w:val="16"/>
          <w:szCs w:val="16"/>
          <w:color w:val="auto"/>
        </w:rPr>
        <w:t>Holders of our common stock are entitled to receive only such dividends as our board of directors may declare out of funds legally available for such payments and as permitted by our debt agreements. We have never paid cash dividends on our common stock and do not anticipate paying any in the foreseeable future. In determining the possibility and amount of any potential future dividends, our board of directors will consider economic and market conditions, our financial condition, and operating results. This could adversely affect the market price of our common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SELECTED CONSOLIDATED HISTORICAL FINANCIAL DATA</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selected condensed consolidated historical income statement data "as previously reported" for the years ended December 31, 2019, 2018, and 2017 and the selected consolidated historical balance sheet data as of December 31, 2019, 2018, and 2017, presented below have been derived from our audited consolidated financial statements. The selected condensed consolidated historical income statement data for the three months ended March 31, 2020 and 2019 and the selected consolidated historical balance sheet data as of March 31, 2020 presented below have been derived from our unaudited consolidated financial statements. Effective January 1, 2020, we changed the presentation of cost reimbursements from collaborators who are not deemed to be our customers from collaboration revenue to a reduction of the corresponding operating expense (</w:t>
      </w:r>
      <w:r>
        <w:rPr>
          <w:rFonts w:ascii="Arial" w:cs="Arial" w:eastAsia="Arial" w:hAnsi="Arial"/>
          <w:sz w:val="16"/>
          <w:szCs w:val="16"/>
          <w:i w:val="1"/>
          <w:iCs w:val="1"/>
          <w:color w:val="auto"/>
        </w:rPr>
        <w:t>i.e.</w:t>
      </w:r>
      <w:r>
        <w:rPr>
          <w:rFonts w:ascii="Arial" w:cs="Arial" w:eastAsia="Arial" w:hAnsi="Arial"/>
          <w:sz w:val="16"/>
          <w:szCs w:val="16"/>
          <w:color w:val="auto"/>
        </w:rPr>
        <w:t>, either Research and development or Selling, general, and administrative) incurred by us. We also changed the presentation of amounts recognized in connection with up-front and development milestone payments received from collaboration revenue to Other operating income. The change in presentation has been applied retrospectively to the selected condensed consolidated income statement data from our previously audited financial statements, as shown in the table below. Results for the three months ended March 31, 2020 may not be indicative of the results for the year ending December 31, 2020. All financial data presented in this prospectus supplement have been prepared in accordance with United States generally accepted accounting principles.</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This information should be read in conjunction with our consolidated financial statements (including the related notes thereto) and the disclosure under </w:t>
      </w:r>
      <w:hyperlink r:id="rId10">
        <w:r>
          <w:rPr>
            <w:rFonts w:ascii="Arial" w:cs="Arial" w:eastAsia="Arial" w:hAnsi="Arial"/>
            <w:sz w:val="18"/>
            <w:szCs w:val="18"/>
            <w:color w:val="auto"/>
          </w:rPr>
          <w:t xml:space="preserve">"Management's Discussion and Analysis of Financial Condition and Results of Operations" in our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10">
        <w:r>
          <w:rPr>
            <w:rFonts w:ascii="Arial" w:cs="Arial" w:eastAsia="Arial" w:hAnsi="Arial"/>
            <w:sz w:val="18"/>
            <w:szCs w:val="18"/>
            <w:u w:val="single" w:color="auto"/>
            <w:color w:val="0000EE"/>
          </w:rPr>
          <w:t>December 31, 2019</w:t>
        </w:r>
        <w:r>
          <w:rPr>
            <w:rFonts w:ascii="Arial" w:cs="Arial" w:eastAsia="Arial" w:hAnsi="Arial"/>
            <w:sz w:val="18"/>
            <w:szCs w:val="18"/>
            <w:color w:val="000000"/>
          </w:rPr>
          <w:t>, and our</w:t>
        </w:r>
        <w:r>
          <w:rPr>
            <w:rFonts w:ascii="Arial" w:cs="Arial" w:eastAsia="Arial" w:hAnsi="Arial"/>
            <w:sz w:val="18"/>
            <w:szCs w:val="18"/>
            <w:color w:val="0000EE"/>
          </w:rPr>
          <w:t xml:space="preserve"> </w:t>
        </w:r>
      </w:hyperlink>
      <w:hyperlink r:id="rId11">
        <w:r>
          <w:rPr>
            <w:rFonts w:ascii="Arial" w:cs="Arial" w:eastAsia="Arial" w:hAnsi="Arial"/>
            <w:sz w:val="18"/>
            <w:szCs w:val="18"/>
            <w:u w:val="single" w:color="auto"/>
            <w:color w:val="0000EE"/>
          </w:rPr>
          <w:t>Quarterly Report on Form 10-Q for the quarterly period ended March 31, 2020</w:t>
        </w:r>
      </w:hyperlink>
      <w:hyperlink r:id="rId10">
        <w:r>
          <w:rPr>
            <w:rFonts w:ascii="Arial" w:cs="Arial" w:eastAsia="Arial" w:hAnsi="Arial"/>
            <w:sz w:val="18"/>
            <w:szCs w:val="18"/>
            <w:color w:val="000000"/>
          </w:rPr>
          <w:t xml:space="preserve">, each of which is incorporated by </w:t>
        </w:r>
      </w:hyperlink>
      <w:r>
        <w:rPr>
          <w:rFonts w:ascii="Arial" w:cs="Arial" w:eastAsia="Arial" w:hAnsi="Arial"/>
          <w:sz w:val="18"/>
          <w:szCs w:val="18"/>
          <w:color w:val="0000EE"/>
        </w:rPr>
        <w:t xml:space="preserve">reference </w:t>
      </w:r>
      <w:r>
        <w:rPr>
          <w:rFonts w:ascii="Arial" w:cs="Arial" w:eastAsia="Arial" w:hAnsi="Arial"/>
          <w:sz w:val="18"/>
          <w:szCs w:val="18"/>
          <w:color w:val="000000"/>
        </w:rPr>
        <w:t>into</w:t>
      </w:r>
      <w:r>
        <w:rPr>
          <w:rFonts w:ascii="Arial" w:cs="Arial" w:eastAsia="Arial" w:hAnsi="Arial"/>
          <w:sz w:val="18"/>
          <w:szCs w:val="18"/>
          <w:color w:val="0000EE"/>
        </w:rPr>
        <w:t xml:space="preserve"> </w:t>
      </w:r>
      <w:r>
        <w:rPr>
          <w:rFonts w:ascii="Arial" w:cs="Arial" w:eastAsia="Arial" w:hAnsi="Arial"/>
          <w:sz w:val="18"/>
          <w:szCs w:val="18"/>
          <w:color w:val="000000"/>
        </w:rPr>
        <w:t>this prospectus supplement.</w:t>
      </w:r>
    </w:p>
    <w:p>
      <w:pPr>
        <w:spacing w:after="0" w:line="192" w:lineRule="exact"/>
        <w:rPr>
          <w:rFonts w:ascii="Arial" w:cs="Arial" w:eastAsia="Arial" w:hAnsi="Arial"/>
          <w:sz w:val="18"/>
          <w:szCs w:val="18"/>
          <w:color w:val="0000EE"/>
        </w:rPr>
      </w:pPr>
    </w:p>
    <w:tbl>
      <w:tblPr>
        <w:tblLayout w:type="fixed"/>
        <w:tblInd w:w="11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5"/>
              </w:rPr>
              <w:t>Three</w:t>
            </w:r>
          </w:p>
        </w:tc>
        <w:tc>
          <w:tcPr>
            <w:tcW w:w="8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Three</w:t>
            </w:r>
          </w:p>
        </w:tc>
        <w:tc>
          <w:tcPr>
            <w:tcW w:w="80" w:type="dxa"/>
            <w:vAlign w:val="bottom"/>
          </w:tcPr>
          <w:p>
            <w:pPr>
              <w:spacing w:after="0"/>
              <w:rPr>
                <w:sz w:val="14"/>
                <w:szCs w:val="14"/>
                <w:color w:val="auto"/>
              </w:rPr>
            </w:pPr>
          </w:p>
        </w:tc>
        <w:tc>
          <w:tcPr>
            <w:tcW w:w="2000" w:type="dxa"/>
            <w:vAlign w:val="bottom"/>
            <w:gridSpan w:val="7"/>
          </w:tcPr>
          <w:p>
            <w:pPr>
              <w:jc w:val="right"/>
              <w:ind w:right="180"/>
              <w:spacing w:after="0"/>
              <w:rPr>
                <w:sz w:val="20"/>
                <w:szCs w:val="20"/>
                <w:color w:val="auto"/>
              </w:rPr>
            </w:pPr>
            <w:r>
              <w:rPr>
                <w:rFonts w:ascii="Arial" w:cs="Arial" w:eastAsia="Arial" w:hAnsi="Arial"/>
                <w:sz w:val="13"/>
                <w:szCs w:val="13"/>
                <w:b w:val="1"/>
                <w:bCs w:val="1"/>
                <w:color w:val="auto"/>
                <w:w w:val="93"/>
              </w:rPr>
              <w:t>Year Ended December 31, 2019</w:t>
            </w:r>
          </w:p>
        </w:tc>
        <w:tc>
          <w:tcPr>
            <w:tcW w:w="100" w:type="dxa"/>
            <w:vAlign w:val="bottom"/>
          </w:tcPr>
          <w:p>
            <w:pPr>
              <w:spacing w:after="0"/>
              <w:rPr>
                <w:sz w:val="14"/>
                <w:szCs w:val="14"/>
                <w:color w:val="auto"/>
              </w:rPr>
            </w:pPr>
          </w:p>
        </w:tc>
        <w:tc>
          <w:tcPr>
            <w:tcW w:w="2000" w:type="dxa"/>
            <w:vAlign w:val="bottom"/>
            <w:gridSpan w:val="7"/>
          </w:tcPr>
          <w:p>
            <w:pPr>
              <w:jc w:val="right"/>
              <w:ind w:right="180"/>
              <w:spacing w:after="0"/>
              <w:rPr>
                <w:sz w:val="20"/>
                <w:szCs w:val="20"/>
                <w:color w:val="auto"/>
              </w:rPr>
            </w:pPr>
            <w:r>
              <w:rPr>
                <w:rFonts w:ascii="Arial" w:cs="Arial" w:eastAsia="Arial" w:hAnsi="Arial"/>
                <w:sz w:val="13"/>
                <w:szCs w:val="13"/>
                <w:b w:val="1"/>
                <w:bCs w:val="1"/>
                <w:color w:val="auto"/>
                <w:w w:val="93"/>
              </w:rPr>
              <w:t>Year Ended December 31, 2018</w:t>
            </w:r>
          </w:p>
        </w:tc>
        <w:tc>
          <w:tcPr>
            <w:tcW w:w="80" w:type="dxa"/>
            <w:vAlign w:val="bottom"/>
          </w:tcPr>
          <w:p>
            <w:pPr>
              <w:spacing w:after="0"/>
              <w:rPr>
                <w:sz w:val="14"/>
                <w:szCs w:val="14"/>
                <w:color w:val="auto"/>
              </w:rPr>
            </w:pPr>
          </w:p>
        </w:tc>
        <w:tc>
          <w:tcPr>
            <w:tcW w:w="2100" w:type="dxa"/>
            <w:vAlign w:val="bottom"/>
            <w:gridSpan w:val="7"/>
          </w:tcPr>
          <w:p>
            <w:pPr>
              <w:jc w:val="right"/>
              <w:ind w:right="280"/>
              <w:spacing w:after="0"/>
              <w:rPr>
                <w:sz w:val="20"/>
                <w:szCs w:val="20"/>
                <w:color w:val="auto"/>
              </w:rPr>
            </w:pPr>
            <w:r>
              <w:rPr>
                <w:rFonts w:ascii="Arial" w:cs="Arial" w:eastAsia="Arial" w:hAnsi="Arial"/>
                <w:sz w:val="13"/>
                <w:szCs w:val="13"/>
                <w:b w:val="1"/>
                <w:bCs w:val="1"/>
                <w:color w:val="auto"/>
                <w:w w:val="93"/>
              </w:rPr>
              <w:t>Year Ended December 31, 2017</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3"/>
            <w:vMerge w:val="restart"/>
          </w:tcPr>
          <w:p>
            <w:pPr>
              <w:jc w:val="center"/>
              <w:ind w:right="160"/>
              <w:spacing w:after="0" w:line="136" w:lineRule="exact"/>
              <w:rPr>
                <w:sz w:val="20"/>
                <w:szCs w:val="20"/>
                <w:color w:val="auto"/>
              </w:rPr>
            </w:pPr>
            <w:r>
              <w:rPr>
                <w:rFonts w:ascii="Arial" w:cs="Arial" w:eastAsia="Arial" w:hAnsi="Arial"/>
                <w:sz w:val="13"/>
                <w:szCs w:val="13"/>
                <w:b w:val="1"/>
                <w:bCs w:val="1"/>
                <w:color w:val="auto"/>
                <w:w w:val="95"/>
              </w:rPr>
              <w:t>Months</w:t>
            </w:r>
          </w:p>
        </w:tc>
        <w:tc>
          <w:tcPr>
            <w:tcW w:w="80" w:type="dxa"/>
            <w:vAlign w:val="bottom"/>
          </w:tcPr>
          <w:p>
            <w:pPr>
              <w:spacing w:after="0"/>
              <w:rPr>
                <w:sz w:val="2"/>
                <w:szCs w:val="2"/>
                <w:color w:val="auto"/>
              </w:rPr>
            </w:pPr>
          </w:p>
        </w:tc>
        <w:tc>
          <w:tcPr>
            <w:tcW w:w="620" w:type="dxa"/>
            <w:vAlign w:val="bottom"/>
            <w:gridSpan w:val="2"/>
            <w:vMerge w:val="restart"/>
          </w:tcPr>
          <w:p>
            <w:pPr>
              <w:jc w:val="center"/>
              <w:ind w:right="140"/>
              <w:spacing w:after="0" w:line="136" w:lineRule="exact"/>
              <w:rPr>
                <w:sz w:val="20"/>
                <w:szCs w:val="20"/>
                <w:color w:val="auto"/>
              </w:rPr>
            </w:pPr>
            <w:r>
              <w:rPr>
                <w:rFonts w:ascii="Arial" w:cs="Arial" w:eastAsia="Arial" w:hAnsi="Arial"/>
                <w:sz w:val="13"/>
                <w:szCs w:val="13"/>
                <w:b w:val="1"/>
                <w:bCs w:val="1"/>
                <w:color w:val="auto"/>
                <w:w w:val="95"/>
              </w:rPr>
              <w:t>Months</w:t>
            </w: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5"/>
              </w:rPr>
              <w:t>Ended</w:t>
            </w:r>
          </w:p>
        </w:tc>
        <w:tc>
          <w:tcPr>
            <w:tcW w:w="8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Ended</w:t>
            </w:r>
          </w:p>
        </w:tc>
        <w:tc>
          <w:tcPr>
            <w:tcW w:w="80" w:type="dxa"/>
            <w:vAlign w:val="bottom"/>
          </w:tcPr>
          <w:p>
            <w:pPr>
              <w:spacing w:after="0"/>
              <w:rPr>
                <w:sz w:val="12"/>
                <w:szCs w:val="12"/>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As</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68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9"/>
              </w:rPr>
              <w:t>March 31,</w:t>
            </w:r>
          </w:p>
        </w:tc>
        <w:tc>
          <w:tcPr>
            <w:tcW w:w="7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6"/>
              </w:rPr>
              <w:t>March 31,</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Previously</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As</w:t>
            </w: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Previously</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Previously</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As</w:t>
            </w:r>
          </w:p>
        </w:tc>
        <w:tc>
          <w:tcPr>
            <w:tcW w:w="0" w:type="dxa"/>
            <w:vAlign w:val="bottom"/>
          </w:tcPr>
          <w:p>
            <w:pPr>
              <w:spacing w:after="0"/>
              <w:rPr>
                <w:sz w:val="1"/>
                <w:szCs w:val="1"/>
                <w:color w:val="auto"/>
              </w:rPr>
            </w:pPr>
          </w:p>
        </w:tc>
      </w:tr>
      <w:tr>
        <w:trPr>
          <w:trHeight w:val="161"/>
        </w:trPr>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8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13"/>
              <w:spacing w:after="0"/>
              <w:rPr>
                <w:sz w:val="20"/>
                <w:szCs w:val="20"/>
                <w:color w:val="auto"/>
              </w:rPr>
            </w:pPr>
            <w:r>
              <w:rPr>
                <w:rFonts w:ascii="Arial" w:cs="Arial" w:eastAsia="Arial" w:hAnsi="Arial"/>
                <w:sz w:val="13"/>
                <w:szCs w:val="13"/>
                <w:b w:val="1"/>
                <w:bCs w:val="1"/>
                <w:color w:val="auto"/>
                <w:w w:val="89"/>
              </w:rPr>
              <w:t>2019</w:t>
            </w:r>
          </w:p>
        </w:tc>
        <w:tc>
          <w:tcPr>
            <w:tcW w:w="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Reported*</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Adjustments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2"/>
              </w:rPr>
              <w:t>Revised</w:t>
            </w: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Reported*</w:t>
            </w: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Adjustments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2"/>
              </w:rPr>
              <w:t>Revised</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Reported*</w:t>
            </w: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8"/>
              </w:rPr>
              <w:t>Revised</w:t>
            </w:r>
          </w:p>
        </w:tc>
        <w:tc>
          <w:tcPr>
            <w:tcW w:w="0" w:type="dxa"/>
            <w:vAlign w:val="bottom"/>
          </w:tcPr>
          <w:p>
            <w:pPr>
              <w:spacing w:after="0"/>
              <w:rPr>
                <w:sz w:val="1"/>
                <w:szCs w:val="1"/>
                <w:color w:val="auto"/>
              </w:rPr>
            </w:pPr>
          </w:p>
        </w:tc>
      </w:tr>
      <w:tr>
        <w:trPr>
          <w:trHeight w:val="129"/>
        </w:trPr>
        <w:tc>
          <w:tcPr>
            <w:tcW w:w="1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Income statement</w:t>
            </w: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data:</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20"/>
              <w:spacing w:after="0"/>
              <w:rPr>
                <w:sz w:val="20"/>
                <w:szCs w:val="20"/>
                <w:color w:val="auto"/>
              </w:rPr>
            </w:pPr>
            <w:r>
              <w:rPr>
                <w:rFonts w:ascii="Arial" w:cs="Arial" w:eastAsia="Arial" w:hAnsi="Arial"/>
                <w:sz w:val="13"/>
                <w:szCs w:val="13"/>
                <w:color w:val="auto"/>
              </w:rPr>
              <w:t>Revenues: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product sales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1,236.7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1,104.4</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4,834.4</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8"/>
              </w:rPr>
              <w:t>$ 4,834.4</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4,106.2</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8"/>
              </w:rPr>
              <w:t>$ 4,106.2</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3,718.5</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8"/>
              </w:rPr>
              <w:t>$ 3,718.5</w:t>
            </w:r>
          </w:p>
        </w:tc>
        <w:tc>
          <w:tcPr>
            <w:tcW w:w="0" w:type="dxa"/>
            <w:vAlign w:val="bottom"/>
          </w:tcPr>
          <w:p>
            <w:pPr>
              <w:spacing w:after="0"/>
              <w:rPr>
                <w:sz w:val="1"/>
                <w:szCs w:val="1"/>
                <w:color w:val="auto"/>
              </w:rPr>
            </w:pPr>
          </w:p>
        </w:tc>
      </w:tr>
      <w:tr>
        <w:trPr>
          <w:trHeight w:val="138"/>
        </w:trPr>
        <w:tc>
          <w:tcPr>
            <w:tcW w:w="1360" w:type="dxa"/>
            <w:vAlign w:val="bottom"/>
          </w:tcPr>
          <w:p>
            <w:pPr>
              <w:ind w:left="120"/>
              <w:spacing w:after="0" w:line="138" w:lineRule="exact"/>
              <w:rPr>
                <w:sz w:val="20"/>
                <w:szCs w:val="20"/>
                <w:color w:val="auto"/>
              </w:rPr>
            </w:pPr>
            <w:r>
              <w:rPr>
                <w:rFonts w:ascii="Arial" w:cs="Arial" w:eastAsia="Arial" w:hAnsi="Arial"/>
                <w:sz w:val="13"/>
                <w:szCs w:val="13"/>
                <w:color w:val="auto"/>
              </w:rPr>
              <w:t>Sanofi collaboration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tcPr>
          <w:p>
            <w:pPr>
              <w:ind w:left="220"/>
              <w:spacing w:after="0"/>
              <w:rPr>
                <w:sz w:val="20"/>
                <w:szCs w:val="20"/>
                <w:color w:val="auto"/>
              </w:rPr>
            </w:pPr>
            <w:r>
              <w:rPr>
                <w:rFonts w:ascii="Arial" w:cs="Arial" w:eastAsia="Arial" w:hAnsi="Arial"/>
                <w:sz w:val="13"/>
                <w:szCs w:val="13"/>
                <w:color w:val="auto"/>
              </w:rPr>
              <w:t>revenue</w:t>
            </w:r>
          </w:p>
        </w:tc>
        <w:tc>
          <w:tcPr>
            <w:tcW w:w="80" w:type="dxa"/>
            <w:vAlign w:val="bottom"/>
          </w:tcPr>
          <w:p>
            <w:pPr>
              <w:spacing w:after="0"/>
              <w:rPr>
                <w:sz w:val="13"/>
                <w:szCs w:val="13"/>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246.9</w:t>
            </w: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(18.0)</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1,426.8</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(1,023.2)</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403.6</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1,111.1</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(1,236.8)</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(125.7)</w:t>
            </w: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877.2</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(1,266.9)</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(389.7)</w:t>
            </w:r>
          </w:p>
        </w:tc>
        <w:tc>
          <w:tcPr>
            <w:tcW w:w="0" w:type="dxa"/>
            <w:vAlign w:val="bottom"/>
          </w:tcPr>
          <w:p>
            <w:pPr>
              <w:spacing w:after="0"/>
              <w:rPr>
                <w:sz w:val="1"/>
                <w:szCs w:val="1"/>
                <w:color w:val="auto"/>
              </w:rPr>
            </w:pPr>
          </w:p>
        </w:tc>
      </w:tr>
      <w:tr>
        <w:trPr>
          <w:trHeight w:val="138"/>
        </w:trPr>
        <w:tc>
          <w:tcPr>
            <w:tcW w:w="136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Bayer collaboration</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revenue</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281.4</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264.0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1,188.8</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1,145.6</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1,076.7</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1,036.1</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938.1</w:t>
            </w: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846.0</w:t>
            </w:r>
          </w:p>
        </w:tc>
        <w:tc>
          <w:tcPr>
            <w:tcW w:w="0" w:type="dxa"/>
            <w:vAlign w:val="bottom"/>
          </w:tcPr>
          <w:p>
            <w:pPr>
              <w:spacing w:after="0"/>
              <w:rPr>
                <w:sz w:val="1"/>
                <w:szCs w:val="1"/>
                <w:color w:val="auto"/>
              </w:rPr>
            </w:pPr>
          </w:p>
        </w:tc>
      </w:tr>
      <w:tr>
        <w:trPr>
          <w:trHeight w:val="148"/>
        </w:trPr>
        <w:tc>
          <w:tcPr>
            <w:tcW w:w="1360" w:type="dxa"/>
            <w:vAlign w:val="bottom"/>
          </w:tcPr>
          <w:p>
            <w:pPr>
              <w:ind w:left="120"/>
              <w:spacing w:after="0"/>
              <w:rPr>
                <w:sz w:val="20"/>
                <w:szCs w:val="20"/>
                <w:color w:val="auto"/>
              </w:rPr>
            </w:pPr>
            <w:r>
              <w:rPr>
                <w:rFonts w:ascii="Arial" w:cs="Arial" w:eastAsia="Arial" w:hAnsi="Arial"/>
                <w:sz w:val="13"/>
                <w:szCs w:val="13"/>
                <w:color w:val="auto"/>
              </w:rPr>
              <w:t>Other revenue</w:t>
            </w:r>
          </w:p>
        </w:tc>
        <w:tc>
          <w:tcPr>
            <w:tcW w:w="80" w:type="dxa"/>
            <w:vAlign w:val="bottom"/>
          </w:tcPr>
          <w:p>
            <w:pPr>
              <w:spacing w:after="0"/>
              <w:rPr>
                <w:sz w:val="12"/>
                <w:szCs w:val="12"/>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63.2</w:t>
            </w: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22.2</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413.4</w:t>
            </w:r>
          </w:p>
        </w:tc>
        <w:tc>
          <w:tcPr>
            <w:tcW w:w="18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(239.4)</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174.0</w:t>
            </w:r>
          </w:p>
        </w:tc>
        <w:tc>
          <w:tcPr>
            <w:tcW w:w="10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416.8</w:t>
            </w:r>
          </w:p>
        </w:tc>
        <w:tc>
          <w:tcPr>
            <w:tcW w:w="1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(287.8)</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129.0</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338.4</w:t>
            </w:r>
          </w:p>
        </w:tc>
        <w:tc>
          <w:tcPr>
            <w:tcW w:w="20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(255.7)</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82.7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1,828.2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1,372.6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7,863.4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(1,305.8)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6,557.6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6,710.8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(1,565.2)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5,145.6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5,872.2</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(1,614.7)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4,257.5</w:t>
            </w:r>
          </w:p>
        </w:tc>
        <w:tc>
          <w:tcPr>
            <w:tcW w:w="0" w:type="dxa"/>
            <w:vAlign w:val="bottom"/>
          </w:tcPr>
          <w:p>
            <w:pPr>
              <w:spacing w:after="0"/>
              <w:rPr>
                <w:sz w:val="1"/>
                <w:szCs w:val="1"/>
                <w:color w:val="auto"/>
              </w:rPr>
            </w:pPr>
          </w:p>
        </w:tc>
      </w:tr>
      <w:tr>
        <w:trPr>
          <w:trHeight w:val="142"/>
        </w:trPr>
        <w:tc>
          <w:tcPr>
            <w:tcW w:w="1360" w:type="dxa"/>
            <w:vAlign w:val="bottom"/>
          </w:tcPr>
          <w:p>
            <w:pPr>
              <w:ind w:left="20"/>
              <w:spacing w:after="0" w:line="142" w:lineRule="exact"/>
              <w:rPr>
                <w:sz w:val="20"/>
                <w:szCs w:val="20"/>
                <w:color w:val="auto"/>
              </w:rPr>
            </w:pPr>
            <w:r>
              <w:rPr>
                <w:rFonts w:ascii="Arial" w:cs="Arial" w:eastAsia="Arial" w:hAnsi="Arial"/>
                <w:sz w:val="13"/>
                <w:szCs w:val="13"/>
                <w:color w:val="auto"/>
              </w:rPr>
              <w:t>Expenses:</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6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Research and</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development</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583.9</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486.1</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3,036.6</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(586.6)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2,450.0</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2,186.1</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(717.3)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1,468.8</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2,075.1</w:t>
            </w: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(894.6)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1,180.5</w:t>
            </w:r>
          </w:p>
        </w:tc>
        <w:tc>
          <w:tcPr>
            <w:tcW w:w="0" w:type="dxa"/>
            <w:vAlign w:val="bottom"/>
          </w:tcPr>
          <w:p>
            <w:pPr>
              <w:spacing w:after="0"/>
              <w:rPr>
                <w:sz w:val="1"/>
                <w:szCs w:val="1"/>
                <w:color w:val="auto"/>
              </w:rPr>
            </w:pPr>
          </w:p>
        </w:tc>
      </w:tr>
      <w:tr>
        <w:trPr>
          <w:trHeight w:val="138"/>
        </w:trPr>
        <w:tc>
          <w:tcPr>
            <w:tcW w:w="1360" w:type="dxa"/>
            <w:vAlign w:val="bottom"/>
          </w:tcPr>
          <w:p>
            <w:pPr>
              <w:ind w:left="120"/>
              <w:spacing w:after="0" w:line="138" w:lineRule="exact"/>
              <w:rPr>
                <w:sz w:val="20"/>
                <w:szCs w:val="20"/>
                <w:color w:val="auto"/>
              </w:rPr>
            </w:pPr>
            <w:r>
              <w:rPr>
                <w:rFonts w:ascii="Arial" w:cs="Arial" w:eastAsia="Arial" w:hAnsi="Arial"/>
                <w:sz w:val="13"/>
                <w:szCs w:val="13"/>
                <w:color w:val="auto"/>
              </w:rPr>
              <w:t>Selling, general, and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tcPr>
          <w:p>
            <w:pPr>
              <w:ind w:left="220"/>
              <w:spacing w:after="0"/>
              <w:rPr>
                <w:sz w:val="20"/>
                <w:szCs w:val="20"/>
                <w:color w:val="auto"/>
              </w:rPr>
            </w:pPr>
            <w:r>
              <w:rPr>
                <w:rFonts w:ascii="Arial" w:cs="Arial" w:eastAsia="Arial" w:hAnsi="Arial"/>
                <w:sz w:val="13"/>
                <w:szCs w:val="13"/>
                <w:color w:val="auto"/>
              </w:rPr>
              <w:t>administrative</w:t>
            </w:r>
          </w:p>
        </w:tc>
        <w:tc>
          <w:tcPr>
            <w:tcW w:w="80" w:type="dxa"/>
            <w:vAlign w:val="bottom"/>
          </w:tcPr>
          <w:p>
            <w:pPr>
              <w:spacing w:after="0"/>
              <w:rPr>
                <w:sz w:val="13"/>
                <w:szCs w:val="13"/>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367.3</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291.1</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1,834.8</w:t>
            </w: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(492.9)</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1,341.9</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1,556.2</w:t>
            </w:r>
          </w:p>
        </w:tc>
        <w:tc>
          <w:tcPr>
            <w:tcW w:w="1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(429.0)</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1,127.2</w:t>
            </w: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1,320.4</w:t>
            </w:r>
          </w:p>
        </w:tc>
        <w:tc>
          <w:tcPr>
            <w:tcW w:w="20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(380.4)</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940.0</w:t>
            </w: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Cost of goods sold</w:t>
            </w:r>
          </w:p>
        </w:tc>
        <w:tc>
          <w:tcPr>
            <w:tcW w:w="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78.8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362.3</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362.3</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180.0</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180.0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202.5</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202.5</w:t>
            </w:r>
          </w:p>
        </w:tc>
        <w:tc>
          <w:tcPr>
            <w:tcW w:w="0" w:type="dxa"/>
            <w:vAlign w:val="bottom"/>
          </w:tcPr>
          <w:p>
            <w:pPr>
              <w:spacing w:after="0"/>
              <w:rPr>
                <w:sz w:val="1"/>
                <w:szCs w:val="1"/>
                <w:color w:val="auto"/>
              </w:rPr>
            </w:pPr>
          </w:p>
        </w:tc>
      </w:tr>
      <w:tr>
        <w:trPr>
          <w:trHeight w:val="138"/>
        </w:trPr>
        <w:tc>
          <w:tcPr>
            <w:tcW w:w="1360" w:type="dxa"/>
            <w:vAlign w:val="bottom"/>
          </w:tcPr>
          <w:p>
            <w:pPr>
              <w:ind w:left="120"/>
              <w:spacing w:after="0" w:line="138" w:lineRule="exact"/>
              <w:rPr>
                <w:sz w:val="20"/>
                <w:szCs w:val="20"/>
                <w:color w:val="auto"/>
              </w:rPr>
            </w:pPr>
            <w:r>
              <w:rPr>
                <w:rFonts w:ascii="Arial" w:cs="Arial" w:eastAsia="Arial" w:hAnsi="Arial"/>
                <w:sz w:val="13"/>
                <w:szCs w:val="13"/>
                <w:color w:val="auto"/>
              </w:rPr>
              <w:t>Cost of collaboration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220"/>
              <w:spacing w:after="0"/>
              <w:rPr>
                <w:sz w:val="20"/>
                <w:szCs w:val="20"/>
                <w:color w:val="auto"/>
              </w:rPr>
            </w:pPr>
            <w:r>
              <w:rPr>
                <w:rFonts w:ascii="Arial" w:cs="Arial" w:eastAsia="Arial" w:hAnsi="Arial"/>
                <w:sz w:val="13"/>
                <w:szCs w:val="13"/>
                <w:color w:val="auto"/>
              </w:rPr>
              <w:t>and contract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60" w:type="dxa"/>
            <w:vAlign w:val="bottom"/>
          </w:tcPr>
          <w:p>
            <w:pPr>
              <w:ind w:left="220"/>
              <w:spacing w:after="0"/>
              <w:rPr>
                <w:sz w:val="20"/>
                <w:szCs w:val="20"/>
                <w:color w:val="auto"/>
              </w:rPr>
            </w:pPr>
            <w:r>
              <w:rPr>
                <w:rFonts w:ascii="Arial" w:cs="Arial" w:eastAsia="Arial" w:hAnsi="Arial"/>
                <w:sz w:val="13"/>
                <w:szCs w:val="13"/>
                <w:color w:val="auto"/>
              </w:rPr>
              <w:t>manufacturing</w:t>
            </w:r>
          </w:p>
        </w:tc>
        <w:tc>
          <w:tcPr>
            <w:tcW w:w="80" w:type="dxa"/>
            <w:vAlign w:val="bottom"/>
          </w:tcPr>
          <w:p>
            <w:pPr>
              <w:spacing w:after="0"/>
              <w:rPr>
                <w:sz w:val="13"/>
                <w:szCs w:val="13"/>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138.5</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101.2</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419.9</w:t>
            </w: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(17.1)</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402.8</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254.1</w:t>
            </w:r>
          </w:p>
        </w:tc>
        <w:tc>
          <w:tcPr>
            <w:tcW w:w="1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(16.6)</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237.5</w:t>
            </w: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194.6</w:t>
            </w:r>
          </w:p>
        </w:tc>
        <w:tc>
          <w:tcPr>
            <w:tcW w:w="20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(25.2)</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169.4</w:t>
            </w:r>
          </w:p>
        </w:tc>
        <w:tc>
          <w:tcPr>
            <w:tcW w:w="0" w:type="dxa"/>
            <w:vAlign w:val="bottom"/>
          </w:tcPr>
          <w:p>
            <w:pPr>
              <w:spacing w:after="0"/>
              <w:rPr>
                <w:sz w:val="1"/>
                <w:szCs w:val="1"/>
                <w:color w:val="auto"/>
              </w:rPr>
            </w:pPr>
          </w:p>
        </w:tc>
      </w:tr>
      <w:tr>
        <w:trPr>
          <w:trHeight w:val="138"/>
        </w:trPr>
        <w:tc>
          <w:tcPr>
            <w:tcW w:w="136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Other operating</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expense,</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(40.4)</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(209.2)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(209.2)</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(402.3)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(402.3)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(314.5)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(314.5)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1,128.1</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892.6</w:t>
            </w: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5,653.6</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(1,305.8)</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4,347.8</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4,176.4</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(1,565.2)</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2,611.2</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3,792.6</w:t>
            </w:r>
          </w:p>
        </w:tc>
        <w:tc>
          <w:tcPr>
            <w:tcW w:w="2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(1,614.7)</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2,177.9</w:t>
            </w:r>
          </w:p>
        </w:tc>
        <w:tc>
          <w:tcPr>
            <w:tcW w:w="0" w:type="dxa"/>
            <w:vAlign w:val="bottom"/>
          </w:tcPr>
          <w:p>
            <w:pPr>
              <w:spacing w:after="0"/>
              <w:rPr>
                <w:sz w:val="1"/>
                <w:szCs w:val="1"/>
                <w:color w:val="auto"/>
              </w:rPr>
            </w:pPr>
          </w:p>
        </w:tc>
      </w:tr>
      <w:tr>
        <w:trPr>
          <w:trHeight w:val="131"/>
        </w:trPr>
        <w:tc>
          <w:tcPr>
            <w:tcW w:w="13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Income from</w:t>
            </w: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operations</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700.1</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480.0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2,209.8</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2,209.8</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2,534.4</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2,534.4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2,079.6</w:t>
            </w: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2,079.6</w:t>
            </w:r>
          </w:p>
        </w:tc>
        <w:tc>
          <w:tcPr>
            <w:tcW w:w="0" w:type="dxa"/>
            <w:vAlign w:val="bottom"/>
          </w:tcPr>
          <w:p>
            <w:pPr>
              <w:spacing w:after="0"/>
              <w:rPr>
                <w:sz w:val="1"/>
                <w:szCs w:val="1"/>
                <w:color w:val="auto"/>
              </w:rPr>
            </w:pPr>
          </w:p>
        </w:tc>
      </w:tr>
      <w:tr>
        <w:trPr>
          <w:trHeight w:val="131"/>
        </w:trPr>
        <w:tc>
          <w:tcPr>
            <w:tcW w:w="1360" w:type="dxa"/>
            <w:vAlign w:val="bottom"/>
          </w:tcPr>
          <w:p>
            <w:pPr>
              <w:ind w:left="20"/>
              <w:spacing w:after="0" w:line="131" w:lineRule="exact"/>
              <w:rPr>
                <w:sz w:val="20"/>
                <w:szCs w:val="20"/>
                <w:color w:val="auto"/>
              </w:rPr>
            </w:pPr>
            <w:r>
              <w:rPr>
                <w:rFonts w:ascii="Arial" w:cs="Arial" w:eastAsia="Arial" w:hAnsi="Arial"/>
                <w:sz w:val="13"/>
                <w:szCs w:val="13"/>
                <w:color w:val="auto"/>
              </w:rPr>
              <w:t>Other (expense)</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tcPr>
          <w:p>
            <w:pPr>
              <w:ind w:left="120"/>
              <w:spacing w:after="0"/>
              <w:rPr>
                <w:sz w:val="20"/>
                <w:szCs w:val="20"/>
                <w:color w:val="auto"/>
              </w:rPr>
            </w:pPr>
            <w:r>
              <w:rPr>
                <w:rFonts w:ascii="Arial" w:cs="Arial" w:eastAsia="Arial" w:hAnsi="Arial"/>
                <w:sz w:val="13"/>
                <w:szCs w:val="13"/>
                <w:color w:val="auto"/>
              </w:rPr>
              <w:t>income, net</w:t>
            </w:r>
          </w:p>
        </w:tc>
        <w:tc>
          <w:tcPr>
            <w:tcW w:w="80" w:type="dxa"/>
            <w:vAlign w:val="bottom"/>
          </w:tcPr>
          <w:p>
            <w:pPr>
              <w:spacing w:after="0"/>
              <w:rPr>
                <w:sz w:val="13"/>
                <w:szCs w:val="1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(31.5)</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66.1</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219.3</w:t>
            </w:r>
          </w:p>
        </w:tc>
        <w:tc>
          <w:tcPr>
            <w:tcW w:w="1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219.3</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19.1</w:t>
            </w:r>
          </w:p>
        </w:tc>
        <w:tc>
          <w:tcPr>
            <w:tcW w:w="1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19.1</w:t>
            </w: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1"/>
        </w:trPr>
        <w:tc>
          <w:tcPr>
            <w:tcW w:w="13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Income before income</w:t>
            </w: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taxes</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668.6</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546.1</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2,429.1</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2,429.1</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2,553.5</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2,553.5</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2,078.5</w:t>
            </w: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2,078.5</w:t>
            </w:r>
          </w:p>
        </w:tc>
        <w:tc>
          <w:tcPr>
            <w:tcW w:w="0" w:type="dxa"/>
            <w:vAlign w:val="bottom"/>
          </w:tcPr>
          <w:p>
            <w:pPr>
              <w:spacing w:after="0"/>
              <w:rPr>
                <w:sz w:val="1"/>
                <w:szCs w:val="1"/>
                <w:color w:val="auto"/>
              </w:rPr>
            </w:pPr>
          </w:p>
        </w:tc>
      </w:tr>
      <w:tr>
        <w:trPr>
          <w:trHeight w:val="149"/>
        </w:trPr>
        <w:tc>
          <w:tcPr>
            <w:tcW w:w="136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80" w:type="dxa"/>
            <w:vAlign w:val="bottom"/>
          </w:tcPr>
          <w:p>
            <w:pPr>
              <w:spacing w:after="0"/>
              <w:rPr>
                <w:sz w:val="12"/>
                <w:szCs w:val="12"/>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44.0</w:t>
            </w: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85.0</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313.3</w:t>
            </w: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313.3</w:t>
            </w:r>
          </w:p>
        </w:tc>
        <w:tc>
          <w:tcPr>
            <w:tcW w:w="10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109.1</w:t>
            </w: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109.1</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880.0</w:t>
            </w:r>
          </w:p>
        </w:tc>
        <w:tc>
          <w:tcPr>
            <w:tcW w:w="2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880.0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624.6</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461.1</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2,115.8</w:t>
            </w:r>
          </w:p>
        </w:tc>
        <w:tc>
          <w:tcPr>
            <w:tcW w:w="18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 $ 2,115.8</w:t>
            </w:r>
          </w:p>
        </w:tc>
        <w:tc>
          <w:tcPr>
            <w:tcW w:w="1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2,444.4</w:t>
            </w:r>
          </w:p>
        </w:tc>
        <w:tc>
          <w:tcPr>
            <w:tcW w:w="18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 $ 2,444.4</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1,198.5</w:t>
            </w:r>
          </w:p>
        </w:tc>
        <w:tc>
          <w:tcPr>
            <w:tcW w:w="20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 $ 1,198.5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rFonts w:ascii="Arial" w:cs="Arial" w:eastAsia="Arial" w:hAnsi="Arial"/>
          <w:sz w:val="18"/>
          <w:szCs w:val="18"/>
          <w:color w:val="0000EE"/>
        </w:rPr>
      </w:pPr>
    </w:p>
    <w:p>
      <w:pPr>
        <w:ind w:left="1680" w:right="280" w:hanging="549"/>
        <w:spacing w:after="0" w:line="274" w:lineRule="auto"/>
        <w:tabs>
          <w:tab w:leader="none" w:pos="168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See above and our Quarterly Report on Form 10-Q for the quarterly period ended March 31, 2020, which is incorporated by reference into this prospectus supplement, for a description of certain presentation changes effective January 1, 2020.</w:t>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4" w:lineRule="exact"/>
        <w:rPr>
          <w:rFonts w:ascii="Arial" w:cs="Arial" w:eastAsia="Arial" w:hAnsi="Arial"/>
          <w:sz w:val="18"/>
          <w:szCs w:val="18"/>
          <w:color w:val="0000EE"/>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March 31,</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20" w:type="dxa"/>
            <w:vAlign w:val="bottom"/>
          </w:tcPr>
          <w:p>
            <w:pPr>
              <w:spacing w:after="0"/>
              <w:rPr>
                <w:sz w:val="12"/>
                <w:szCs w:val="12"/>
                <w:color w:val="auto"/>
              </w:rPr>
            </w:pPr>
          </w:p>
        </w:tc>
        <w:tc>
          <w:tcPr>
            <w:tcW w:w="50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(in millions)</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0"/>
        </w:trPr>
        <w:tc>
          <w:tcPr>
            <w:tcW w:w="1120" w:type="dxa"/>
            <w:vAlign w:val="bottom"/>
          </w:tcPr>
          <w:p>
            <w:pPr>
              <w:spacing w:after="0"/>
              <w:rPr>
                <w:sz w:val="18"/>
                <w:szCs w:val="18"/>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w w:val="96"/>
              </w:rPr>
              <w:t>Cash, cash equivalents, and marketable securities (current and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non-current)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7,239.8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6,471.1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4,564.9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2,896.0</w:t>
            </w:r>
          </w:p>
        </w:tc>
        <w:tc>
          <w:tcPr>
            <w:tcW w:w="1140" w:type="dxa"/>
            <w:vAlign w:val="bottom"/>
          </w:tcPr>
          <w:p>
            <w:pPr>
              <w:spacing w:after="0"/>
              <w:rPr>
                <w:sz w:val="19"/>
                <w:szCs w:val="19"/>
                <w:color w:val="auto"/>
              </w:rPr>
            </w:pPr>
          </w:p>
        </w:tc>
      </w:tr>
      <w:tr>
        <w:trPr>
          <w:trHeight w:val="217"/>
        </w:trPr>
        <w:tc>
          <w:tcPr>
            <w:tcW w:w="11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14,805.2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11,734.5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8,764.3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Finance lease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715.2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713.9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708.5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703.5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12,133.0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11,089.7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6,144.1</w:t>
            </w:r>
          </w:p>
        </w:tc>
        <w:tc>
          <w:tcPr>
            <w:tcW w:w="1140" w:type="dxa"/>
            <w:vAlign w:val="bottom"/>
          </w:tcPr>
          <w:p>
            <w:pPr>
              <w:spacing w:after="0"/>
              <w:rPr>
                <w:sz w:val="18"/>
                <w:szCs w:val="18"/>
                <w:color w:val="auto"/>
              </w:rPr>
            </w:pPr>
          </w:p>
        </w:tc>
      </w:tr>
      <w:tr>
        <w:trPr>
          <w:trHeight w:val="430"/>
        </w:trPr>
        <w:tc>
          <w:tcPr>
            <w:tcW w:w="1120" w:type="dxa"/>
            <w:vAlign w:val="bottom"/>
          </w:tcPr>
          <w:p>
            <w:pPr>
              <w:spacing w:after="0"/>
              <w:rPr>
                <w:sz w:val="24"/>
                <w:szCs w:val="24"/>
                <w:color w:val="auto"/>
              </w:rPr>
            </w:pPr>
          </w:p>
        </w:tc>
        <w:tc>
          <w:tcPr>
            <w:tcW w:w="5080" w:type="dxa"/>
            <w:vAlign w:val="bottom"/>
          </w:tcPr>
          <w:p>
            <w:pPr>
              <w:ind w:left="4340"/>
              <w:spacing w:after="0"/>
              <w:rPr>
                <w:sz w:val="20"/>
                <w:szCs w:val="20"/>
                <w:color w:val="auto"/>
              </w:rPr>
            </w:pPr>
            <w:r>
              <w:rPr>
                <w:rFonts w:ascii="Arial" w:cs="Arial" w:eastAsia="Arial" w:hAnsi="Arial"/>
                <w:sz w:val="18"/>
                <w:szCs w:val="18"/>
                <w:color w:val="auto"/>
              </w:rPr>
              <w:t>S-12</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5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selling shareholders will receive all net proceeds from the sale of our common stock in this offering. We will not receive any of the proceeds from the sale of the shares of our common stock in this offering.</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March 31, 2020:</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adjusted to give effect to this offering, the Repurchase, and the indebtedness we expect to incur in connection with the Repurchase.</w:t>
      </w:r>
    </w:p>
    <w:p>
      <w:pPr>
        <w:spacing w:after="0" w:line="248" w:lineRule="exact"/>
        <w:rPr>
          <w:sz w:val="20"/>
          <w:szCs w:val="20"/>
          <w:color w:val="auto"/>
        </w:rPr>
      </w:pPr>
    </w:p>
    <w:p>
      <w:pPr>
        <w:ind w:right="480" w:firstLine="344"/>
        <w:spacing w:after="0" w:line="369" w:lineRule="auto"/>
        <w:rPr>
          <w:sz w:val="20"/>
          <w:szCs w:val="20"/>
          <w:color w:val="auto"/>
        </w:rPr>
      </w:pPr>
      <w:r>
        <w:rPr>
          <w:rFonts w:ascii="Arial" w:cs="Arial" w:eastAsia="Arial" w:hAnsi="Arial"/>
          <w:sz w:val="15"/>
          <w:szCs w:val="15"/>
          <w:color w:val="auto"/>
        </w:rPr>
        <w:t>You should read this table together with our financial statements and notes thereto and other financial and operating data included elsewhere in this prospectus supplement or in the accompanying prospectus or incorporated by reference into this prospectus supplement or the accompanying prospectus.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6"/>
          </w:tcPr>
          <w:p>
            <w:pPr>
              <w:ind w:left="340"/>
              <w:spacing w:after="0"/>
              <w:rPr>
                <w:sz w:val="20"/>
                <w:szCs w:val="20"/>
                <w:color w:val="auto"/>
              </w:rPr>
            </w:pPr>
            <w:r>
              <w:rPr>
                <w:rFonts w:ascii="Arial" w:cs="Arial" w:eastAsia="Arial" w:hAnsi="Arial"/>
                <w:sz w:val="13"/>
                <w:szCs w:val="13"/>
                <w:b w:val="1"/>
                <w:bCs w:val="1"/>
                <w:color w:val="auto"/>
              </w:rPr>
              <w:t>March 31, 2020</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76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(in millions, except shares data)</w:t>
            </w:r>
          </w:p>
        </w:tc>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Actual</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As Adjusted</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marketable securities (current and non-current)</w:t>
            </w: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7,239.8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Short-term borrowings:</w:t>
            </w: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20" w:type="dxa"/>
            <w:vAlign w:val="bottom"/>
          </w:tcPr>
          <w:p>
            <w:pPr>
              <w:spacing w:after="0"/>
              <w:rPr>
                <w:sz w:val="17"/>
                <w:szCs w:val="17"/>
                <w:color w:val="auto"/>
              </w:rPr>
            </w:pPr>
          </w:p>
        </w:tc>
        <w:tc>
          <w:tcPr>
            <w:tcW w:w="3760" w:type="dxa"/>
            <w:vAlign w:val="bottom"/>
            <w:gridSpan w:val="3"/>
            <w:vMerge w:val="continue"/>
          </w:tcPr>
          <w:p>
            <w:pPr>
              <w:spacing w:after="0"/>
              <w:rPr>
                <w:sz w:val="17"/>
                <w:szCs w:val="17"/>
                <w:color w:val="auto"/>
              </w:rPr>
            </w:pPr>
          </w:p>
        </w:tc>
        <w:tc>
          <w:tcPr>
            <w:tcW w:w="1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Bridge loan(1)</w:t>
            </w:r>
          </w:p>
        </w:tc>
        <w:tc>
          <w:tcPr>
            <w:tcW w:w="1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715.2</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120" w:type="dxa"/>
            <w:vAlign w:val="bottom"/>
          </w:tcPr>
          <w:p>
            <w:pPr>
              <w:spacing w:after="0"/>
              <w:rPr>
                <w:sz w:val="24"/>
                <w:szCs w:val="24"/>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Stockholders' Equity:</w:t>
            </w:r>
          </w:p>
        </w:tc>
        <w:tc>
          <w:tcPr>
            <w:tcW w:w="1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Preferred stock, $0.01 par value; 30,000,000 shares authorized, no shares issued and</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20" w:type="dxa"/>
            <w:vAlign w:val="bottom"/>
          </w:tcPr>
          <w:p>
            <w:pPr>
              <w:spacing w:after="0"/>
              <w:rPr>
                <w:sz w:val="19"/>
                <w:szCs w:val="19"/>
                <w:color w:val="auto"/>
              </w:rPr>
            </w:pPr>
          </w:p>
        </w:tc>
        <w:tc>
          <w:tcPr>
            <w:tcW w:w="3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1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6940" w:type="dxa"/>
            <w:vAlign w:val="bottom"/>
            <w:gridSpan w:val="5"/>
          </w:tcPr>
          <w:p>
            <w:pPr>
              <w:ind w:left="20"/>
              <w:spacing w:after="0"/>
              <w:rPr>
                <w:sz w:val="20"/>
                <w:szCs w:val="20"/>
                <w:color w:val="auto"/>
              </w:rPr>
            </w:pPr>
            <w:r>
              <w:rPr>
                <w:rFonts w:ascii="Arial" w:cs="Arial" w:eastAsia="Arial" w:hAnsi="Arial"/>
                <w:sz w:val="18"/>
                <w:szCs w:val="18"/>
                <w:color w:val="auto"/>
                <w:w w:val="92"/>
              </w:rPr>
              <w:t>Class A stock, convertible, $0.001 par value; 40,000,000 shares authorized, 1,848,970 shares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760" w:type="dxa"/>
            <w:vAlign w:val="bottom"/>
            <w:gridSpan w:val="3"/>
          </w:tcPr>
          <w:p>
            <w:pPr>
              <w:ind w:left="200"/>
              <w:spacing w:after="0"/>
              <w:rPr>
                <w:sz w:val="20"/>
                <w:szCs w:val="20"/>
                <w:color w:val="auto"/>
              </w:rPr>
            </w:pPr>
            <w:r>
              <w:rPr>
                <w:rFonts w:ascii="Arial" w:cs="Arial" w:eastAsia="Arial" w:hAnsi="Arial"/>
                <w:sz w:val="18"/>
                <w:szCs w:val="18"/>
                <w:color w:val="auto"/>
              </w:rPr>
              <w:t>issued and outstanding</w:t>
            </w:r>
          </w:p>
        </w:tc>
        <w:tc>
          <w:tcPr>
            <w:tcW w:w="1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940" w:type="dxa"/>
            <w:vAlign w:val="bottom"/>
            <w:gridSpan w:val="3"/>
          </w:tcPr>
          <w:p>
            <w:pPr>
              <w:jc w:val="right"/>
              <w:ind w:righ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2"/>
              </w:rPr>
              <w:t>Common stock, $0.001 par value, 320,000,000 shares authorized, 116,025,758 shares issued</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Additional paid-in capital</w:t>
            </w: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5,211.4</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5,211.4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8,004.4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Accumulated other comprehensive loss</w:t>
            </w: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4"/>
              </w:rPr>
              <w:t>Treasury stock, at cost, 5,683,562 shares, actual;</w:t>
            </w:r>
          </w:p>
        </w:tc>
        <w:tc>
          <w:tcPr>
            <w:tcW w:w="3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as adjusted(1)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(1,073.8)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6"/>
              </w:rPr>
              <w:t>12,133.0</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capitalization</w:t>
            </w:r>
          </w:p>
        </w:tc>
        <w:tc>
          <w:tcPr>
            <w:tcW w:w="1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6"/>
              </w:rPr>
              <w:t>12,848.2</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1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2540" w:type="dxa"/>
            <w:vAlign w:val="bottom"/>
            <w:gridSpan w:val="2"/>
          </w:tcPr>
          <w:p>
            <w:pPr>
              <w:spacing w:after="0"/>
              <w:rPr>
                <w:sz w:val="7"/>
                <w:szCs w:val="7"/>
                <w:color w:val="auto"/>
              </w:rPr>
            </w:pPr>
          </w:p>
        </w:tc>
        <w:tc>
          <w:tcPr>
            <w:tcW w:w="3020" w:type="dxa"/>
            <w:vAlign w:val="bottom"/>
            <w:gridSpan w:val="4"/>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7"/>
        </w:trPr>
        <w:tc>
          <w:tcPr>
            <w:tcW w:w="1500" w:type="dxa"/>
            <w:vAlign w:val="bottom"/>
            <w:gridSpan w:val="2"/>
          </w:tcPr>
          <w:p>
            <w:pPr>
              <w:ind w:left="1140"/>
              <w:spacing w:after="0"/>
              <w:rPr>
                <w:sz w:val="20"/>
                <w:szCs w:val="20"/>
                <w:color w:val="auto"/>
              </w:rPr>
            </w:pPr>
            <w:r>
              <w:rPr>
                <w:rFonts w:ascii="Arial" w:cs="Arial" w:eastAsia="Arial" w:hAnsi="Arial"/>
                <w:sz w:val="18"/>
                <w:szCs w:val="18"/>
                <w:color w:val="auto"/>
              </w:rPr>
              <w:t>(1)</w:t>
            </w:r>
          </w:p>
        </w:tc>
        <w:tc>
          <w:tcPr>
            <w:tcW w:w="4540" w:type="dxa"/>
            <w:vAlign w:val="bottom"/>
            <w:gridSpan w:val="3"/>
          </w:tcPr>
          <w:p>
            <w:pPr>
              <w:ind w:left="180"/>
              <w:spacing w:after="0"/>
              <w:rPr>
                <w:sz w:val="20"/>
                <w:szCs w:val="20"/>
                <w:color w:val="auto"/>
              </w:rPr>
            </w:pPr>
            <w:r>
              <w:rPr>
                <w:rFonts w:ascii="Arial" w:cs="Arial" w:eastAsia="Arial" w:hAnsi="Arial"/>
                <w:sz w:val="18"/>
                <w:szCs w:val="18"/>
                <w:color w:val="auto"/>
                <w:w w:val="93"/>
              </w:rPr>
              <w:t>Assumes $5 billion of common stock is repurchased and $</w:t>
            </w:r>
          </w:p>
        </w:tc>
        <w:tc>
          <w:tcPr>
            <w:tcW w:w="3020" w:type="dxa"/>
            <w:vAlign w:val="bottom"/>
            <w:gridSpan w:val="4"/>
          </w:tcPr>
          <w:p>
            <w:pPr>
              <w:jc w:val="right"/>
              <w:ind w:right="400"/>
              <w:spacing w:after="0"/>
              <w:rPr>
                <w:sz w:val="20"/>
                <w:szCs w:val="20"/>
                <w:color w:val="auto"/>
              </w:rPr>
            </w:pPr>
            <w:r>
              <w:rPr>
                <w:rFonts w:ascii="Arial" w:cs="Arial" w:eastAsia="Arial" w:hAnsi="Arial"/>
                <w:sz w:val="18"/>
                <w:szCs w:val="18"/>
                <w:color w:val="auto"/>
                <w:w w:val="94"/>
              </w:rPr>
              <w:t>for transaction fees and expenses.</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S-14</w:t>
            </w: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table and the notes thereto set forth information regarding the beneficial ownership of our capital stock by the selling shareholders as of May 25, 2020, and as adjusted to reflect the sale of the shares of common stock offered in this offering and the Repurchase. All information contained in the table and the notes below (other than the information regarding percentage of our common stock owned by the selling shareholders) is based upon the information provided to us by the selling shareholders, and we have not independently verified this information.</w:t>
      </w:r>
    </w:p>
    <w:p>
      <w:pPr>
        <w:spacing w:after="0" w:line="166"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Pursuant to the terms of the Investor Agreement, Sanofi currently has the right to designate an individual to our board of directors. Sanofi's current designee on our board of directors is N. Anthony Coles, M.D. Upon consummation of this offering, Sanofi will no longer have the right to designate an individual to our board of directors pursuant to the Investor Agreement, but the termination of Sanofi's board designation right will not impact the term of Dr. Coles or his nomination for election as a Class III director at the Company's 2020 annual meeting of shareholders.</w:t>
      </w:r>
    </w:p>
    <w:p>
      <w:pPr>
        <w:spacing w:after="0" w:line="16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number of shares of common stock beneficially owned by the selling shareholders are determined under rules promulgated by the SEC. The information is not necessarily indicative of beneficial ownership for any other purpose. Under the rules, beneficial ownership includes any shares as to which the individual or entity has sole or shared voting or investment power and any shares as to which the individual or entity has the right to acquire beneficial ownership within 60 days after May 25, 2020 through the exercise of any stock option or other right. The percentage of ownership for the selling shareholders is based on 112,191,166 shares of capital stock (consisting of 110,342,196 shares of common stock and 1,848,970 shares of Class A stock) outstanding as of March 31, 2020. The share numbers in this prospectus supplement are estimates based on the closing price per share of our common stock on May 22, 2020 of $569.91.</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Securities</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4"/>
              </w:rPr>
              <w:t>Ownership Before</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Offered by</w:t>
            </w:r>
          </w:p>
        </w:tc>
        <w:tc>
          <w:tcPr>
            <w:tcW w:w="3680" w:type="dxa"/>
            <w:vAlign w:val="bottom"/>
            <w:gridSpan w:val="8"/>
            <w:vMerge w:val="restart"/>
          </w:tcPr>
          <w:p>
            <w:pPr>
              <w:ind w:left="440"/>
              <w:spacing w:after="0"/>
              <w:rPr>
                <w:sz w:val="20"/>
                <w:szCs w:val="20"/>
                <w:color w:val="auto"/>
              </w:rPr>
            </w:pPr>
            <w:r>
              <w:rPr>
                <w:rFonts w:ascii="Arial" w:cs="Arial" w:eastAsia="Arial" w:hAnsi="Arial"/>
                <w:sz w:val="13"/>
                <w:szCs w:val="13"/>
                <w:b w:val="1"/>
                <w:bCs w:val="1"/>
                <w:color w:val="auto"/>
              </w:rPr>
              <w:t>Ownership After Offering and Repurchase(2)</w:t>
            </w:r>
          </w:p>
        </w:tc>
        <w:tc>
          <w:tcPr>
            <w:tcW w:w="0" w:type="dxa"/>
            <w:vAlign w:val="bottom"/>
          </w:tcPr>
          <w:p>
            <w:pPr>
              <w:spacing w:after="0"/>
              <w:rPr>
                <w:sz w:val="1"/>
                <w:szCs w:val="1"/>
                <w:color w:val="auto"/>
              </w:rPr>
            </w:pPr>
          </w:p>
        </w:tc>
      </w:tr>
      <w:tr>
        <w:trPr>
          <w:trHeight w:val="80"/>
        </w:trPr>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6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5"/>
              </w:rPr>
              <w:t>Offering and</w:t>
            </w: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6"/>
              </w:rPr>
              <w:t>this</w:t>
            </w:r>
          </w:p>
        </w:tc>
        <w:tc>
          <w:tcPr>
            <w:tcW w:w="368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1"/>
              </w:rPr>
              <w:t>Repurchase</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Prospectus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 of Capital</w:t>
            </w:r>
          </w:p>
        </w:tc>
        <w:tc>
          <w:tcPr>
            <w:tcW w:w="0" w:type="dxa"/>
            <w:vAlign w:val="bottom"/>
          </w:tcPr>
          <w:p>
            <w:pPr>
              <w:spacing w:after="0"/>
              <w:rPr>
                <w:sz w:val="1"/>
                <w:szCs w:val="1"/>
                <w:color w:val="auto"/>
              </w:rPr>
            </w:pPr>
          </w:p>
        </w:tc>
      </w:tr>
      <w:tr>
        <w:trPr>
          <w:trHeight w:val="129"/>
        </w:trPr>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rPr>
              <w:t>% of</w:t>
            </w:r>
          </w:p>
        </w:tc>
        <w:tc>
          <w:tcPr>
            <w:tcW w:w="126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0"/>
              </w:rPr>
              <w:t>Stock (Class A</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Class A</w:t>
            </w: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auto"/>
              </w:rPr>
              <w:t>Common</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Class A</w:t>
            </w: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Common</w:t>
            </w:r>
          </w:p>
        </w:tc>
        <w:tc>
          <w:tcPr>
            <w:tcW w:w="12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Stock and</w:t>
            </w:r>
          </w:p>
        </w:tc>
        <w:tc>
          <w:tcPr>
            <w:tcW w:w="0" w:type="dxa"/>
            <w:vAlign w:val="bottom"/>
          </w:tcPr>
          <w:p>
            <w:pPr>
              <w:spacing w:after="0"/>
              <w:rPr>
                <w:sz w:val="1"/>
                <w:szCs w:val="1"/>
                <w:color w:val="auto"/>
              </w:rPr>
            </w:pPr>
          </w:p>
        </w:tc>
      </w:tr>
      <w:tr>
        <w:trPr>
          <w:trHeight w:val="161"/>
        </w:trPr>
        <w:tc>
          <w:tcPr>
            <w:tcW w:w="280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 of Selling Shareholders</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Stock</w:t>
            </w: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Stock(1)</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Stock(2)</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Stock</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Stock</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Stock</w:t>
            </w:r>
          </w:p>
        </w:tc>
        <w:tc>
          <w:tcPr>
            <w:tcW w:w="12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Common Stock)</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Sanofi</w:t>
            </w:r>
          </w:p>
        </w:tc>
        <w:tc>
          <w:tcPr>
            <w:tcW w:w="1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2"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3"/>
                <w:szCs w:val="13"/>
                <w:color w:val="auto"/>
              </w:rPr>
              <w:t>23,221,451</w:t>
            </w:r>
          </w:p>
        </w:tc>
        <w:tc>
          <w:tcPr>
            <w:tcW w:w="9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14,048,136</w:t>
            </w:r>
          </w:p>
        </w:tc>
        <w:tc>
          <w:tcPr>
            <w:tcW w:w="740" w:type="dxa"/>
            <w:vAlign w:val="bottom"/>
            <w:gridSpan w:val="2"/>
            <w:shd w:val="clear" w:color="auto" w:fill="CCEEFF"/>
          </w:tcPr>
          <w:p>
            <w:pPr>
              <w:ind w:left="460"/>
              <w:spacing w:after="0" w:line="142"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400,000</w:t>
            </w:r>
          </w:p>
        </w:tc>
        <w:tc>
          <w:tcPr>
            <w:tcW w:w="8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0.4%</w:t>
            </w:r>
          </w:p>
        </w:tc>
        <w:tc>
          <w:tcPr>
            <w:tcW w:w="12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08"/>
        </w:trPr>
        <w:tc>
          <w:tcPr>
            <w:tcW w:w="1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49"/>
        <w:spacing w:after="0" w:line="288" w:lineRule="auto"/>
        <w:tabs>
          <w:tab w:leader="none" w:pos="168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20,421,899 shares of the common stock held by Sanofi, a company organized under the laws of France, and 2,799,552 shares held by Aventisub, a Delaware limited liability company and indirectly wholly owned subsidiary of Sanofi (and successor by merger to Aventis Pharmaceuticals Inc.). Sanofi may be deemed to share voting and dispositive power with respect to the shares of common stock held by Aventisub. The address of Sanofi is 54, rue La Boétie, 75008, Paris, France.</w:t>
      </w:r>
    </w:p>
    <w:p>
      <w:pPr>
        <w:spacing w:after="0" w:line="83" w:lineRule="exact"/>
        <w:rPr>
          <w:rFonts w:ascii="Arial" w:cs="Arial" w:eastAsia="Arial" w:hAnsi="Arial"/>
          <w:sz w:val="12"/>
          <w:szCs w:val="12"/>
          <w:color w:val="auto"/>
        </w:rPr>
      </w:pPr>
    </w:p>
    <w:p>
      <w:pPr>
        <w:ind w:left="1680" w:right="340" w:hanging="549"/>
        <w:spacing w:after="0" w:line="274" w:lineRule="auto"/>
        <w:tabs>
          <w:tab w:leader="none" w:pos="16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1,277,103 shares representing the underwriters' option to purchase additional shares of common stock. If the underwriters do not exercise that option, the selling shareholders would continue to own that number of shares of common stock immediately following this offering.</w:t>
      </w:r>
    </w:p>
    <w:p>
      <w:pPr>
        <w:spacing w:after="0" w:line="174"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Upon the consummation of this offering and the Repurchase, the amendment to the Investor Agreement we entered into on May 25, 2020 will become effective. The amendment provides, among other things, that following this offering and the Repurchase, (1) the "standstill" provisions, which contractually prohibit Sanofi from seeking to directly or indirectly exert control of Regeneron, will continue to apply pursuant to their terms; (2) Sanofi will no longer have the right to designate an independent board member for Regeneron's board of directors (though, as noted above, the termination of Sanofi's board designation right will not impact the term of the current Sanofi designee, Dr. Coles); (3) the voting commitments contained in the Investor Agreement will continue to apply to the shares of our common stock held by Sanofi and its affiliates following this offering and the Repurchase, for so long as such shares are held by them; (4) Sanofi and its affiliates will no longer have registration rights with respect to the shares of our common stock held by them as provided in the Investor Agreement; (5) the information rights and pre-emptive rights provided to Sanofi and its affiliates under the Investor Agreement will no longer apply; and (6) the lock-up restrictions in the Investor Agreement will continue to apply to the shares of our common stock held by Sanofi and its affiliates following this offering and the Repurchase until December 20, 2020 (except those shares may be used to satisfy certain funding obligations of Sanofi under the companies' existing collaborations).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 TO NON-U.S. HOLDERS OF COMMON STOCK</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following is a general discussion of certain material U.S. federal income tax considerations with respect to the ownership and disposition of shares of our common stock applicable to non-U.S. holders (defined below) who acquired such shares in this offering. This discussion is based upon current provisions of the Internal Revenue Code of 1986, as amended (the "Code"), U.S. Treasury regulations promulgated thereunder, administrative rulings of the U.S. Internal Revenue Service (the "IRS"), and judicial decisions, each as in effect on the date hereof. These authorities are subject to change and differing interpretations, possibly with retroactive effect, and any such change or differing interpretation could result in U.S. federal income tax consequences different from those discussed below.</w:t>
      </w:r>
    </w:p>
    <w:p>
      <w:pPr>
        <w:spacing w:after="0" w:line="198"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For purposes of this discussion, the term "non-U.S. holder" means a beneficial owner of shares of our common stock that is not, for U.S. federal income tax purposes:</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partnership;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corporation created or organized in the United States or under the laws of the United States, any state thereof, or the District of Columbia;</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52" w:lineRule="exact"/>
        <w:rPr>
          <w:rFonts w:ascii="Arial" w:cs="Arial" w:eastAsia="Arial" w:hAnsi="Arial"/>
          <w:sz w:val="18"/>
          <w:szCs w:val="18"/>
          <w:color w:val="auto"/>
        </w:rPr>
      </w:pPr>
    </w:p>
    <w:p>
      <w:pPr>
        <w:jc w:val="both"/>
        <w:ind w:left="1080" w:right="20" w:hanging="532"/>
        <w:spacing w:after="0" w:line="30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trust if (1) a court within the United States is able to exercise primary supervision over the administration of the trust and one or more "United States persons" (as defined in the Code) have the authority to control all substantial decisions of such trust or (2) the trust has a valid election in effect under applicable U.S. Treasury regulations to be treated as a United States person for U.S. federal income tax purposes.</w:t>
      </w:r>
    </w:p>
    <w:p>
      <w:pPr>
        <w:spacing w:after="0" w:line="160"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This discussion is limited to non-U.S. holders that acquire shares of our common stock pursuant to this offering and hold such shares as a capital asset within the meaning of Section 1221 of the Code (generally, property held for investment). This discussion does not address all aspects of U.S. federal income taxation that may be relevant to a non-U.S. holder in light of that non-U.S. holder's particular circumstances or that may be applicable to non-U.S. holders subject to special treatment under U.S. federal income tax laws (including, without limitation, banks, insurance companies or other financial institutions; tax-exempt entities; "controlled foreign corporations," "passive foreign investment companies" and corporations that accumulate earnings to avoid U.S. federal income tax; entities or arrangements treated as partnerships for U.S. federal income tax purposes or other "flow-through" entities and investors therein; brokers or dealers in securities or currencies; traders in securities that elect mark-to-market treatment; real estate investment trusts or regulated investment companies; certain former citizens or long-term residents of the United States; or holders who hold our common stock as part of a straddle, hedge, conversion transaction, constructive sale, or other integrated security transaction). In addition, this discussion does not address U.S. federal tax laws other than those pertaining to the U.S. federal income tax, nor does it address any aspects of the unearned income Medicare contribution tax pursuant to the Health Care and Education Reconciliation Act of 2010. Prospective investors should consult their tax advisors regarding the U.S. federal, state, local, and non-U.S. income and other tax considerations with respect to acquiring, holding and disposing of shares of our common stock.</w:t>
      </w:r>
    </w:p>
    <w:p>
      <w:pPr>
        <w:spacing w:after="0" w:line="177"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If an entity or arrangement treated as a partnership for U.S. federal income tax purposes holds our common stock, the tax treatment of a person treated as a partner in such partnership generally will depend on the status of the partner and the activities of the partnership. Persons that for U.S. federal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tax purposes are treated as partnerships and partners in such partnerships should consult their tax advisors.</w:t>
      </w:r>
    </w:p>
    <w:p>
      <w:pPr>
        <w:spacing w:after="0" w:line="219"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This discussion is for general information only and is not intended to constitute a complete description of all tax considerations relating to the acquisition, ownership and disposition of our common stock. Prospective holders of our common stock should consult with their tax advisors regarding the tax consequences to them of the acquisition, ownership and disposition of our common stock, including the application and effect of any U.S. federal, state, local, and non-U.S. income and other tax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general, subject to the discussion below regarding "effectively connected" dividends, the gross amount of any distribution we make to a non-U.S. holder with respect to its shares of our common stock will be subject to U.S. federal withholding tax at a rate of 30% to the extent that the distribution constitutes a dividend for U.S. federal income tax purposes, unless the non-U.S. holder is eligible for an exemption from, or a reduced rate of, such withholding tax under an applicable income tax treaty and the non-U.S. holder provides proper certification of its eligibility for such exemption or reduced rate. A distribution with respect to shares of our common stock will constitute a dividend for U.S. federal income tax purposes to the extent of our current or accumulated earnings and profits, as determined for U.S. federal income tax purposes. To the extent any distribution does not constitute a dividend, it will be treated first as reducing the adjusted tax basis in the non-U.S. holder's shares of our common stock and then, to the extent it exceeds the non-U.S. holder's adjusted tax basis in its share of our common stock, as gain from the sale or exchange of such stock. Any such gain will be subject to the tax treatment described below under "Gain on Sale or Other Taxable Disposition of Common Stock."</w:t>
      </w:r>
    </w:p>
    <w:p>
      <w:pPr>
        <w:spacing w:after="0" w:line="173"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Dividends we pay with respect to our common stock to a non-U.S. holder that are effectively connected with the conduct by such non-U.S. holder of a trade or business within the United States (and, if required by an applicable income tax treaty, are attributable to a permanent establishment or a fixed base of such non-U.S. holder in the United States) generally will not be subject to U.S. federal withholding tax, as described above, if the non-U.S. holder complies with applicable certification and disclosure requirements. Instead, such dividends generally will be subject to U.S. federal income tax on a net income basis at the U.S. federal income tax rates applicable to U.S. citizens, nonresident aliens or domestic corporations, as applicable. Dividends received by a non-U.S. holder that is a corporation and that are effectively connected with its conduct of a trade or business within the United States may be subject to an additional "branch profits tax" at a rate of 30% (or such lower rate as may be specified by an applicable income tax treaty).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Common Stock</w:t>
      </w:r>
    </w:p>
    <w:p>
      <w:pPr>
        <w:spacing w:after="0" w:line="231" w:lineRule="exact"/>
        <w:rPr>
          <w:sz w:val="20"/>
          <w:szCs w:val="20"/>
          <w:color w:val="auto"/>
        </w:rPr>
      </w:pPr>
    </w:p>
    <w:p>
      <w:pPr>
        <w:ind w:right="520" w:firstLine="351"/>
        <w:spacing w:after="0" w:line="331" w:lineRule="auto"/>
        <w:rPr>
          <w:sz w:val="20"/>
          <w:szCs w:val="20"/>
          <w:color w:val="auto"/>
        </w:rPr>
      </w:pPr>
      <w:r>
        <w:rPr>
          <w:rFonts w:ascii="Arial" w:cs="Arial" w:eastAsia="Arial" w:hAnsi="Arial"/>
          <w:sz w:val="16"/>
          <w:szCs w:val="16"/>
          <w:color w:val="auto"/>
        </w:rPr>
        <w:t>Subject to the discussion below under "—Information Reporting and Backup Withholding" and "FATCA," in general, a non-U.S. holder will not be subject to U.S. federal income tax on any gain realized upon the sale or other disposition of the non-U.S. holder's shares of our common stock unless:</w:t>
      </w:r>
    </w:p>
    <w:p>
      <w:pPr>
        <w:spacing w:after="0" w:line="154" w:lineRule="exact"/>
        <w:rPr>
          <w:sz w:val="20"/>
          <w:szCs w:val="20"/>
          <w:color w:val="auto"/>
        </w:rPr>
      </w:pPr>
    </w:p>
    <w:p>
      <w:pPr>
        <w:ind w:left="1080" w:right="420" w:hanging="532"/>
        <w:spacing w:after="0" w:line="369" w:lineRule="auto"/>
        <w:tabs>
          <w:tab w:leader="none" w:pos="10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gain is effectively connected with a trade or business carried on by the non-U.S. holder within the United States (and, if required by an applicable income tax treaty, is attributable to a permanent establishment or a fixed base of such non-U.S. holder in the United States);</w:t>
      </w:r>
    </w:p>
    <w:p>
      <w:pPr>
        <w:spacing w:after="0" w:line="144" w:lineRule="exact"/>
        <w:rPr>
          <w:rFonts w:ascii="Arial" w:cs="Arial" w:eastAsia="Arial" w:hAnsi="Arial"/>
          <w:sz w:val="15"/>
          <w:szCs w:val="15"/>
          <w:color w:val="auto"/>
        </w:rPr>
      </w:pPr>
    </w:p>
    <w:p>
      <w:pPr>
        <w:ind w:left="1080" w:right="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or more days in the taxable year of the disposition and certain other conditions are met;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within the meaning of Section 897(c)(2) of the Code (a "USRPHC") for U.S. federal income tax purposes at any time during the shorter of the five-year period ending on the date of such disposition or such non-U.S. holder's holding period of such shares of our common stock.</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Gain described in the first bullet point immediately above generally will be subject to U.S. federal income tax on a net income tax basis at the U.S. federal income tax rates applicable to U.S. citizens, nonresident aliens or domestic corporations, as applicable. A non-U.S. holder that is a corporation and that recognizes gain described in the first bullet point immediately above may also be subject to the branch profits tax at a rate of 30% (or such lower rate as may be specified by an applicable income tax treaty) with respect to such effectively connected gain, as adjusted for certain items.</w:t>
      </w:r>
    </w:p>
    <w:p>
      <w:pPr>
        <w:spacing w:after="0" w:line="166" w:lineRule="exact"/>
        <w:rPr>
          <w:sz w:val="20"/>
          <w:szCs w:val="20"/>
          <w:color w:val="auto"/>
        </w:rPr>
      </w:pPr>
    </w:p>
    <w:p>
      <w:pPr>
        <w:jc w:val="both"/>
        <w:ind w:right="400" w:firstLine="341"/>
        <w:spacing w:after="0" w:line="306" w:lineRule="auto"/>
        <w:rPr>
          <w:sz w:val="20"/>
          <w:szCs w:val="20"/>
          <w:color w:val="auto"/>
        </w:rPr>
      </w:pPr>
      <w:r>
        <w:rPr>
          <w:rFonts w:ascii="Arial" w:cs="Arial" w:eastAsia="Arial" w:hAnsi="Arial"/>
          <w:sz w:val="16"/>
          <w:szCs w:val="16"/>
          <w:color w:val="auto"/>
        </w:rPr>
        <w:t>An individual non-U.S. holder described in the second bullet point immediately above will be subject to a flat 30% tax (unless the non-U.S. holder is eligible for a lower rate under an applicable income tax treaty) on the gain from such sale or other disposition, which may be offset by U.S.-source capital losses, if any, of the non-U.S. holder, provided the non-U.S. holder has timely filed U.S. federal income tax returns with respect to such losses.</w:t>
      </w:r>
    </w:p>
    <w:p>
      <w:pPr>
        <w:spacing w:after="0" w:line="160"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believe we are not, and do not anticipate becoming, a USRPHC for U.S. federal income tax purposes. However, no assurance can be given that we are not or will not become a USRPHC. If we were or were to become a USRPHC, however, any gain recognized on a sale or other disposition of shares of our common stock by a non-U.S. holder that did not own (directly, indirectly or constructively) more than 5% of our common stock during the applicable period would not be subject to U.S. federal income tax, provided that our common stock is "regularly traded on an established securities market" (within the meaning of Section 897(c)(3) of the Code).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We must report annually to the IRS and to each non-U.S. holder the amount of distributions paid to such non-U.S. holder and the tax withheld with respect to such distributions. These reporting requirements apply regardless of whether withholding was reduced or eliminated by an applicable tax treaty.</w:t>
      </w:r>
    </w:p>
    <w:p>
      <w:pPr>
        <w:spacing w:after="0" w:line="141"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 non-U.S. holder generally will be subject to backup withholding (currently at a rate of 24%) on dividends paid with respect to such non-U.S. holder's shares of our common stock unless such holder certifies under penalties of perjury that, among other things, it is a non-U.S. holder (and the payor does not have actual knowledge, or reason to know, that such holder is a United States person (as defined in the Code)) or otherwise establishes an exemption.</w:t>
      </w:r>
    </w:p>
    <w:p>
      <w:pPr>
        <w:spacing w:after="0" w:line="16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Information reporting and backup withholding generally are not required with respect to any proceeds from the sale or other disposition of our common stock by a non-U.S. holder outside of the United States through a foreign office of a foreign broker that does not have certain specified connections to the United States. However, if a non-U.S. holder sells or otherwise disposes of its shares of our common stock through a U.S. broker or the U.S. offices of a foreign broker, the broker will generally be required to report the amount of proceeds paid to the non-U.S. holder to the IRS and may also be required to backup withhold on such proceeds unless such non-U.S. holder certifies under penalties of perjury that, among other things, it is a non-U.S. holder (and the payor does not have actual knowledge, or reason to know, that such holder is a United States person (as defined in the Code)) or otherwise establishes an exemption. Information reporting will also apply if a non-U.S. holder sells its shares of our common stock through a foreign broker with certain specified connections to the United States, unless such broker has documentary evidence in its records that such non-U.S. holder is not a United States person and certain other conditions are met, or such non-U.S. holder otherwise establishes an exemption (and the payor does not have actual knowledge, or reason to know, that such holder is a United States person (as defined in the Code)).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Copies of any information returns may also be made available to the tax authorities in the country in which the non-U.S. holder resides or is established under the provisions of an applicable income tax treaty or agreement.</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from a payment to a non-U.S. holder may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Under Sections 1471 through 1474 of the Code (such Sections and the U.S. Treasury regulations promulgated thereunder, collectively, commonly referred to as "FATCA"), a U.S. federal withholding tax at a rate of 30% generally will be imposed on certain payments made to a "foreign financial institution" (as specifically defined under FATCA) unless such institution enters into an agreement with the U.S. tax authorities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or meets other exceptions. Under the legislation and administrative guidance, a U.S. federal withholding tax of 30% generally also will be imposed on certain payments made to a non-financial foreign entity unless such entity provides the withholding agent with a certification identifying its direct and indirect U.S. owners or meets other exceptions. An intergovernmental agreement between the United States and an applicable foreign country may modify these requirements. Under certain circumstances, a non-U.S. holder might be eligible for refunds or credits of such taxes. These withholding taxes would be imposed on dividends paid with respect to our common stock and (subject to proposed Treasury regulations described below) on gross proceeds from sales or other dispositions of our common stock. Proposed Treasury regulations issued in 2018, which state that taxpayers may rely on them until final regulations are issued, eliminate the U.S. federal withholding tax of 30% applicable to gross proceeds from sales or other dispositions of our common stock. Prospective non-U.S. holders should consult with their tax advisors regarding the possible implications of FATCA on their investment in our common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BofA Securities, Inc. and Goldman Sachs &amp; Co. LLC are acting as representatives of each of the underwriters named below. Subject to the terms and conditions set forth in an underwriting agreement among us, the selling shareholders, and the underwriters, the selling shareholders have agreed to sell to the underwriters, and each of the underwriters has agreed, severally and not jointly, to purchase from the selling shareholders, the number of shares of common stock set forth opposite its name below.</w:t>
      </w:r>
    </w:p>
    <w:p>
      <w:pPr>
        <w:sectPr>
          <w:pgSz w:w="11900" w:h="16838" w:orient="portrait"/>
          <w:cols w:equalWidth="0" w:num="1">
            <w:col w:w="11200"/>
          </w:cols>
          <w:pgMar w:left="320" w:top="131" w:right="379" w:bottom="1440" w:gutter="0" w:footer="0" w:header="0"/>
        </w:sectPr>
      </w:pPr>
    </w:p>
    <w:p>
      <w:pPr>
        <w:spacing w:after="0" w:line="341" w:lineRule="exact"/>
        <w:rPr>
          <w:sz w:val="20"/>
          <w:szCs w:val="20"/>
          <w:color w:val="auto"/>
        </w:rPr>
      </w:pPr>
    </w:p>
    <w:p>
      <w:pPr>
        <w:ind w:left="1700"/>
        <w:spacing w:after="0"/>
        <w:rPr>
          <w:sz w:val="20"/>
          <w:szCs w:val="20"/>
          <w:color w:val="auto"/>
        </w:rPr>
      </w:pPr>
      <w:r>
        <w:rPr>
          <w:rFonts w:ascii="Arial" w:cs="Arial" w:eastAsia="Arial" w:hAnsi="Arial"/>
          <w:sz w:val="12"/>
          <w:szCs w:val="12"/>
          <w:b w:val="1"/>
          <w:bCs w:val="1"/>
          <w:u w:val="single" w:color="auto"/>
          <w:color w:val="auto"/>
        </w:rPr>
        <w:t>Underwriter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1880"/>
        <w:spacing w:after="0"/>
        <w:rPr>
          <w:sz w:val="20"/>
          <w:szCs w:val="20"/>
          <w:color w:val="auto"/>
        </w:rPr>
      </w:pPr>
      <w:r>
        <w:rPr>
          <w:rFonts w:ascii="Arial" w:cs="Arial" w:eastAsia="Arial" w:hAnsi="Arial"/>
          <w:sz w:val="12"/>
          <w:szCs w:val="12"/>
          <w:b w:val="1"/>
          <w:bCs w:val="1"/>
          <w:color w:val="auto"/>
        </w:rPr>
        <w:t>Number of</w:t>
      </w:r>
    </w:p>
    <w:p>
      <w:pPr>
        <w:spacing w:after="0" w:line="25" w:lineRule="exact"/>
        <w:rPr>
          <w:sz w:val="20"/>
          <w:szCs w:val="20"/>
          <w:color w:val="auto"/>
        </w:rPr>
      </w:pPr>
    </w:p>
    <w:p>
      <w:pPr>
        <w:jc w:val="center"/>
        <w:ind w:right="1880"/>
        <w:spacing w:after="0"/>
        <w:rPr>
          <w:sz w:val="20"/>
          <w:szCs w:val="20"/>
          <w:color w:val="auto"/>
        </w:rPr>
      </w:pPr>
      <w:r>
        <w:rPr>
          <w:rFonts w:ascii="Arial" w:cs="Arial" w:eastAsia="Arial" w:hAnsi="Arial"/>
          <w:sz w:val="13"/>
          <w:szCs w:val="13"/>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-635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7960" w:space="720"/>
            <w:col w:w="2520"/>
          </w:cols>
          <w:pgMar w:left="320" w:top="131" w:right="379" w:bottom="1440" w:gutter="0" w:footer="0" w:header="0"/>
          <w:type w:val="continuous"/>
        </w:sectPr>
      </w:pPr>
    </w:p>
    <w:p>
      <w:pPr>
        <w:ind w:left="170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-130175</wp:posOffset>
            </wp:positionV>
            <wp:extent cx="498919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6985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-125730</wp:posOffset>
            </wp:positionV>
            <wp:extent cx="4989195"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24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60"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and the selling shareholders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representatives have advised us and the selling shareholders that the underwriters propose initially to offer the shares to the public at the public offering price set forth on the cover page of this prospectus and to dealers at that price less a concession not in excess of $ per share. After the initial offering, the public offering price, concession or any other term of the offering may be changed.</w:t>
      </w:r>
    </w:p>
    <w:p>
      <w:pPr>
        <w:spacing w:after="0" w:line="194"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the selling shareholders. The information assumes either no exercise or full exercise by the underwriters of their option to purchase additional shares.</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149"/>
        </w:trPr>
        <w:tc>
          <w:tcPr>
            <w:tcW w:w="13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73"/>
              <w:spacing w:after="0"/>
              <w:rPr>
                <w:sz w:val="20"/>
                <w:szCs w:val="20"/>
                <w:color w:val="auto"/>
              </w:rPr>
            </w:pPr>
            <w:r>
              <w:rPr>
                <w:rFonts w:ascii="Arial" w:cs="Arial" w:eastAsia="Arial" w:hAnsi="Arial"/>
                <w:sz w:val="13"/>
                <w:szCs w:val="13"/>
                <w:b w:val="1"/>
                <w:bCs w:val="1"/>
                <w:color w:val="auto"/>
              </w:rPr>
              <w:t>Without</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61"/>
        </w:trPr>
        <w:tc>
          <w:tcPr>
            <w:tcW w:w="13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3"/>
                <w:szCs w:val="13"/>
                <w:b w:val="1"/>
                <w:bCs w:val="1"/>
                <w:color w:val="auto"/>
              </w:rPr>
              <w:t>Per Share</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Option</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With Option</w:t>
            </w:r>
          </w:p>
        </w:tc>
        <w:tc>
          <w:tcPr>
            <w:tcW w:w="1500" w:type="dxa"/>
            <w:vAlign w:val="bottom"/>
            <w:gridSpan w:val="2"/>
          </w:tcPr>
          <w:p>
            <w:pPr>
              <w:spacing w:after="0"/>
              <w:rPr>
                <w:sz w:val="14"/>
                <w:szCs w:val="14"/>
                <w:color w:val="auto"/>
              </w:rPr>
            </w:pPr>
          </w:p>
        </w:tc>
      </w:tr>
      <w:tr>
        <w:trPr>
          <w:trHeight w:val="209"/>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20" w:type="dxa"/>
            <w:vAlign w:val="bottom"/>
            <w:gridSpan w:val="2"/>
            <w:shd w:val="clear" w:color="auto" w:fill="CCEEFF"/>
          </w:tcPr>
          <w:p>
            <w:pPr>
              <w:jc w:val="right"/>
              <w:ind w:right="58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1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Underwriting discount</w:t>
            </w:r>
          </w:p>
        </w:tc>
        <w:tc>
          <w:tcPr>
            <w:tcW w:w="820" w:type="dxa"/>
            <w:vAlign w:val="bottom"/>
            <w:gridSpan w:val="2"/>
          </w:tcPr>
          <w:p>
            <w:pPr>
              <w:jc w:val="right"/>
              <w:ind w:right="58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1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shareholders</w:t>
            </w:r>
          </w:p>
        </w:tc>
        <w:tc>
          <w:tcPr>
            <w:tcW w:w="820" w:type="dxa"/>
            <w:vAlign w:val="bottom"/>
            <w:gridSpan w:val="2"/>
            <w:shd w:val="clear" w:color="auto" w:fill="CCEEFF"/>
          </w:tcPr>
          <w:p>
            <w:pPr>
              <w:jc w:val="right"/>
              <w:ind w:right="58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1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430"/>
        </w:trPr>
        <w:tc>
          <w:tcPr>
            <w:tcW w:w="6240" w:type="dxa"/>
            <w:vAlign w:val="bottom"/>
            <w:gridSpan w:val="2"/>
          </w:tcPr>
          <w:p>
            <w:pPr>
              <w:spacing w:after="0"/>
              <w:rPr>
                <w:sz w:val="20"/>
                <w:szCs w:val="20"/>
                <w:color w:val="auto"/>
              </w:rPr>
            </w:pPr>
            <w:r>
              <w:rPr>
                <w:rFonts w:ascii="Arial" w:cs="Arial" w:eastAsia="Arial" w:hAnsi="Arial"/>
                <w:sz w:val="18"/>
                <w:szCs w:val="18"/>
                <w:color w:val="auto"/>
                <w:w w:val="89"/>
              </w:rPr>
              <w:t>The expenses of the offering, not including the underwriting discount, are estimated at $</w:t>
            </w:r>
          </w:p>
        </w:tc>
        <w:tc>
          <w:tcPr>
            <w:tcW w:w="60" w:type="dxa"/>
            <w:vAlign w:val="bottom"/>
          </w:tcPr>
          <w:p>
            <w:pPr>
              <w:spacing w:after="0"/>
              <w:rPr>
                <w:sz w:val="24"/>
                <w:szCs w:val="24"/>
                <w:color w:val="auto"/>
              </w:rPr>
            </w:pPr>
          </w:p>
        </w:tc>
        <w:tc>
          <w:tcPr>
            <w:tcW w:w="4240" w:type="dxa"/>
            <w:vAlign w:val="bottom"/>
            <w:gridSpan w:val="7"/>
          </w:tcPr>
          <w:p>
            <w:pPr>
              <w:ind w:left="420"/>
              <w:spacing w:after="0"/>
              <w:rPr>
                <w:sz w:val="20"/>
                <w:szCs w:val="20"/>
                <w:color w:val="auto"/>
              </w:rPr>
            </w:pPr>
            <w:r>
              <w:rPr>
                <w:rFonts w:ascii="Arial" w:cs="Arial" w:eastAsia="Arial" w:hAnsi="Arial"/>
                <w:sz w:val="18"/>
                <w:szCs w:val="18"/>
                <w:color w:val="auto"/>
                <w:w w:val="86"/>
              </w:rPr>
              <w:t>and are payable by the selling shareholders (other than</w:t>
            </w:r>
          </w:p>
        </w:tc>
      </w:tr>
    </w:tbl>
    <w:p>
      <w:pPr>
        <w:spacing w:after="0"/>
        <w:rPr>
          <w:sz w:val="20"/>
          <w:szCs w:val="20"/>
          <w:color w:val="auto"/>
        </w:rPr>
      </w:pPr>
      <w:r>
        <w:rPr>
          <w:rFonts w:ascii="Arial" w:cs="Arial" w:eastAsia="Arial" w:hAnsi="Arial"/>
          <w:sz w:val="18"/>
          <w:szCs w:val="18"/>
          <w:color w:val="auto"/>
        </w:rPr>
        <w:t>certain expenses to be borne by the Company).</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selling shareholders have granted an option to the underwriters, exercisable for 30 days after the date of this prospectus, to purchase up to 1,277,103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We and the selling shareholders have agreed not to sell or transfer any common stock or securities convertible into, exchangeable for, exercisable for, or repayable with common stock for 60 days (with respect to the Company) or 90 days (with respect to the selling shareholders) after the date of this prospectus without first obtaining the written consent of BofA Securities, Inc. Specifically, we and these other persons have agreed not to</w:t>
      </w:r>
    </w:p>
    <w:p>
      <w:pPr>
        <w:spacing w:after="0" w:line="174" w:lineRule="exact"/>
        <w:rPr>
          <w:sz w:val="20"/>
          <w:szCs w:val="20"/>
          <w:color w:val="auto"/>
        </w:rPr>
      </w:pPr>
    </w:p>
    <w:p>
      <w:pPr>
        <w:ind w:left="1080" w:hanging="532"/>
        <w:spacing w:after="0" w:line="25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any registration statement under the Act with respect to any of the foregoing or sell any option or contract to purchase any common stock, or</w:t>
      </w:r>
    </w:p>
    <w:p>
      <w:pPr>
        <w:spacing w:after="0" w:line="223" w:lineRule="exact"/>
        <w:rPr>
          <w:rFonts w:ascii="Arial" w:cs="Arial" w:eastAsia="Arial" w:hAnsi="Arial"/>
          <w:sz w:val="18"/>
          <w:szCs w:val="18"/>
          <w:color w:val="auto"/>
        </w:rPr>
      </w:pPr>
    </w:p>
    <w:p>
      <w:pPr>
        <w:ind w:left="1080" w:right="8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the common stock.</w:t>
      </w:r>
    </w:p>
    <w:p>
      <w:pPr>
        <w:spacing w:after="0" w:line="186"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These transfer restrictions are subject to certain limited exceptions, including but not limited to the ability of the selling shareholders (or any of their respective affiliates) to sell or transfer shares of our common stock to us (or any of our affiliates) pursuant to any agreement existing between the selling shareholders (or any of their respective affiliates) and us (or any of our affiliates) as of the date of this prospectus supplement and filed as an exhibit to any Exchange Act filing incorporated by reference into this prospectus supplement.</w:t>
      </w:r>
    </w:p>
    <w:p>
      <w:pPr>
        <w:spacing w:after="0" w:line="19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shares are listed on the Nasdaq Global Select Market under the symbol "REGN."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94"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72"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connection with this offering, underwriters and selling group members may engage in passive market making transactions in the common stock on the Nasdaq Global Select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jc w:val="both"/>
        <w:ind w:right="120" w:firstLine="351"/>
        <w:spacing w:after="0" w:line="369" w:lineRule="auto"/>
        <w:rPr>
          <w:sz w:val="20"/>
          <w:szCs w:val="20"/>
          <w:color w:val="auto"/>
        </w:rPr>
      </w:pPr>
      <w:r>
        <w:rPr>
          <w:rFonts w:ascii="Arial" w:cs="Arial" w:eastAsia="Arial" w:hAnsi="Arial"/>
          <w:sz w:val="15"/>
          <w:szCs w:val="15"/>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1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 and the United Kingdom</w:t>
      </w:r>
    </w:p>
    <w:p>
      <w:pPr>
        <w:spacing w:after="0" w:line="231"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notification made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83"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provided that no such offer of Shares shall require the Issuer or any Manager to publish a prospectus pursuant to Article 3 of the Prospectus Regulation or supplement a prospectus pursuant to Article 23 of the Prospectus Regulation.</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20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0"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References to the Prospectus Regulation includes, in relation to the UK, the Prospectus Regulation as it forms part of UK domestic law by virtue of the European Union (Withdrawal) Act 2018.</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9"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31"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66"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common stock has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common stock which are or are intended to be disposed of only to persons outside Hong Kong or only to "professional investors" as defined in the Securities and Futures Ordinance and any rules made under that Ordinance.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common stock has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the common stock was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239" w:lineRule="exact"/>
        <w:rPr>
          <w:sz w:val="20"/>
          <w:szCs w:val="20"/>
          <w:color w:val="auto"/>
        </w:rPr>
      </w:pPr>
    </w:p>
    <w:p>
      <w:pPr>
        <w:ind w:left="1080" w:right="140" w:hanging="532"/>
        <w:spacing w:after="0" w:line="33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7" w:lineRule="exact"/>
        <w:rPr>
          <w:rFonts w:ascii="Arial" w:cs="Arial" w:eastAsia="Arial" w:hAnsi="Arial"/>
          <w:sz w:val="16"/>
          <w:szCs w:val="16"/>
          <w:color w:val="auto"/>
        </w:rPr>
      </w:pPr>
    </w:p>
    <w:p>
      <w:pPr>
        <w:ind w:left="1080" w:right="6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207" w:lineRule="exact"/>
        <w:rPr>
          <w:sz w:val="20"/>
          <w:szCs w:val="20"/>
          <w:color w:val="auto"/>
        </w:rPr>
      </w:pPr>
    </w:p>
    <w:p>
      <w:pPr>
        <w:ind w:left="1080" w:right="1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In connection with Section 309B of the SFA and the Capital Markets Products (the "CMP") Regulations 2018, the shares of common stock are prescribed capital markets products (as defined in the CMP Regulations 2018) and Excluded Investment Products (as defined in Monetary Authority of Singapore Notice SFA 04-N12: Notice on the Sale of Investment Products and Monetary Authority of Singapore Notice FAA-N16: Notice on Recommendations on Investment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 xml:space="preserve">The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common stock must be made in accordance with an exemption from, or in a transaction not subject to, the prospectus requirements of applicable securities laws.</w:t>
      </w:r>
    </w:p>
    <w:p>
      <w:pPr>
        <w:spacing w:after="0" w:line="16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6"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VALIDITY OF THE COMMON STOCK</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validity of the issuance of the shares of common stock offered hereby will be passed upon for Regeneron by Wachtell, Lipton, Rosen &amp; Katz, New York, New York. Certain legal matters will be passed upon for the underwriters by Ropes &amp; Gray LLP. Weil, Gotshal &amp; Manges LLP, New York, New York, is acting as legal counsel to the selling shareholders.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10">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10">
        <w:r>
          <w:rPr>
            <w:rFonts w:ascii="Arial" w:cs="Arial" w:eastAsia="Arial" w:hAnsi="Arial"/>
            <w:sz w:val="18"/>
            <w:szCs w:val="18"/>
            <w:u w:val="single" w:color="auto"/>
            <w:color w:val="0000EE"/>
          </w:rPr>
          <w:t>December 31, 2019</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accounting and auditing.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 AND INCORPORATION BY REFERENCE</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We are subject to the reporting requirements of the Exchange Act, under which we file annual, quarterly, and special reports, proxy statements, and other information with the SEC. We make available through our website at </w:t>
      </w:r>
      <w:r>
        <w:rPr>
          <w:rFonts w:ascii="Arial" w:cs="Arial" w:eastAsia="Arial" w:hAnsi="Arial"/>
          <w:sz w:val="16"/>
          <w:szCs w:val="16"/>
          <w:i w:val="1"/>
          <w:iCs w:val="1"/>
          <w:color w:val="auto"/>
        </w:rPr>
        <w:t>http://www.regeneron.com</w:t>
      </w:r>
      <w:r>
        <w:rPr>
          <w:rFonts w:ascii="Arial" w:cs="Arial" w:eastAsia="Arial" w:hAnsi="Arial"/>
          <w:sz w:val="16"/>
          <w:szCs w:val="16"/>
          <w:color w:val="auto"/>
        </w:rPr>
        <w:t>, our Annual Report on Form 10-K, Quarterly Reports on Form 10-Q, Current Reports on Form 8-K, and all amendments to those reports as soon as reasonably practicable after such material is electronically filed or furnished to the SEC. The information provided on our website is not part of this prospectus supplement and, therefore, is not incorporated herein by reference. Our SEC filings are also available to the public on the SEC's website at www.sec.gov.</w:t>
      </w:r>
    </w:p>
    <w:p>
      <w:pPr>
        <w:spacing w:after="0" w:line="16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filed a registration statement (together with all amendments to the registration statement, collectively, the "Registration Statement") with the SEC under the Securities Act, with respect to the securities offered under this prospectus. This prospectus supplement does not contain all of the information included in the Registration Statement and the exhibits and schedules thereto. For further information with respect to Regeneron and our securities, we refer you to the Registration Statement and the exhibits thereto. Statements in this prospectus supplement concerning the provisions of documents are necessarily summaries of such documents, and each such statement is qualified in its entirety by reference to the copy of the applicable document filed with the SEC.</w:t>
      </w:r>
    </w:p>
    <w:p>
      <w:pPr>
        <w:spacing w:after="0" w:line="169"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SEC allows us to "incorporate by reference" into this prospectus supplement the information we file with them, which means that we can disclose important information to you by referring you to those documents. Any statement contained or incorporated by reference in this prospectus supplement shall be deemed to be modified or superseded for purposes of this prospectus supplement to the extent that a statement contained herein, or in any subsequently filed document which also is incorporated by reference herein, modifies or superseded such earlier statement. Any statement so modified or superseded shall not be deemed, except as so modified or superseded, to constitute a part of this prospectus supplement. We incorporate by reference the documents listed below (except as specifically set forth below, other than information that we have furnished on Form 8-K, which information is expressly not incorporated by reference herein):</w:t>
      </w:r>
    </w:p>
    <w:p>
      <w:pPr>
        <w:spacing w:after="0" w:line="214"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u w:val="single" w:color="auto"/>
          <w:color w:val="0000EE"/>
        </w:rPr>
      </w:pPr>
      <w:hyperlink r:id="rId10">
        <w:r>
          <w:rPr>
            <w:rFonts w:ascii="Arial" w:cs="Arial" w:eastAsia="Arial" w:hAnsi="Arial"/>
            <w:sz w:val="18"/>
            <w:szCs w:val="18"/>
            <w:u w:val="single" w:color="auto"/>
            <w:color w:val="0000EE"/>
          </w:rPr>
          <w:t>Our Annual Report on Form 10-K for the fiscal year ended December 31, 2019, filed on February 7, 2020.</w:t>
        </w:r>
      </w:hyperlink>
    </w:p>
    <w:p>
      <w:pPr>
        <w:spacing w:after="0" w:line="252" w:lineRule="exact"/>
        <w:rPr>
          <w:rFonts w:ascii="Arial" w:cs="Arial" w:eastAsia="Arial" w:hAnsi="Arial"/>
          <w:sz w:val="18"/>
          <w:szCs w:val="18"/>
          <w:u w:val="single" w:color="auto"/>
          <w:color w:val="0000EE"/>
        </w:rPr>
      </w:pPr>
    </w:p>
    <w:p>
      <w:pPr>
        <w:ind w:left="1080" w:right="120" w:hanging="532"/>
        <w:spacing w:after="0" w:line="331" w:lineRule="auto"/>
        <w:tabs>
          <w:tab w:leader="none" w:pos="1080" w:val="left"/>
        </w:tabs>
        <w:numPr>
          <w:ilvl w:val="0"/>
          <w:numId w:val="14"/>
        </w:numPr>
        <w:rPr>
          <w:rFonts w:ascii="Arial" w:cs="Arial" w:eastAsia="Arial" w:hAnsi="Arial"/>
          <w:sz w:val="16"/>
          <w:szCs w:val="16"/>
          <w:color w:val="000000"/>
        </w:rPr>
      </w:pPr>
      <w:hyperlink r:id="rId60">
        <w:r>
          <w:rPr>
            <w:rFonts w:ascii="Arial" w:cs="Arial" w:eastAsia="Arial" w:hAnsi="Arial"/>
            <w:sz w:val="16"/>
            <w:szCs w:val="16"/>
            <w:u w:val="single" w:color="auto"/>
            <w:color w:val="0000EE"/>
          </w:rPr>
          <w:t>The portions of our definitive Proxy Statement on Schedule 14A for our 2020 annual meeting of shareholders, filed on April 24, 2020</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that are</w:t>
      </w:r>
      <w:r>
        <w:rPr>
          <w:rFonts w:ascii="Arial" w:cs="Arial" w:eastAsia="Arial" w:hAnsi="Arial"/>
          <w:sz w:val="16"/>
          <w:szCs w:val="16"/>
          <w:color w:val="0000EE"/>
        </w:rPr>
        <w:t xml:space="preserve"> </w:t>
      </w:r>
      <w:r>
        <w:rPr>
          <w:rFonts w:ascii="Arial" w:cs="Arial" w:eastAsia="Arial" w:hAnsi="Arial"/>
          <w:sz w:val="16"/>
          <w:szCs w:val="16"/>
          <w:color w:val="000000"/>
        </w:rPr>
        <w:t xml:space="preserve">incorporated by reference into our </w:t>
      </w:r>
      <w:hyperlink r:id="rId10">
        <w:r>
          <w:rPr>
            <w:rFonts w:ascii="Arial" w:cs="Arial" w:eastAsia="Arial" w:hAnsi="Arial"/>
            <w:sz w:val="16"/>
            <w:szCs w:val="16"/>
            <w:u w:val="single" w:color="auto"/>
            <w:color w:val="0000EE"/>
          </w:rPr>
          <w:t>Annual Report on Form 10-K for the fiscal year ended December 31, 2019.</w:t>
        </w:r>
      </w:hyperlink>
    </w:p>
    <w:p>
      <w:pPr>
        <w:spacing w:after="0" w:line="154" w:lineRule="exact"/>
        <w:rPr>
          <w:rFonts w:ascii="Arial" w:cs="Arial" w:eastAsia="Arial" w:hAnsi="Arial"/>
          <w:sz w:val="16"/>
          <w:szCs w:val="16"/>
          <w:color w:val="000000"/>
        </w:rPr>
      </w:pPr>
    </w:p>
    <w:p>
      <w:pPr>
        <w:ind w:left="1080" w:hanging="532"/>
        <w:spacing w:after="0"/>
        <w:tabs>
          <w:tab w:leader="none" w:pos="1080" w:val="left"/>
        </w:tabs>
        <w:numPr>
          <w:ilvl w:val="0"/>
          <w:numId w:val="14"/>
        </w:numPr>
        <w:rPr>
          <w:rFonts w:ascii="Arial" w:cs="Arial" w:eastAsia="Arial" w:hAnsi="Arial"/>
          <w:sz w:val="18"/>
          <w:szCs w:val="18"/>
          <w:u w:val="single" w:color="auto"/>
          <w:color w:val="0000EE"/>
        </w:rPr>
      </w:pPr>
      <w:hyperlink r:id="rId11">
        <w:r>
          <w:rPr>
            <w:rFonts w:ascii="Arial" w:cs="Arial" w:eastAsia="Arial" w:hAnsi="Arial"/>
            <w:sz w:val="18"/>
            <w:szCs w:val="18"/>
            <w:u w:val="single" w:color="auto"/>
            <w:color w:val="0000EE"/>
          </w:rPr>
          <w:t>Our Quarterly Report on Form 10-Q for the quarterly period ended March 31, 2010, filed on May 5, 2020.</w:t>
        </w:r>
      </w:hyperlink>
    </w:p>
    <w:p>
      <w:pPr>
        <w:spacing w:after="0" w:line="238"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14"/>
        </w:numPr>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Our Current Report on Form 8-K, filed on April 7, 2020.</w:t>
        </w:r>
      </w:hyperlink>
    </w:p>
    <w:p>
      <w:pPr>
        <w:spacing w:after="0" w:line="252" w:lineRule="exact"/>
        <w:rPr>
          <w:rFonts w:ascii="Arial" w:cs="Arial" w:eastAsia="Arial" w:hAnsi="Arial"/>
          <w:sz w:val="18"/>
          <w:szCs w:val="18"/>
          <w:u w:val="single" w:color="auto"/>
          <w:color w:val="0000EE"/>
        </w:rPr>
      </w:pPr>
    </w:p>
    <w:p>
      <w:pPr>
        <w:ind w:left="1080" w:right="520" w:hanging="532"/>
        <w:spacing w:after="0" w:line="268" w:lineRule="auto"/>
        <w:tabs>
          <w:tab w:leader="none" w:pos="1080" w:val="left"/>
        </w:tabs>
        <w:numPr>
          <w:ilvl w:val="0"/>
          <w:numId w:val="14"/>
        </w:numPr>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The description of our common stock set forth in a Registration Statement on Form 8-A, including any amendment or report filed for the</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purpose of updating such description (filing date October 15, 1996: Commission File No. 000-19034).</w:t>
        </w:r>
      </w:hyperlink>
    </w:p>
    <w:p>
      <w:pPr>
        <w:spacing w:after="0" w:line="186" w:lineRule="exact"/>
        <w:rPr>
          <w:rFonts w:ascii="Arial" w:cs="Arial" w:eastAsia="Arial" w:hAnsi="Arial"/>
          <w:sz w:val="18"/>
          <w:szCs w:val="18"/>
          <w:color w:val="auto"/>
        </w:rPr>
      </w:pPr>
    </w:p>
    <w:p>
      <w:pPr>
        <w:ind w:right="40" w:firstLine="341"/>
        <w:spacing w:after="0" w:line="254" w:lineRule="auto"/>
        <w:rPr>
          <w:sz w:val="20"/>
          <w:szCs w:val="20"/>
          <w:color w:val="auto"/>
        </w:rPr>
      </w:pPr>
      <w:r>
        <w:rPr>
          <w:rFonts w:ascii="Arial" w:cs="Arial" w:eastAsia="Arial" w:hAnsi="Arial"/>
          <w:sz w:val="18"/>
          <w:szCs w:val="18"/>
          <w:color w:val="auto"/>
        </w:rPr>
        <w:t>All documents that we file pursuant to Section 13(a), 13(c), 14, or 15(d) of the Exchange Act subsequent to the date of this prospectus including on a Current Report on Form 8-K with respect to certain exhibits to the registration statement in connection with this offering, and, in all events, prior to the termination of this offering, shall be deemed to be incorporated by reference into this prospectus and to be a part of this prospectus from the respective dates of filing of such documents, except for information furnished under Item 2.02 and Item 7.01 of Form 8-K and related exhibits, which is not deemed filed and not incorporated by reference herein. Any statement contained in a document incorporated or deemed to be incorporated by reference in this prospectus shall be deemed to be</w:t>
      </w:r>
    </w:p>
    <w:p>
      <w:pPr>
        <w:spacing w:after="0" w:line="198"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S-28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modified or superseded for purposes of this prospectus to the extent that a statement contained in this prospectus or in any other subsequently filed document which also is, or is deemed to be, incorporated by reference herein modifies or supersedes such statement.</w:t>
      </w:r>
    </w:p>
    <w:p>
      <w:pPr>
        <w:spacing w:after="0" w:line="186" w:lineRule="exact"/>
        <w:rPr>
          <w:sz w:val="20"/>
          <w:szCs w:val="20"/>
          <w:color w:val="auto"/>
        </w:rPr>
      </w:pPr>
    </w:p>
    <w:p>
      <w:pPr>
        <w:ind w:firstLine="344"/>
        <w:spacing w:after="0" w:line="268" w:lineRule="auto"/>
        <w:rPr>
          <w:sz w:val="20"/>
          <w:szCs w:val="20"/>
          <w:color w:val="auto"/>
        </w:rPr>
      </w:pPr>
      <w:r>
        <w:rPr>
          <w:rFonts w:ascii="Arial" w:cs="Arial" w:eastAsia="Arial" w:hAnsi="Arial"/>
          <w:sz w:val="18"/>
          <w:szCs w:val="18"/>
          <w:color w:val="auto"/>
        </w:rPr>
        <w:t>You may request a copy of any document we incorporate by reference, except exhibits to the documents (unless the exhibits are specifically incorporated by reference), at no cost, by writing or calling us at:</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Investor Relations Department</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5460" w:right="4920" w:hanging="384"/>
        <w:spacing w:after="0" w:line="605" w:lineRule="auto"/>
        <w:tabs>
          <w:tab w:leader="none" w:pos="55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345-7741 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13613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Regeneron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WARRANTS</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from time to time offer to sell together or separately in one or more offerings:</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 securities, which may be senior, subordinated or junior subordinated and convertible or non-convertible;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warrants to purchase our common stock, preferred stock or debt securities.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We will provide the specific prices and terms of these securities in one or more supplements to this prospectus at the time of the offering. You should read this prospectus and the accompanying prospectus supplement carefully before you make your investment decision.</w:t>
      </w:r>
    </w:p>
    <w:p>
      <w:pPr>
        <w:spacing w:after="0" w:line="19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may offer and sell these securities through underwriters, dealers or agents or directly to purchasers, on a continuous or delayed basis. The prospectus supplement for each offering will describe in detail the plan of distribution for that offering and will set forth the names of any underwriters, dealers or agents involved in the offering and any applicable fees, commissions or discount arrangements.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may not be used to sell securities unless accompanied by a prospectus supplement or a free writing prospectus.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under the trading symbol "REGN." Each prospectus supplement will indicate if the securities offered thereby will be listed on any securities exchange.</w:t>
      </w:r>
    </w:p>
    <w:p>
      <w:pPr>
        <w:spacing w:after="0" w:line="167" w:lineRule="exact"/>
        <w:rPr>
          <w:sz w:val="20"/>
          <w:szCs w:val="20"/>
          <w:color w:val="auto"/>
        </w:rPr>
      </w:pPr>
    </w:p>
    <w:p>
      <w:pPr>
        <w:ind w:right="780" w:firstLine="351"/>
        <w:spacing w:after="0" w:line="256" w:lineRule="auto"/>
        <w:rPr>
          <w:sz w:val="20"/>
          <w:szCs w:val="20"/>
          <w:color w:val="auto"/>
        </w:rPr>
      </w:pPr>
      <w:r>
        <w:rPr>
          <w:rFonts w:ascii="Arial" w:cs="Arial" w:eastAsia="Arial" w:hAnsi="Arial"/>
          <w:sz w:val="22"/>
          <w:szCs w:val="22"/>
          <w:b w:val="1"/>
          <w:bCs w:val="1"/>
          <w:color w:val="auto"/>
        </w:rPr>
        <w:t>Investing in our securities involves a high degree of risk. See "Risk Factors" on page 4 before you make your investment decision.</w:t>
      </w:r>
    </w:p>
    <w:p>
      <w:pPr>
        <w:spacing w:after="0" w:line="175" w:lineRule="exact"/>
        <w:rPr>
          <w:sz w:val="20"/>
          <w:szCs w:val="20"/>
          <w:color w:val="auto"/>
        </w:rPr>
      </w:pPr>
    </w:p>
    <w:p>
      <w:pPr>
        <w:ind w:right="20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date of this prospectus is 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vMerge w:val="restart"/>
          </w:tcPr>
          <w:p>
            <w:pPr>
              <w:ind w:left="11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About This Prospectus</w:t>
              </w:r>
            </w:hyperlink>
          </w:p>
        </w:tc>
        <w:tc>
          <w:tcPr>
            <w:tcW w:w="1720" w:type="dxa"/>
            <w:vAlign w:val="bottom"/>
            <w:gridSpan w:val="2"/>
          </w:tcPr>
          <w:p>
            <w:pPr>
              <w:jc w:val="right"/>
              <w:ind w:right="13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9520" w:type="dxa"/>
            <w:vAlign w:val="bottom"/>
            <w:vMerge w:val="continue"/>
          </w:tcPr>
          <w:p>
            <w:pPr>
              <w:spacing w:after="0"/>
              <w:rPr>
                <w:sz w:val="17"/>
                <w:szCs w:val="17"/>
                <w:color w:val="auto"/>
              </w:rPr>
            </w:pPr>
          </w:p>
        </w:tc>
        <w:tc>
          <w:tcPr>
            <w:tcW w:w="42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ii</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Cautionary Statement Regarding Forward-Looking Statements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Note Regarding Trademarks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Summary</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Use of Proceeds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Securities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Capital Stock</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Description of Debt Securities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Description of Warrants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14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Plan of Distribution</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15</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Legal Matters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Experts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22"/>
        </w:trPr>
        <w:tc>
          <w:tcPr>
            <w:tcW w:w="9520" w:type="dxa"/>
            <w:vAlign w:val="bottom"/>
          </w:tcPr>
          <w:p>
            <w:pPr>
              <w:ind w:left="11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Where You Can Find More Information</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120"/>
        </w:trPr>
        <w:tc>
          <w:tcPr>
            <w:tcW w:w="9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340" w:firstLine="348"/>
        <w:spacing w:after="0" w:line="33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using a "shelf" registration process. Under the shelf process, we may sell any combination of the securities described in this prospectus in one or more offerings.</w:t>
      </w:r>
    </w:p>
    <w:p>
      <w:pPr>
        <w:spacing w:after="0" w:line="14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This prospectus only provides you with a general description of the securities we may offer. Each time we sell securities, we will provide a supplement to this prospectus that will contain specific information about the terms of that offering, including the specific amounts, prices and terms of the securities offered. The prospectus supplement may also add, update or change information contained in this prospectus. You should carefully read both this prospectus and any accompanying prospectus supplement or other offering materials, together with the additional information described under the heading "Where You Can Find More Information."</w:t>
      </w:r>
    </w:p>
    <w:p>
      <w:pPr>
        <w:spacing w:after="0" w:line="201" w:lineRule="exact"/>
        <w:rPr>
          <w:sz w:val="20"/>
          <w:szCs w:val="20"/>
          <w:color w:val="auto"/>
        </w:rPr>
      </w:pPr>
    </w:p>
    <w:p>
      <w:pPr>
        <w:ind w:right="260" w:firstLine="344"/>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and any accompanying prospectus supplement or other offering materials do not contain all of the information included in the registration statement as permitted by the rules and regulations of the SEC. For further information, we refer you to the registration statement on Form S-3, including its exhibits. We are subject to the informational requirements of the Securities Exchange Act of 1934, as amended ("Exchange Act"), and, therefore, file reports and other information with the SEC. Statements contained in this prospectus and any accompanying prospectus supplement or other offering materials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174" w:lineRule="exact"/>
        <w:rPr>
          <w:sz w:val="20"/>
          <w:szCs w:val="20"/>
          <w:color w:val="auto"/>
        </w:rPr>
      </w:pPr>
    </w:p>
    <w:p>
      <w:pPr>
        <w:ind w:right="120" w:firstLine="344"/>
        <w:spacing w:after="0" w:line="331" w:lineRule="auto"/>
        <w:rPr>
          <w:sz w:val="20"/>
          <w:szCs w:val="20"/>
          <w:color w:val="auto"/>
        </w:rPr>
      </w:pPr>
      <w:r>
        <w:rPr>
          <w:rFonts w:ascii="Arial" w:cs="Arial" w:eastAsia="Arial" w:hAnsi="Arial"/>
          <w:sz w:val="16"/>
          <w:szCs w:val="16"/>
          <w:color w:val="auto"/>
        </w:rPr>
        <w:t>You should not assume that the information in this prospectus, any prospectus supplement or any other offering materials is accurate as of any date other than the date on the front of each document. Our business, financial condition, results of operations and prospects may have changed since then.</w:t>
      </w:r>
    </w:p>
    <w:p>
      <w:pPr>
        <w:spacing w:after="0" w:line="14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this prospectus, unless otherwise specified or the context requires otherwise, we use the terms "Regeneron," "Company," "we," "us," and "our" to refer to Regeneron Pharmaceuticals, Inc. References to "preferred stock" refer to shares of our preferred stock, par value $0.01 per share; references to "Common Stock" refer to shares of our common stock, par value $0.001 per share; references to "Class A Stock" refer to our Class A Stock, par value $0.001 per share; and references to "common shares" mean, collectively, shares of Common Stock and shares of Class A Stock.</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This prospectus, any accompanying prospectus supplements, and the documents incorporated by reference contain forward-looking statements that involve risks and uncertainties relating to future events and our future financial performance,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 (aflibercept) Injection, Dupixent® (dupilumab) Injection, Praluent® (alirocumab) Injection, Kevzara® (sarilumab) Injection, Libtayo® (cemiplimab) Injection (marketed as Libtayo (cemiplimab-rwlc) Injection in the United States), fasinumab and evinacumab;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Dupixent, Praluent, Kevzara, Libtayo, fasinumab and evinacumab; the extent to which the results from the research and development programs conducted by us or our collaborators may be replicated in other studies and lead to therapeutic applications; ongoing regulatory obligations and oversight impacting our marketed products (such as EYLEA, Dupixent, Praluent, Kevzara and Libtayo),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the ability of our collaborators, suppliers, or other third parties to perform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EYLEA, Dupixent and Praluent. A list and description of risks, uncertainties, and other matters that should be considered in evaluating such forward-looking statements can be found in our Annual Report on Form 10-K for the fiscal year ended December 31, 2017 and in our Quarterly Report on Form 10-Q for the quarterly period ended September 30, 2018, in each case including in the sections thereof captioned "Item 1A. Risk Factors." Any forward-looking statements are made by us based on management's current beliefs and judgment, and the reader is cautioned not to rely on any such statements. We do not undertake any obligation to update publicly any forward-looking statement, whether as a result of new information, future events, or otherwise.</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 REGARDING TRADEMARKS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"ARCALYST®", "EYLEA®", "Regeneron®", "Regeneron Genetics Center®", "</w:t>
      </w:r>
      <w:r>
        <w:rPr>
          <w:rFonts w:ascii="Arial" w:cs="Arial" w:eastAsia="Arial" w:hAnsi="Arial"/>
          <w:sz w:val="16"/>
          <w:szCs w:val="16"/>
          <w:i w:val="1"/>
          <w:iCs w:val="1"/>
          <w:color w:val="auto"/>
        </w:rPr>
        <w:t>VelociGene</w:t>
      </w:r>
      <w:r>
        <w:rPr>
          <w:rFonts w:ascii="Arial" w:cs="Arial" w:eastAsia="Arial" w:hAnsi="Arial"/>
          <w:sz w:val="16"/>
          <w:szCs w:val="16"/>
          <w:color w:val="auto"/>
        </w:rPr>
        <w:t>®", "</w:t>
      </w:r>
      <w:r>
        <w:rPr>
          <w:rFonts w:ascii="Arial" w:cs="Arial" w:eastAsia="Arial" w:hAnsi="Arial"/>
          <w:sz w:val="16"/>
          <w:szCs w:val="16"/>
          <w:i w:val="1"/>
          <w:iCs w:val="1"/>
          <w:color w:val="auto"/>
        </w:rPr>
        <w:t>VelociMab</w:t>
      </w:r>
      <w:r>
        <w:rPr>
          <w:rFonts w:ascii="Arial" w:cs="Arial" w:eastAsia="Arial" w:hAnsi="Arial"/>
          <w:sz w:val="16"/>
          <w:szCs w:val="16"/>
          <w:color w:val="auto"/>
        </w:rPr>
        <w:t>®", "</w:t>
      </w:r>
      <w:r>
        <w:rPr>
          <w:rFonts w:ascii="Arial" w:cs="Arial" w:eastAsia="Arial" w:hAnsi="Arial"/>
          <w:sz w:val="16"/>
          <w:szCs w:val="16"/>
          <w:i w:val="1"/>
          <w:iCs w:val="1"/>
          <w:color w:val="auto"/>
        </w:rPr>
        <w:t>VelocImmune</w:t>
      </w:r>
      <w:r>
        <w:rPr>
          <w:rFonts w:ascii="Arial" w:cs="Arial" w:eastAsia="Arial" w:hAnsi="Arial"/>
          <w:sz w:val="16"/>
          <w:szCs w:val="16"/>
          <w:color w:val="auto"/>
        </w:rPr>
        <w:t>®", "</w:t>
      </w:r>
      <w:r>
        <w:rPr>
          <w:rFonts w:ascii="Arial" w:cs="Arial" w:eastAsia="Arial" w:hAnsi="Arial"/>
          <w:sz w:val="16"/>
          <w:szCs w:val="16"/>
          <w:i w:val="1"/>
          <w:iCs w:val="1"/>
          <w:color w:val="auto"/>
        </w:rPr>
        <w:t>VelociMouse</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VelociSuite</w:t>
      </w:r>
      <w:r>
        <w:rPr>
          <w:rFonts w:ascii="Arial" w:cs="Arial" w:eastAsia="Arial" w:hAnsi="Arial"/>
          <w:sz w:val="15"/>
          <w:szCs w:val="15"/>
          <w:color w:val="auto"/>
        </w:rPr>
        <w:t>®" and "ZALTRAP®" are our trademarks. Trademarks and trade names of other companies appearing in this prospectus are, to our knowledge,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property of their respective owners.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23615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6130" cy="236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jc w:val="both"/>
        <w:ind w:left="240" w:right="220" w:firstLine="351"/>
        <w:spacing w:after="0" w:line="259" w:lineRule="auto"/>
        <w:rPr>
          <w:sz w:val="20"/>
          <w:szCs w:val="20"/>
          <w:color w:val="auto"/>
        </w:rPr>
      </w:pPr>
      <w:r>
        <w:rPr>
          <w:rFonts w:ascii="Arial" w:cs="Arial" w:eastAsia="Arial" w:hAnsi="Arial"/>
          <w:sz w:val="18"/>
          <w:szCs w:val="18"/>
          <w:i w:val="1"/>
          <w:iCs w:val="1"/>
          <w:color w:val="auto"/>
        </w:rPr>
        <w:t>This is only a summary and may not contain all the information that is important to you. You should carefully read both this prospectus and any accompanying prospectus supplement and any other offering materials, together with the additional information described under the heading "Where You Can Find More Information."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neuromuscular diseases, infectious diseases and rare diseases.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70935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currently have seven products that have received marketing approval:</w:t>
      </w:r>
    </w:p>
    <w:p>
      <w:pPr>
        <w:spacing w:after="0" w:line="27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Territory</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41"/>
              <w:spacing w:after="0" w:line="129" w:lineRule="exact"/>
              <w:rPr>
                <w:sz w:val="20"/>
                <w:szCs w:val="20"/>
                <w:color w:val="auto"/>
              </w:rPr>
            </w:pPr>
            <w:r>
              <w:rPr>
                <w:rFonts w:ascii="Arial" w:cs="Arial" w:eastAsia="Arial" w:hAnsi="Arial"/>
                <w:sz w:val="13"/>
                <w:szCs w:val="13"/>
                <w:b w:val="1"/>
                <w:bCs w:val="1"/>
                <w:color w:val="auto"/>
                <w:w w:val="96"/>
              </w:rPr>
              <w:t>Certain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1"/>
              <w:spacing w:after="0"/>
              <w:rPr>
                <w:sz w:val="20"/>
                <w:szCs w:val="20"/>
                <w:color w:val="auto"/>
              </w:rPr>
            </w:pPr>
            <w:r>
              <w:rPr>
                <w:rFonts w:ascii="Arial" w:cs="Arial" w:eastAsia="Arial" w:hAnsi="Arial"/>
                <w:sz w:val="13"/>
                <w:szCs w:val="13"/>
                <w:b w:val="1"/>
                <w:bCs w:val="1"/>
                <w:color w:val="auto"/>
                <w:w w:val="88"/>
              </w:rPr>
              <w:t>countries</w:t>
            </w:r>
          </w:p>
        </w:tc>
        <w:tc>
          <w:tcPr>
            <w:tcW w:w="0" w:type="dxa"/>
            <w:vAlign w:val="bottom"/>
          </w:tcPr>
          <w:p>
            <w:pPr>
              <w:spacing w:after="0"/>
              <w:rPr>
                <w:sz w:val="1"/>
                <w:szCs w:val="1"/>
                <w:color w:val="auto"/>
              </w:rPr>
            </w:pPr>
          </w:p>
        </w:tc>
      </w:tr>
      <w:tr>
        <w:trPr>
          <w:trHeight w:val="181"/>
        </w:trPr>
        <w:tc>
          <w:tcPr>
            <w:tcW w:w="2760" w:type="dxa"/>
            <w:vAlign w:val="bottom"/>
            <w:gridSpan w:val="3"/>
          </w:tcPr>
          <w:p>
            <w:pPr>
              <w:jc w:val="right"/>
              <w:ind w:right="2212"/>
              <w:spacing w:after="0"/>
              <w:rPr>
                <w:sz w:val="20"/>
                <w:szCs w:val="20"/>
                <w:color w:val="auto"/>
              </w:rPr>
            </w:pPr>
            <w:r>
              <w:rPr>
                <w:rFonts w:ascii="Arial" w:cs="Arial" w:eastAsia="Arial" w:hAnsi="Arial"/>
                <w:sz w:val="13"/>
                <w:szCs w:val="13"/>
                <w:b w:val="1"/>
                <w:bCs w:val="1"/>
                <w:color w:val="auto"/>
                <w:w w:val="89"/>
              </w:rPr>
              <w:t>Product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Disease Area(1)</w:t>
            </w:r>
          </w:p>
        </w:tc>
        <w:tc>
          <w:tcPr>
            <w:tcW w:w="18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U.S.</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EU</w:t>
            </w:r>
          </w:p>
        </w:tc>
        <w:tc>
          <w:tcPr>
            <w:tcW w:w="160" w:type="dxa"/>
            <w:vAlign w:val="bottom"/>
          </w:tcPr>
          <w:p>
            <w:pPr>
              <w:spacing w:after="0"/>
              <w:rPr>
                <w:sz w:val="15"/>
                <w:szCs w:val="15"/>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Japan</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1"/>
              </w:rPr>
              <w:t>outside the U.S.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2"/>
              </w:rPr>
              <w:t>EYLEA</w:t>
            </w:r>
          </w:p>
        </w:tc>
        <w:tc>
          <w:tcPr>
            <w:tcW w:w="2300" w:type="dxa"/>
            <w:vAlign w:val="bottom"/>
            <w:tcBorders>
              <w:top w:val="single" w:sz="8" w:color="CCEEFF"/>
            </w:tcBorders>
            <w:shd w:val="clear" w:color="auto" w:fill="CCEEFF"/>
          </w:tcPr>
          <w:p>
            <w:pPr>
              <w:jc w:val="right"/>
              <w:ind w:right="312"/>
              <w:spacing w:after="0" w:line="182" w:lineRule="exact"/>
              <w:rPr>
                <w:sz w:val="20"/>
                <w:szCs w:val="20"/>
                <w:color w:val="auto"/>
              </w:rPr>
            </w:pPr>
            <w:r>
              <w:rPr>
                <w:rFonts w:ascii="Arial" w:cs="Arial" w:eastAsia="Arial" w:hAnsi="Arial"/>
                <w:sz w:val="18"/>
                <w:szCs w:val="18"/>
                <w:color w:val="auto"/>
                <w:w w:val="99"/>
              </w:rPr>
              <w:t>(aflibercept) Injection(2)</w:t>
            </w:r>
          </w:p>
        </w:tc>
        <w:tc>
          <w:tcPr>
            <w:tcW w:w="280" w:type="dxa"/>
            <w:vAlign w:val="bottom"/>
            <w:tcBorders>
              <w:top w:val="single" w:sz="8" w:color="CCEEFF"/>
            </w:tcBorders>
            <w:gridSpan w:val="2"/>
            <w:shd w:val="clear" w:color="auto" w:fill="CCEEFF"/>
          </w:tcPr>
          <w:p>
            <w:pPr>
              <w:ind w:left="160"/>
              <w:spacing w:after="0" w:line="182" w:lineRule="exact"/>
              <w:rPr>
                <w:sz w:val="20"/>
                <w:szCs w:val="20"/>
                <w:color w:val="auto"/>
              </w:rPr>
            </w:pPr>
            <w:r>
              <w:rPr>
                <w:rFonts w:ascii="Arial" w:cs="Arial" w:eastAsia="Arial" w:hAnsi="Arial"/>
                <w:sz w:val="18"/>
                <w:szCs w:val="18"/>
                <w:color w:val="auto"/>
              </w:rPr>
              <w:t>•</w:t>
            </w:r>
          </w:p>
        </w:tc>
        <w:tc>
          <w:tcPr>
            <w:tcW w:w="2620" w:type="dxa"/>
            <w:vAlign w:val="bottom"/>
            <w:tcBorders>
              <w:top w:val="single" w:sz="8" w:color="CCEEFF"/>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95"/>
              </w:rPr>
              <w:t>Neovascular age-related macular</w:t>
            </w: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ü</w:t>
            </w: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ü</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gridSpan w:val="3"/>
            <w:shd w:val="clear" w:color="auto" w:fill="CCEEFF"/>
          </w:tcPr>
          <w:p>
            <w:pPr>
              <w:ind w:left="200"/>
              <w:spacing w:after="0" w:line="182" w:lineRule="exact"/>
              <w:rPr>
                <w:sz w:val="20"/>
                <w:szCs w:val="20"/>
                <w:color w:val="auto"/>
              </w:rPr>
            </w:pPr>
            <w:r>
              <w:rPr>
                <w:rFonts w:ascii="Arial" w:cs="Arial" w:eastAsia="Arial" w:hAnsi="Arial"/>
                <w:sz w:val="18"/>
                <w:szCs w:val="18"/>
                <w:color w:val="auto"/>
              </w:rPr>
              <w:t>ü</w:t>
            </w:r>
          </w:p>
        </w:tc>
        <w:tc>
          <w:tcPr>
            <w:tcW w:w="1100" w:type="dxa"/>
            <w:vAlign w:val="bottom"/>
            <w:tcBorders>
              <w:top w:val="single" w:sz="8" w:color="CCEEFF"/>
            </w:tcBorders>
            <w:shd w:val="clear" w:color="auto" w:fill="CCEEFF"/>
          </w:tcPr>
          <w:p>
            <w:pPr>
              <w:jc w:val="center"/>
              <w:ind w:right="21"/>
              <w:spacing w:after="0" w:line="182" w:lineRule="exact"/>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degeneration (wet AMD)</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Diabetic macular edema (DME)</w:t>
            </w:r>
          </w:p>
        </w:tc>
        <w:tc>
          <w:tcPr>
            <w:tcW w:w="18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8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9"/>
                <w:szCs w:val="19"/>
                <w:color w:val="auto"/>
              </w:rPr>
            </w:pPr>
          </w:p>
        </w:tc>
        <w:tc>
          <w:tcPr>
            <w:tcW w:w="74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ü</w:t>
            </w:r>
          </w:p>
        </w:tc>
        <w:tc>
          <w:tcPr>
            <w:tcW w:w="1100" w:type="dxa"/>
            <w:vAlign w:val="bottom"/>
            <w:vMerge w:val="restart"/>
            <w:shd w:val="clear" w:color="auto" w:fill="CCEEFF"/>
          </w:tcPr>
          <w:p>
            <w:pPr>
              <w:jc w:val="center"/>
              <w:ind w:right="21"/>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Macular edema following retinal</w:t>
            </w:r>
          </w:p>
        </w:tc>
        <w:tc>
          <w:tcPr>
            <w:tcW w:w="1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8"/>
                <w:szCs w:val="18"/>
                <w:color w:val="auto"/>
              </w:rPr>
            </w:pPr>
          </w:p>
        </w:tc>
        <w:tc>
          <w:tcPr>
            <w:tcW w:w="74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ü</w:t>
            </w:r>
          </w:p>
        </w:tc>
        <w:tc>
          <w:tcPr>
            <w:tcW w:w="1100" w:type="dxa"/>
            <w:vAlign w:val="bottom"/>
            <w:vMerge w:val="restart"/>
            <w:shd w:val="clear" w:color="auto" w:fill="CCEEFF"/>
          </w:tcPr>
          <w:p>
            <w:pPr>
              <w:jc w:val="center"/>
              <w:ind w:right="21"/>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vein occlusion (RVO), which</w:t>
            </w:r>
          </w:p>
        </w:tc>
        <w:tc>
          <w:tcPr>
            <w:tcW w:w="1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includes macular edema following</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central retinal vein occlusion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(CRVO) and macular edema</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following branch retinal vein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occlusion (BRVO)</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Myopic choroidal</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8"/>
                <w:szCs w:val="18"/>
                <w:color w:val="auto"/>
              </w:rPr>
            </w:pPr>
          </w:p>
        </w:tc>
        <w:tc>
          <w:tcPr>
            <w:tcW w:w="74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ü</w:t>
            </w:r>
          </w:p>
        </w:tc>
        <w:tc>
          <w:tcPr>
            <w:tcW w:w="1100" w:type="dxa"/>
            <w:vAlign w:val="bottom"/>
            <w:vMerge w:val="restart"/>
            <w:shd w:val="clear" w:color="auto" w:fill="CCEEFF"/>
          </w:tcPr>
          <w:p>
            <w:pPr>
              <w:jc w:val="center"/>
              <w:ind w:right="21"/>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neovascularization (mCNV)</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Diabetic retinopathy in patients</w:t>
            </w:r>
          </w:p>
        </w:tc>
        <w:tc>
          <w:tcPr>
            <w:tcW w:w="18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with DME</w:t>
            </w:r>
          </w:p>
        </w:tc>
        <w:tc>
          <w:tcPr>
            <w:tcW w:w="1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139"/>
          </w:cols>
          <w:pgMar w:left="320" w:top="131" w:right="1440" w:bottom="1440" w:gutter="0" w:footer="0" w:header="0"/>
        </w:sectPr>
      </w:pPr>
    </w:p>
    <w:p>
      <w:pPr>
        <w:spacing w:after="0" w:line="19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Dupixent (dupilumab) Injection(3)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Praluent (alirocumab) Injection(3)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320" w:right="300"/>
        <w:spacing w:after="0" w:line="331" w:lineRule="auto"/>
        <w:rPr>
          <w:sz w:val="20"/>
          <w:szCs w:val="20"/>
          <w:color w:val="auto"/>
        </w:rPr>
      </w:pPr>
      <w:r>
        <w:rPr>
          <w:rFonts w:ascii="Arial" w:cs="Arial" w:eastAsia="Arial" w:hAnsi="Arial"/>
          <w:sz w:val="16"/>
          <w:szCs w:val="16"/>
          <w:color w:val="auto"/>
        </w:rPr>
        <w:t>Kevzara (sarilumab) Solution for Subcutaneous Injection(3)</w:t>
      </w:r>
    </w:p>
    <w:p>
      <w:pPr>
        <w:spacing w:after="0" w:line="127"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Libtayo (cemiplimab) Injection(3)(5)</w:t>
      </w:r>
    </w:p>
    <w:p>
      <w:pPr>
        <w:spacing w:after="0" w:line="200" w:lineRule="exact"/>
        <w:rPr>
          <w:sz w:val="20"/>
          <w:szCs w:val="20"/>
          <w:color w:val="auto"/>
        </w:rPr>
      </w:pPr>
    </w:p>
    <w:p>
      <w:pPr>
        <w:spacing w:after="0" w:line="264" w:lineRule="exact"/>
        <w:rPr>
          <w:sz w:val="20"/>
          <w:szCs w:val="20"/>
          <w:color w:val="auto"/>
        </w:rPr>
      </w:pPr>
    </w:p>
    <w:p>
      <w:pPr>
        <w:ind w:left="1320" w:right="40"/>
        <w:spacing w:after="0" w:line="268" w:lineRule="auto"/>
        <w:rPr>
          <w:sz w:val="20"/>
          <w:szCs w:val="20"/>
          <w:color w:val="auto"/>
        </w:rPr>
      </w:pPr>
      <w:r>
        <w:rPr>
          <w:rFonts w:ascii="Arial" w:cs="Arial" w:eastAsia="Arial" w:hAnsi="Arial"/>
          <w:sz w:val="18"/>
          <w:szCs w:val="18"/>
          <w:color w:val="auto"/>
        </w:rPr>
        <w:t>ARCALYST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(rilonacept) Injection for Subcutaneous Use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ZALTRAP</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(ziv-aflibercept)</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Injection for Intravenous Infusion(4)</w:t>
      </w:r>
    </w:p>
    <w:p>
      <w:pPr>
        <w:spacing w:after="0" w:line="20" w:lineRule="exact"/>
        <w:rPr>
          <w:sz w:val="20"/>
          <w:szCs w:val="20"/>
          <w:color w:val="auto"/>
        </w:rPr>
      </w:pPr>
      <w:r>
        <w:rPr>
          <w:sz w:val="20"/>
          <w:szCs w:val="20"/>
          <w:color w:val="auto"/>
        </w:rPr>
        <w:br w:type="column"/>
      </w:r>
    </w:p>
    <w:p>
      <w:pPr>
        <w:ind w:left="180" w:hanging="180"/>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Atopic dermatitis (in adults)</w:t>
      </w:r>
    </w:p>
    <w:p>
      <w:pPr>
        <w:spacing w:after="0" w:line="203" w:lineRule="exact"/>
        <w:rPr>
          <w:rFonts w:ascii="Arial" w:cs="Arial" w:eastAsia="Arial" w:hAnsi="Arial"/>
          <w:sz w:val="18"/>
          <w:szCs w:val="18"/>
          <w:color w:val="auto"/>
        </w:rPr>
      </w:pPr>
    </w:p>
    <w:p>
      <w:pPr>
        <w:ind w:left="180" w:hanging="180"/>
        <w:spacing w:after="0"/>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Asthma (in adults and adolescents)</w:t>
      </w:r>
    </w:p>
    <w:p>
      <w:pPr>
        <w:spacing w:after="0" w:line="234" w:lineRule="exact"/>
        <w:rPr>
          <w:rFonts w:ascii="Arial" w:cs="Arial" w:eastAsia="Arial" w:hAnsi="Arial"/>
          <w:sz w:val="16"/>
          <w:szCs w:val="16"/>
          <w:color w:val="auto"/>
        </w:rPr>
      </w:pPr>
    </w:p>
    <w:p>
      <w:pPr>
        <w:ind w:left="180" w:right="200" w:hanging="180"/>
        <w:spacing w:after="0" w:line="283"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Heterozygous familial hypercholesterolemia (HeFH) or clinical atherosclerotic cardiovascular disease (ASCVD) (in adults)</w:t>
      </w:r>
    </w:p>
    <w:p>
      <w:pPr>
        <w:spacing w:after="0" w:line="1" w:lineRule="exact"/>
        <w:rPr>
          <w:rFonts w:ascii="Arial" w:cs="Arial" w:eastAsia="Arial" w:hAnsi="Arial"/>
          <w:sz w:val="16"/>
          <w:szCs w:val="16"/>
          <w:color w:val="auto"/>
        </w:rPr>
      </w:pPr>
    </w:p>
    <w:p>
      <w:pPr>
        <w:ind w:left="180" w:right="420" w:hanging="180"/>
        <w:spacing w:after="0" w:line="260"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Rheumatoid arthritis (RA) (in adults)</w:t>
      </w:r>
    </w:p>
    <w:p>
      <w:pPr>
        <w:spacing w:after="0" w:line="179" w:lineRule="exact"/>
        <w:rPr>
          <w:rFonts w:ascii="Arial" w:cs="Arial" w:eastAsia="Arial" w:hAnsi="Arial"/>
          <w:sz w:val="18"/>
          <w:szCs w:val="18"/>
          <w:color w:val="auto"/>
        </w:rPr>
      </w:pPr>
    </w:p>
    <w:p>
      <w:pPr>
        <w:ind w:left="180" w:hanging="180"/>
        <w:spacing w:after="0" w:line="252"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Metastatic or locally advanced cutaneous squamous cell carcinoma (CSCC)</w:t>
      </w:r>
    </w:p>
    <w:p>
      <w:pPr>
        <w:spacing w:after="0" w:line="2" w:lineRule="exact"/>
        <w:rPr>
          <w:rFonts w:ascii="Arial" w:cs="Arial" w:eastAsia="Arial" w:hAnsi="Arial"/>
          <w:sz w:val="18"/>
          <w:szCs w:val="18"/>
          <w:color w:val="auto"/>
        </w:rPr>
      </w:pPr>
    </w:p>
    <w:p>
      <w:pPr>
        <w:ind w:left="180" w:right="140" w:hanging="180"/>
        <w:spacing w:after="0" w:line="281"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Cryopyrin-Associated Periodic Syndromes (CAPS), including Familial Cold Auto-inflammatory Syndrome (FCAS) and Muckle-Wells Syndrome (MWS)</w:t>
      </w:r>
    </w:p>
    <w:p>
      <w:pPr>
        <w:spacing w:after="0" w:line="2" w:lineRule="exact"/>
        <w:rPr>
          <w:rFonts w:ascii="Arial" w:cs="Arial" w:eastAsia="Arial" w:hAnsi="Arial"/>
          <w:sz w:val="16"/>
          <w:szCs w:val="16"/>
          <w:color w:val="auto"/>
        </w:rPr>
      </w:pPr>
    </w:p>
    <w:p>
      <w:pPr>
        <w:ind w:left="180" w:right="560" w:hanging="180"/>
        <w:spacing w:after="0" w:line="260"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Metastatic colorectal cancer (mCRC)</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tabs>
          <w:tab w:leader="none" w:pos="440" w:val="left"/>
          <w:tab w:leader="none" w:pos="100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ü</w:t>
      </w:r>
    </w:p>
    <w:p>
      <w:pPr>
        <w:spacing w:after="0" w:line="212" w:lineRule="exact"/>
        <w:rPr>
          <w:sz w:val="20"/>
          <w:szCs w:val="20"/>
          <w:color w:val="auto"/>
        </w:rPr>
      </w:pPr>
    </w:p>
    <w:p>
      <w:pPr>
        <w:spacing w:after="0"/>
        <w:tabs>
          <w:tab w:leader="none" w:pos="440" w:val="left"/>
          <w:tab w:leader="none" w:pos="100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 w:leader="none" w:pos="100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ü</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399" w:lineRule="exact"/>
        <w:rPr>
          <w:sz w:val="20"/>
          <w:szCs w:val="20"/>
          <w:color w:val="auto"/>
        </w:rPr>
      </w:pPr>
    </w:p>
    <w:p>
      <w:pPr>
        <w:sectPr>
          <w:pgSz w:w="11900" w:h="16838" w:orient="portrait"/>
          <w:cols w:equalWidth="0" w:num="3">
            <w:col w:w="3940" w:space="300"/>
            <w:col w:w="2700" w:space="340"/>
            <w:col w:w="2859"/>
          </w:cols>
          <w:pgMar w:left="320" w:top="131" w:right="1440" w:bottom="1440" w:gutter="0" w:footer="0" w:header="0"/>
          <w:type w:val="continuous"/>
        </w:sectPr>
      </w:pPr>
    </w:p>
    <w:p>
      <w:pPr>
        <w:spacing w:after="0" w:line="190" w:lineRule="exact"/>
        <w:rPr>
          <w:sz w:val="20"/>
          <w:szCs w:val="20"/>
          <w:color w:val="auto"/>
        </w:rPr>
      </w:pPr>
    </w:p>
    <w:p>
      <w:pPr>
        <w:ind w:left="1860" w:hanging="542"/>
        <w:spacing w:after="0"/>
        <w:tabs>
          <w:tab w:leader="none" w:pos="1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 to label information in each territory for specific indication</w:t>
      </w:r>
    </w:p>
    <w:p>
      <w:pPr>
        <w:spacing w:after="0" w:line="261" w:lineRule="exact"/>
        <w:rPr>
          <w:rFonts w:ascii="Arial" w:cs="Arial" w:eastAsia="Arial" w:hAnsi="Arial"/>
          <w:sz w:val="16"/>
          <w:szCs w:val="16"/>
          <w:color w:val="auto"/>
        </w:rPr>
      </w:pPr>
    </w:p>
    <w:p>
      <w:pPr>
        <w:ind w:left="1860" w:hanging="542"/>
        <w:spacing w:after="0"/>
        <w:tabs>
          <w:tab w:leader="none" w:pos="1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collaboration with Bayer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5413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6130" cy="541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60" w:hanging="542"/>
        <w:spacing w:after="0"/>
        <w:tabs>
          <w:tab w:leader="none" w:pos="1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collaboration with Sanofi</w:t>
      </w:r>
    </w:p>
    <w:p>
      <w:pPr>
        <w:spacing w:after="0" w:line="238" w:lineRule="exact"/>
        <w:rPr>
          <w:rFonts w:ascii="Arial" w:cs="Arial" w:eastAsia="Arial" w:hAnsi="Arial"/>
          <w:sz w:val="18"/>
          <w:szCs w:val="18"/>
          <w:color w:val="auto"/>
        </w:rPr>
      </w:pPr>
    </w:p>
    <w:p>
      <w:pPr>
        <w:ind w:left="1860" w:right="880" w:hanging="542"/>
        <w:spacing w:after="0" w:line="331" w:lineRule="auto"/>
        <w:tabs>
          <w:tab w:leader="none" w:pos="1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Pursuant to a 2015 amended and restated ZALTRAP agreement, Sanofi is solely responsible for the development and commercialization of ZALTRAP, and Sanofi pays us a percentage of aggregate net sales of ZALTRAP</w:t>
      </w:r>
    </w:p>
    <w:p>
      <w:pPr>
        <w:spacing w:after="0" w:line="154" w:lineRule="exact"/>
        <w:rPr>
          <w:rFonts w:ascii="Arial" w:cs="Arial" w:eastAsia="Arial" w:hAnsi="Arial"/>
          <w:sz w:val="16"/>
          <w:szCs w:val="16"/>
          <w:color w:val="auto"/>
        </w:rPr>
      </w:pPr>
    </w:p>
    <w:p>
      <w:pPr>
        <w:ind w:left="1860" w:hanging="542"/>
        <w:spacing w:after="0"/>
        <w:tabs>
          <w:tab w:leader="none" w:pos="1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Marketed as Libtayo (cemiplimab-rwlc) Injection in the United States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we currently have 20 product candidates in clinical development that were discovered in our research laboratories.</w:t>
      </w:r>
    </w:p>
    <w:p>
      <w:pPr>
        <w:spacing w:after="0" w:line="225" w:lineRule="exact"/>
        <w:rPr>
          <w:sz w:val="20"/>
          <w:szCs w:val="20"/>
          <w:color w:val="auto"/>
        </w:rPr>
      </w:pPr>
    </w:p>
    <w:p>
      <w:pPr>
        <w:jc w:val="both"/>
        <w:ind w:left="240" w:right="160" w:firstLine="351"/>
        <w:spacing w:after="0" w:line="306"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31" w:lineRule="exact"/>
        <w:rPr>
          <w:sz w:val="20"/>
          <w:szCs w:val="20"/>
          <w:color w:val="auto"/>
        </w:rPr>
      </w:pPr>
    </w:p>
    <w:p>
      <w:pPr>
        <w:ind w:left="240" w:right="20" w:firstLine="348"/>
        <w:spacing w:after="0" w:line="290" w:lineRule="auto"/>
        <w:rPr>
          <w:sz w:val="20"/>
          <w:szCs w:val="20"/>
          <w:color w:val="auto"/>
        </w:rPr>
      </w:pPr>
      <w:r>
        <w:rPr>
          <w:rFonts w:ascii="Arial" w:cs="Arial" w:eastAsia="Arial" w:hAnsi="Arial"/>
          <w:sz w:val="16"/>
          <w:szCs w:val="16"/>
          <w:color w:val="auto"/>
        </w:rPr>
        <w:t xml:space="preserve">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16"/>
          <w:szCs w:val="16"/>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6"/>
          <w:szCs w:val="16"/>
          <w:i w:val="1"/>
          <w:iCs w:val="1"/>
          <w:color w:val="auto"/>
        </w:rPr>
        <w:t>VelociGene</w:t>
      </w:r>
      <w:r>
        <w:rPr>
          <w:rFonts w:ascii="Arial" w:cs="Arial" w:eastAsia="Arial" w:hAnsi="Arial"/>
          <w:sz w:val="16"/>
          <w:szCs w:val="16"/>
          <w:color w:val="auto"/>
        </w:rPr>
        <w:t>® technology to understand the role of these proteins in normal physiology, as well as in models of disease. Our human antibody technology (</w:t>
      </w:r>
      <w:r>
        <w:rPr>
          <w:rFonts w:ascii="Arial" w:cs="Arial" w:eastAsia="Arial" w:hAnsi="Arial"/>
          <w:sz w:val="16"/>
          <w:szCs w:val="16"/>
          <w:i w:val="1"/>
          <w:iCs w:val="1"/>
          <w:color w:val="auto"/>
        </w:rPr>
        <w:t>VelocImmune</w:t>
      </w:r>
      <w:r>
        <w:rPr>
          <w:rFonts w:ascii="Arial" w:cs="Arial" w:eastAsia="Arial" w:hAnsi="Arial"/>
          <w:sz w:val="16"/>
          <w:szCs w:val="16"/>
          <w:color w:val="auto"/>
        </w:rPr>
        <w:t>®) and cell line expression technologies (</w:t>
      </w:r>
      <w:r>
        <w:rPr>
          <w:rFonts w:ascii="Arial" w:cs="Arial" w:eastAsia="Arial" w:hAnsi="Arial"/>
          <w:sz w:val="16"/>
          <w:szCs w:val="16"/>
          <w:i w:val="1"/>
          <w:iCs w:val="1"/>
          <w:color w:val="auto"/>
        </w:rPr>
        <w:t>VelociMab</w:t>
      </w:r>
      <w:r>
        <w:rPr>
          <w:rFonts w:ascii="Arial" w:cs="Arial" w:eastAsia="Arial" w:hAnsi="Arial"/>
          <w:sz w:val="16"/>
          <w:szCs w:val="16"/>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6"/>
          <w:szCs w:val="16"/>
          <w:i w:val="1"/>
          <w:iCs w:val="1"/>
          <w:color w:val="auto"/>
        </w:rPr>
        <w:t>VelocImmune</w:t>
      </w:r>
      <w:r>
        <w:rPr>
          <w:rFonts w:ascii="Arial" w:cs="Arial" w:eastAsia="Arial" w:hAnsi="Arial"/>
          <w:sz w:val="16"/>
          <w:szCs w:val="16"/>
          <w:color w:val="auto"/>
        </w:rPr>
        <w:t>. We continue to invest in the development of enabling technologies to assist in our efforts to identify, develop, manufacture, and commercialize new product candidates.</w:t>
      </w:r>
    </w:p>
    <w:p>
      <w:pPr>
        <w:spacing w:after="0" w:line="172" w:lineRule="exact"/>
        <w:rPr>
          <w:sz w:val="20"/>
          <w:szCs w:val="20"/>
          <w:color w:val="auto"/>
        </w:rPr>
      </w:pPr>
    </w:p>
    <w:p>
      <w:pPr>
        <w:ind w:left="240" w:right="140" w:firstLine="348"/>
        <w:spacing w:after="0" w:line="291" w:lineRule="auto"/>
        <w:rPr>
          <w:sz w:val="20"/>
          <w:szCs w:val="20"/>
          <w:color w:val="auto"/>
        </w:rPr>
      </w:pPr>
      <w:r>
        <w:rPr>
          <w:rFonts w:ascii="Arial" w:cs="Arial" w:eastAsia="Arial" w:hAnsi="Arial"/>
          <w:sz w:val="16"/>
          <w:szCs w:val="16"/>
          <w:color w:val="auto"/>
        </w:rPr>
        <w:t>We have launched a human genetics initiative via a wholly owned subsidiary, Regeneron Genetics Center LLC ("RGC"). RGC leverages de-identified clinical, genomic, and molecular data from human volunteers to identify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multiple approaches, including large population-based efforts as well as family- and founder-based approaches. RGC utilizes laboratory automation and innovative approaches to cloud computing to achieve high-quality throughput.</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240" w:firstLine="351"/>
        <w:spacing w:after="0" w:line="306" w:lineRule="auto"/>
        <w:rPr>
          <w:sz w:val="20"/>
          <w:szCs w:val="20"/>
          <w:color w:val="auto"/>
        </w:rPr>
      </w:pPr>
      <w:r>
        <w:rPr>
          <w:rFonts w:ascii="Arial" w:cs="Arial" w:eastAsia="Arial" w:hAnsi="Arial"/>
          <w:sz w:val="16"/>
          <w:szCs w:val="16"/>
          <w:color w:val="auto"/>
        </w:rPr>
        <w:t xml:space="preserve">Our principal executive offices are located at 777 Old Saw Mill River Road, Tarrytown, New York 10591, and our telephone number at that address is (914) 847-7000. Our website address is </w:t>
      </w:r>
      <w:r>
        <w:rPr>
          <w:rFonts w:ascii="Arial" w:cs="Arial" w:eastAsia="Arial" w:hAnsi="Arial"/>
          <w:sz w:val="16"/>
          <w:szCs w:val="16"/>
          <w:i w:val="1"/>
          <w:iCs w:val="1"/>
          <w:color w:val="auto"/>
        </w:rPr>
        <w:t>www.regeneron.com</w:t>
      </w:r>
      <w:r>
        <w:rPr>
          <w:rFonts w:ascii="Arial" w:cs="Arial" w:eastAsia="Arial" w:hAnsi="Arial"/>
          <w:sz w:val="16"/>
          <w:szCs w:val="16"/>
          <w:color w:val="auto"/>
        </w:rPr>
        <w:t>. The information on, or accessible through, our website is not part of this prospectus and should not be relied upon in connection with making any investment decision with respect to the securities offered by this prospectus.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44"/>
        <w:spacing w:after="0" w:line="254" w:lineRule="auto"/>
        <w:rPr>
          <w:sz w:val="20"/>
          <w:szCs w:val="20"/>
          <w:color w:val="auto"/>
        </w:rPr>
      </w:pPr>
      <w:r>
        <w:rPr>
          <w:rFonts w:ascii="Arial" w:cs="Arial" w:eastAsia="Arial" w:hAnsi="Arial"/>
          <w:sz w:val="18"/>
          <w:szCs w:val="18"/>
          <w:color w:val="auto"/>
        </w:rPr>
        <w:t>You should consider the specific risks described in our Annual Report on Form 10-K for the fiscal year ended December 31, 2017 and our Quarterly Report on Form 10-Q for the quarterly period ended September 30, 2018, the risk factors described under the caption "Risk Factors" in any applicable prospectus supplement, and any risk factors set forth in our other filings with the SEC, pursuant to Sections 13(a), 13(c), 14 or 15(d) of the Exchange Act, before making an investment decision. Each of the risks described in these documents could materially and adversely affect our business, financial condition, results of operations, and prospects, and could result in a partial or complete loss of your investment. See "Where You Can Find More Information" beginning on page 19 of this prospectus.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SECURITIES</w:t>
      </w:r>
    </w:p>
    <w:p>
      <w:pPr>
        <w:spacing w:after="0" w:line="23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This prospectus contains summary descriptions of the Common Stock, preferred stock, debt securities and warrants that we may offer and sell from time to time. These summary descriptions are not meant to be complete descriptions of each security. The particular terms of any security will be described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Our authorized capital stock consists of 320,000,000 shares of Common Stock, par value $0.001 per share, of which 106,298,574 shares were issued and outstanding as of September 30, 2018, 40,000,000 shares of Class A Stock, par value $0.001 per share, of which 1,911,354 shares were issued and outstanding as of September 30, 2018, and 30,000,000 shares of preferred stock, par value $0.01 per share, none of which were issued and outstanding as of September 30, 2018.</w:t>
      </w:r>
    </w:p>
    <w:p>
      <w:pPr>
        <w:spacing w:after="0" w:line="197"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following is a description of our capital stock and certain provisions of our certificate of incorporation, by-laws, and certain provisions of applicable law. The following is only a summary and is qualified by applicable law and by the provisions of our certificate of incorporation and by-laws, copies of which are included as exhibits to the registration statement of which this prospectus forms a part.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Class A Stock</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rights of holders of Common Stock and holders of Class A Stock are identical except for voting rights, conversion rights, and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on transferability.</w:t>
      </w:r>
    </w:p>
    <w:p>
      <w:pPr>
        <w:spacing w:after="0" w:line="186"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Class A Stock are entitled to ten votes per share and the holders of Common Stock are entitled to one vote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expressly provided by law, and subject to any voting rights provided to holders of preferred stock, holders of common shares have exclusive voting rights on all matters requiring a vote of shareholders. Except as provided by law, the holders of Class A Stock and the holders of shares of Common Stock will vote together as a single class on all matters presented to the 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198"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Transfer Restrictions.</w:t>
      </w:r>
      <w:r>
        <w:rPr>
          <w:sz w:val="20"/>
          <w:szCs w:val="20"/>
          <w:color w:val="auto"/>
        </w:rPr>
        <w:tab/>
      </w:r>
      <w:r>
        <w:rPr>
          <w:rFonts w:ascii="Arial" w:cs="Arial" w:eastAsia="Arial" w:hAnsi="Arial"/>
          <w:sz w:val="16"/>
          <w:szCs w:val="16"/>
          <w:color w:val="auto"/>
        </w:rPr>
        <w:t>Class A Stock is subject to certain limitations on transfer that do not apply to the Common Stock.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Dividends and Liquidation. </w:t>
      </w:r>
      <w:r>
        <w:rPr>
          <w:rFonts w:ascii="Arial" w:cs="Arial" w:eastAsia="Arial" w:hAnsi="Arial"/>
          <w:sz w:val="16"/>
          <w:szCs w:val="16"/>
          <w:color w:val="auto"/>
        </w:rPr>
        <w:t>Except as described in this paragraph, holders of Class A Stock and holders of our Common Stock have an equal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172"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i w:val="1"/>
          <w:iCs w:val="1"/>
          <w:color w:val="auto"/>
        </w:rPr>
        <w:t xml:space="preserve">Optional Conversion Rights. </w:t>
      </w:r>
      <w:r>
        <w:rPr>
          <w:rFonts w:ascii="Arial" w:cs="Arial" w:eastAsia="Arial" w:hAnsi="Arial"/>
          <w:sz w:val="16"/>
          <w:szCs w:val="16"/>
          <w:color w:val="auto"/>
        </w:rPr>
        <w:t>Each share of Class A Stock may, at any time and at the option of the holder, be converted into one fully paid and</w:t>
      </w:r>
      <w:r>
        <w:rPr>
          <w:rFonts w:ascii="Arial" w:cs="Arial" w:eastAsia="Arial" w:hAnsi="Arial"/>
          <w:sz w:val="16"/>
          <w:szCs w:val="16"/>
          <w:i w:val="1"/>
          <w:iCs w:val="1"/>
          <w:color w:val="auto"/>
        </w:rPr>
        <w:t xml:space="preserve"> </w:t>
      </w:r>
      <w:r>
        <w:rPr>
          <w:rFonts w:ascii="Arial" w:cs="Arial" w:eastAsia="Arial" w:hAnsi="Arial"/>
          <w:sz w:val="16"/>
          <w:szCs w:val="16"/>
          <w:color w:val="auto"/>
        </w:rPr>
        <w:t>nonassessable share of Common Stock. Upon 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our shares or securities.</w:t>
      </w:r>
    </w:p>
    <w:p>
      <w:pPr>
        <w:spacing w:after="0" w:line="16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Holders of Class A Stock and Common Stock have no preemptive rights to subscribe for any additional securities of any class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may issue and there are no redemption provisions or sinking fund provisions applicable to either such class, nor are our shares of Class A Stock or the Common Stock subject to calls or assessments.</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Nasdaq Global Select Market under the symbol "REGN." Our Class A Stock is not listed on a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w:t>
      </w:r>
    </w:p>
    <w:p>
      <w:pPr>
        <w:spacing w:after="0" w:line="186"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our Common Stock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is a description of certain general terms and provisions of our preferred stock. The particular terms of any series of preferred stock will be described in a prospectus supplement and the extent, if any, to which the general provisions set forth below may apply to the series of preferred stock so offered will be described in the prospectus supplement. The following description of the preferred stock does not purport to be complete. You should refer to the provisions of our Restated Certificate of Incorporation dated January 25, 2008, as amended ("Certificate of Incorporation").</w:t>
      </w:r>
    </w:p>
    <w:p>
      <w:pPr>
        <w:spacing w:after="0" w:line="16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Certificate of Incorporation allows us to issue up to 30,000,000 shares of preferred stock in one or more series and as may be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by our board of directors. As of September 30, 2018, no shares of our preferred stock were outstanding. Our board of directors has the authority, without shareholder consent, to establish from time to time the number of shares to be included in any series of our preferred stock, to fix the designation, powers, preference, and rights of the shares of any such series and any qualifications, limitations or restrictions thereof and to increase or decrease the number of shares of any such series without any further vote or action by the shareholders. The rights, preferences, and restrictions of the preferred stock of any series of preferred stock will be fixed by a Certificate of Amendment to our Certificate of Incorporation relating to such series. A prospectus supplement relating to such series will describe the terms of the preferred stock of the series, including the following:</w:t>
      </w:r>
    </w:p>
    <w:p>
      <w:pPr>
        <w:spacing w:after="0" w:line="185"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in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for that series by number, letter or title that shall distinguish the series from any other series of preferred stock;</w:t>
      </w:r>
    </w:p>
    <w:p>
      <w:pPr>
        <w:spacing w:after="0" w:line="22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dividend rate (or method for determining the rate) for that series and whether dividends on that series of preferred stock will be cumulative, noncumulative or partially cumulative;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liquidation preference per share of that series of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conversion or exchange provisions applicable to that series of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redemption or sinking fund provisions applicable to that series of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voting rights of that series of preferred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any other preferences or rights applicable to that series of preferred stock.</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Permanent Global Preferred Securities. </w:t>
      </w:r>
      <w:r>
        <w:rPr>
          <w:rFonts w:ascii="Arial" w:cs="Arial" w:eastAsia="Arial" w:hAnsi="Arial"/>
          <w:sz w:val="18"/>
          <w:szCs w:val="18"/>
          <w:color w:val="auto"/>
        </w:rPr>
        <w:t>A series of preferred stock may be issued in whole or in part in the form of one or more global securities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deposited with a depositary or its nominee identified in the prospectus supplement relating to such series of preferred stock. The terms of the depositary arrangement with respect to any series of preferred stock and the rights of and limitations on owners of beneficial interests in a global security representing a series of preferred stock will be described in the related prospectus supplement.</w:t>
      </w:r>
    </w:p>
    <w:p>
      <w:pPr>
        <w:spacing w:after="0" w:line="197"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each series of preferred stock will be set forth in the prospectus supplement.</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i w:val="1"/>
          <w:iCs w:val="1"/>
          <w:color w:val="auto"/>
        </w:rPr>
        <w:t xml:space="preserve">Anti-Take-Over Effects. </w:t>
      </w:r>
      <w:r>
        <w:rPr>
          <w:rFonts w:ascii="Arial" w:cs="Arial" w:eastAsia="Arial" w:hAnsi="Arial"/>
          <w:sz w:val="18"/>
          <w:szCs w:val="18"/>
          <w:color w:val="auto"/>
        </w:rPr>
        <w:t>Our board of directors may authorize, without shareholder approval, the issuance of preferred stock with voting and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of One of Our Shareholders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One of our shareholders, Sanofi, has registration rights. Under the amended and restated investor agreement, as amended (the "Investor Agreement"), between us and such shareholder, such shareholder (and certain of its permitted transferees) may request that we file registration statements under the Securities Act and, upon such request and subject to minimum size and other conditions (such as the lock-up provisions set forth in the Investor Agreement), we will be required to use our best efforts to effect any such registration. We are not required to effect more than three such registrations. We are generally obligated to bear the expenses, other than underwriting discounts and sales commissions, of all of these registrations.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the Charter and By-Laws and New York corporate law</w:t>
      </w:r>
    </w:p>
    <w:p>
      <w:pPr>
        <w:spacing w:after="0" w:line="23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For a description of anti-takeover effects of various provisions of our charter, by-laws, and the New York Business Corporation Law, please see "RISK FACTORS—Risks Related to Our Common Stock—</w:t>
      </w:r>
      <w:r>
        <w:rPr>
          <w:rFonts w:ascii="Arial" w:cs="Arial" w:eastAsia="Arial" w:hAnsi="Arial"/>
          <w:sz w:val="18"/>
          <w:szCs w:val="18"/>
          <w:i w:val="1"/>
          <w:iCs w:val="1"/>
          <w:color w:val="auto"/>
        </w:rPr>
        <w:t>The anti-takeover effects of provisions of our charter, by-laws, and of New York corporate law, as well as</w:t>
      </w:r>
      <w:r>
        <w:rPr>
          <w:rFonts w:ascii="Arial" w:cs="Arial" w:eastAsia="Arial" w:hAnsi="Arial"/>
          <w:sz w:val="18"/>
          <w:szCs w:val="18"/>
          <w:color w:val="auto"/>
        </w:rPr>
        <w:t xml:space="preserve"> </w:t>
      </w:r>
      <w:r>
        <w:rPr>
          <w:rFonts w:ascii="Arial" w:cs="Arial" w:eastAsia="Arial" w:hAnsi="Arial"/>
          <w:sz w:val="18"/>
          <w:szCs w:val="18"/>
          <w:i w:val="1"/>
          <w:iCs w:val="1"/>
          <w:color w:val="auto"/>
        </w:rPr>
        <w:t>the contractual provisions in our investor and collaboration agreements and certain provisions of our compensation plans and agreements, could deter, delay, or prevent an acquisition or other "change of control" of us and could adversely affect the price of our Common Stock</w:t>
      </w:r>
      <w:r>
        <w:rPr>
          <w:rFonts w:ascii="Arial" w:cs="Arial" w:eastAsia="Arial" w:hAnsi="Arial"/>
          <w:sz w:val="18"/>
          <w:szCs w:val="18"/>
          <w:color w:val="auto"/>
        </w:rPr>
        <w:t>" in our Quarterly Report on Form 10-Q</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quarterly period ended September 30, 2018.</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540" w:firstLine="348"/>
        <w:spacing w:after="0" w:line="331" w:lineRule="auto"/>
        <w:rPr>
          <w:sz w:val="20"/>
          <w:szCs w:val="20"/>
          <w:color w:val="auto"/>
        </w:rPr>
      </w:pPr>
      <w:r>
        <w:rPr>
          <w:rFonts w:ascii="Arial" w:cs="Arial" w:eastAsia="Arial" w:hAnsi="Arial"/>
          <w:sz w:val="16"/>
          <w:szCs w:val="16"/>
          <w:color w:val="auto"/>
        </w:rPr>
        <w:t>The following descriptions of the debt securities do not purport to be complete and are subject to and qualified in their entirety by reference to the indenture, a form of which is included as an exhibit to the registration statement of which this prospectus is a part. Any future supplemental indenture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331" w:lineRule="auto"/>
        <w:rPr>
          <w:sz w:val="20"/>
          <w:szCs w:val="20"/>
          <w:color w:val="auto"/>
        </w:rPr>
      </w:pPr>
      <w:r>
        <w:rPr>
          <w:rFonts w:ascii="Arial" w:cs="Arial" w:eastAsia="Arial" w:hAnsi="Arial"/>
          <w:sz w:val="16"/>
          <w:szCs w:val="16"/>
          <w:color w:val="auto"/>
        </w:rPr>
        <w:t>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141" w:lineRule="exact"/>
        <w:rPr>
          <w:sz w:val="20"/>
          <w:szCs w:val="20"/>
          <w:color w:val="auto"/>
        </w:rPr>
      </w:pPr>
    </w:p>
    <w:p>
      <w:pPr>
        <w:ind w:right="260" w:firstLine="348"/>
        <w:spacing w:after="0" w:line="291" w:lineRule="auto"/>
        <w:rPr>
          <w:sz w:val="20"/>
          <w:szCs w:val="20"/>
          <w:color w:val="auto"/>
        </w:rPr>
      </w:pPr>
      <w:r>
        <w:rPr>
          <w:rFonts w:ascii="Arial" w:cs="Arial" w:eastAsia="Arial" w:hAnsi="Arial"/>
          <w:sz w:val="16"/>
          <w:szCs w:val="16"/>
          <w:color w:val="auto"/>
        </w:rPr>
        <w:t>We may issue, from time to time, debt securities, in one or more series, that will consist of either our senior debt, our senior subordinated debt, our subordinated debt, or our junior subordinated debt. The debt securities we offer will be issued under an indenture between us and one or more financial institutions qualified under the Trust Indenture Act of 1939, as amended (the "Trust Indenture Act"), to act as trustee. We may appoint more than one trustee under the indenture, each with respect to one or more series of debt securities. Each such trustee shall be a corporation or banking association organized and doing business in the United States that has a combined capital and surplus of at least $50,000,000. Debt securities, whether senior, senior subordinated, subordinated, or junior subordinated, may be issued as convertible debt securities or exchangeable debt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166"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16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due at maturity, and whether the debt securities will be issued with any original issue discount;</w:t>
      </w:r>
    </w:p>
    <w:p>
      <w:pPr>
        <w:spacing w:after="0" w:line="238"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167" w:lineRule="exact"/>
        <w:rPr>
          <w:rFonts w:ascii="Arial" w:cs="Arial" w:eastAsia="Arial" w:hAnsi="Arial"/>
          <w:sz w:val="16"/>
          <w:szCs w:val="16"/>
          <w:color w:val="auto"/>
        </w:rPr>
      </w:pPr>
    </w:p>
    <w:p>
      <w:pPr>
        <w:ind w:left="1080" w:right="180" w:hanging="532"/>
        <w:spacing w:after="0" w:line="33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and terms of any guarantee of any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38" w:lineRule="exact"/>
        <w:rPr>
          <w:rFonts w:ascii="Arial" w:cs="Arial" w:eastAsia="Arial" w:hAnsi="Arial"/>
          <w:sz w:val="18"/>
          <w:szCs w:val="18"/>
          <w:color w:val="auto"/>
        </w:rPr>
      </w:pPr>
    </w:p>
    <w:p>
      <w:pPr>
        <w:ind w:left="1080" w:right="380" w:hanging="532"/>
        <w:spacing w:after="0" w:line="33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date, if any, after which, the conditions upon which, and the price at which we may, at our option, redeem the series of debt securities pursuant to any optional or provisional redemption provisions, and any other applicable terms of those redemption provisions;</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or analogous fund provisions or otherwise, to redeem, or at the holder's option to purchase, the series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indenture will restrict our ability and/or the ability of our subsidiaries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pay dividends, make distributions in respect of our capital stock and the capital stock of our subsidiaries or transfer assets;</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engage in transactions with stockholders and affiliates;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other than dollars, the currency in which the series of debt securities will be denominated; and</w:t>
      </w:r>
    </w:p>
    <w:p>
      <w:pPr>
        <w:spacing w:after="0" w:line="238" w:lineRule="exact"/>
        <w:rPr>
          <w:rFonts w:ascii="Arial" w:cs="Arial" w:eastAsia="Arial" w:hAnsi="Arial"/>
          <w:sz w:val="18"/>
          <w:szCs w:val="18"/>
          <w:color w:val="auto"/>
        </w:rPr>
      </w:pPr>
    </w:p>
    <w:p>
      <w:pPr>
        <w:ind w:left="1080" w:right="120" w:hanging="532"/>
        <w:spacing w:after="0" w:line="33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w:t>
      </w:r>
    </w:p>
    <w:p>
      <w:pPr>
        <w:sectPr>
          <w:pgSz w:w="11900" w:h="16838" w:orient="portrait"/>
          <w:cols w:equalWidth="0" w:num="1">
            <w:col w:w="11080"/>
          </w:cols>
          <w:pgMar w:left="320" w:top="131" w:right="499" w:bottom="1440" w:gutter="0" w:footer="0" w:header="0"/>
        </w:sectPr>
      </w:pP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61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those described above, and any terms which may be required by us or advisable under applicable laws or regulations or advisable in connection with the marketing of the debt securities.</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all securities of any one series need not be issued at the same time and may be issued from time to time without consent of any 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Debt Securities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Payment of the principal of, premium, if any, and interest on senior debt securities will rank on a parity with all of our other existing and future unsecured and unsubordinated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Subordinated Debt Securities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Payment of the principal of, premium, if any, and interest on senior subordinated debt securities will be junior in right of payment to the prior payment in full of all of our existing and future unsecured and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prospectus supplement limitations, if any, on issuance of additional senior debt securities or additional senior subordinated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 securities, additional senior subordinated debt securities, or additional subordinated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Debt Securities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 securities.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provisions regarding the ability of us or the holder to convert or exchange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indenture in the form initially filed as an exhibit to the registration statement of which this prospectus is a part does not contain any covenant that restricts our ability to merge or consolidate, or sell, convey, transfer or otherwise dispose of all or substantially all of our assets. However, any successor of ours or acquiror of such assets must assume all of our obligations under the indenture and the debt securities.</w:t>
      </w:r>
    </w:p>
    <w:p>
      <w:pPr>
        <w:spacing w:after="0" w:line="194"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If the debt securities are convertible for our other securities, the person with whom we consolidate or merge or to whom we sell all of our property must make provisions for the conversion of the debt securities into securities which the holders of the debt securities would have received if they had converted the debt securities before the consolidation, merger or 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the term "Event of Default," when used in the indenture in respect of a series of debt securities, means any of the following:</w:t>
      </w:r>
    </w:p>
    <w:p>
      <w:pPr>
        <w:spacing w:after="0" w:line="262" w:lineRule="exact"/>
        <w:rPr>
          <w:sz w:val="20"/>
          <w:szCs w:val="20"/>
          <w:color w:val="auto"/>
        </w:rPr>
      </w:pPr>
    </w:p>
    <w:p>
      <w:pPr>
        <w:ind w:left="1080" w:right="6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fail to pay interest when due and payable and our failure continues for 90 days and the time for payment has not been extended or deferred;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we fail to pay the principal, or premium, if any, when due and payable and the time for payment has not been extended or delayed;</w:t>
      </w:r>
    </w:p>
    <w:p>
      <w:pPr>
        <w:spacing w:after="0" w:line="275" w:lineRule="exact"/>
        <w:rPr>
          <w:rFonts w:ascii="Arial" w:cs="Arial" w:eastAsia="Arial" w:hAnsi="Arial"/>
          <w:sz w:val="16"/>
          <w:szCs w:val="16"/>
          <w:color w:val="auto"/>
        </w:rPr>
      </w:pPr>
    </w:p>
    <w:p>
      <w:pPr>
        <w:ind w:left="1080" w:right="18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contained in the debt securities or the indenture, other than a covenant specifically relating to another series of debt securities, and our failure continues for 90 days after we receive notice from the trustee or holders of at least 25% in aggregate principal amount of the outstanding debt securities of the applicable series;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of our company; or</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resolution of our board of directors or the supplemental indenture under which we issue such series of debt securities.</w:t>
      </w:r>
    </w:p>
    <w:p>
      <w:pPr>
        <w:spacing w:after="0" w:line="186"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interest, if any, of each issue of debt securities then outstanding will be due and payable without any notice or other action on the part of the trustee or any holder.</w:t>
      </w:r>
    </w:p>
    <w:p>
      <w:pPr>
        <w:spacing w:after="0" w:line="186"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w:t>
      </w:r>
    </w:p>
    <w:p>
      <w:pPr>
        <w:spacing w:after="0" w:line="19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Subject to the terms of the indenture, if an Event of Default under the indenture occurs and is continuing, the trustee will be under no obligation to exercise any of its rights or powers under the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indenture; and</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86"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 or to appoint a receiver or trustee, or to seek other remedies if:</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 and those holders have offered reasonable indemnity to the trustee to institute the proceeding as trustee; and</w:t>
      </w:r>
    </w:p>
    <w:p>
      <w:pPr>
        <w:spacing w:after="0" w:line="212" w:lineRule="exact"/>
        <w:rPr>
          <w:rFonts w:ascii="Arial" w:cs="Arial" w:eastAsia="Arial" w:hAnsi="Arial"/>
          <w:sz w:val="18"/>
          <w:szCs w:val="18"/>
          <w:color w:val="auto"/>
        </w:rPr>
      </w:pPr>
    </w:p>
    <w:p>
      <w:pPr>
        <w:ind w:left="1080" w:right="760" w:hanging="532"/>
        <w:spacing w:after="0" w:line="33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4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right="40" w:firstLine="348"/>
        <w:spacing w:after="0" w:line="369" w:lineRule="auto"/>
        <w:rPr>
          <w:sz w:val="20"/>
          <w:szCs w:val="20"/>
          <w:color w:val="auto"/>
        </w:rPr>
      </w:pPr>
      <w:r>
        <w:rPr>
          <w:rFonts w:ascii="Arial" w:cs="Arial" w:eastAsia="Arial" w:hAnsi="Arial"/>
          <w:sz w:val="15"/>
          <w:szCs w:val="15"/>
          <w:color w:val="auto"/>
        </w:rPr>
        <w:t>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w:t>
      </w:r>
    </w:p>
    <w:p>
      <w:pPr>
        <w:spacing w:after="0" w:line="11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discharge some of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20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210" w:lineRule="exact"/>
        <w:rPr>
          <w:sz w:val="20"/>
          <w:szCs w:val="20"/>
          <w:color w:val="auto"/>
        </w:rPr>
      </w:pPr>
    </w:p>
    <w:p>
      <w:pPr>
        <w:ind w:left="1080" w:right="420" w:hanging="532"/>
        <w:spacing w:after="0" w:line="33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167" w:lineRule="exact"/>
        <w:rPr>
          <w:rFonts w:ascii="Arial" w:cs="Arial" w:eastAsia="Arial" w:hAnsi="Arial"/>
          <w:sz w:val="16"/>
          <w:szCs w:val="16"/>
          <w:color w:val="auto"/>
        </w:rPr>
      </w:pPr>
    </w:p>
    <w:p>
      <w:pPr>
        <w:ind w:left="1080" w:right="140" w:hanging="532"/>
        <w:spacing w:after="0" w:line="294"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deliver to the trustee an opinion of counsel from a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69"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 Waiver</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of a series with respect to certain specific matters, including:</w:t>
      </w:r>
    </w:p>
    <w:p>
      <w:pPr>
        <w:spacing w:after="0" w:line="19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"—Consolidation, Merger or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indenture under the Trust Indenture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provide for uncertificated debt securities and to make all appropriate changes for that purpose;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9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issuance, authorization and delivery of debt securities or any series;</w:t>
      </w:r>
    </w:p>
    <w:p>
      <w:pPr>
        <w:spacing w:after="0" w:line="212" w:lineRule="exact"/>
        <w:rPr>
          <w:rFonts w:ascii="Arial" w:cs="Arial" w:eastAsia="Arial" w:hAnsi="Arial"/>
          <w:sz w:val="18"/>
          <w:szCs w:val="18"/>
          <w:color w:val="auto"/>
        </w:rPr>
      </w:pPr>
    </w:p>
    <w:p>
      <w:pPr>
        <w:jc w:val="both"/>
        <w:ind w:left="1080" w:right="12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w:t>
      </w:r>
    </w:p>
    <w:p>
      <w:pPr>
        <w:spacing w:after="0" w:line="174"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supplemental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of (including authentication and delivery on original issuance of the debt securities), the debt securities of a series (other than debt securities issued in bearer form) will be effected by the trustee with respect to that series at an office designated by the trustee in New York, New York.</w:t>
      </w:r>
    </w:p>
    <w:p>
      <w:pPr>
        <w:spacing w:after="0" w:line="17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indenture contains limitations on the right of the trustee, should it become a creditor of our company,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60"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if an Event of Default shall occur and be known to any trustee and not be cured, the trustee must use the same degree of care as a prudent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Shareholders, Officers or Directors</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 provides that neither our incorporator nor any of our past, present or future shareholders, officers or directors of our company or any successor corporation in their capacity as such shall have any individual liability for any of our obligations, covenants or agreements under the debt securities or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 without regard to conflict of law principles thereof.</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may issue warrants for the purchase of Common Stock, preferred stock, or debt securities. We may issue warrants independently or together with any offered securities. The warrants may be attached to or separate from those offered securities. We will issue the warrants under one or more warrant agreements to be entered into between us and a warrant agent to be named in the applicable prospectus supplement. The warrant agent will act solely as our agent in connection with the warrants and will not assume any obligation or relationship of agency or trust for or with any holders or beneficial owners of warrants.</w:t>
      </w:r>
    </w:p>
    <w:p>
      <w:pPr>
        <w:spacing w:after="0" w:line="15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prospectus supplement relating to any warrants that we may offer will contain the specific terms of the warrants. These terms may include the following:</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for which the warrants are exercisable;</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the warrants are to be issued and the number of warrants issued with each other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provisions for adjustment of the number or amount of securities receivable upon exercise of the warrants or the exercise price of the warrants;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or prices at which the securities purchasable upon exercise of the warrants may be purchased;</w:t>
      </w:r>
    </w:p>
    <w:p>
      <w:pPr>
        <w:spacing w:after="0" w:line="25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securities purchasable upon exercise of the warrants will be separately transferable;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maximum or minimum number of warrants that may be exercised at any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other terms of the warrants, including terms, procedures and limitations relating to the exchange and exercise of the warrants.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Each warrant will entitle the holder of the warrant to purchase for cash the amount of Common Stock, preferred stock or debt securities at the exercise price stated or determinable in the applicable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unexercised warrants will become void. Warrants may be exercised as described in the applicable prospectus supplement. When the warrant holder makes the payment and properly completes and signs the warrant certificate at the corporate trust office of the warrant agent or any other office indicated in the prospectus supplement, we will, as soon as possible, forward the Common Stock, preferred stock or debt securities that the warrant holder has purchased. If the warrant holder exercises the warrant for less than all of the warrants represented by the warrant certificate, we will issue a new warrant certificate for the remaining warrants.</w:t>
      </w:r>
    </w:p>
    <w:p>
      <w:pPr>
        <w:spacing w:after="0" w:line="17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description in the applicable prospectus supplement of any warrants we offer will not necessarily be complete and will be qualified in its entirety by reference to the applicable warrant agreement and warrant certificate, which will be filed with the SEC if we offer warrants. For more information on how you can obtain copies of any warrant certificate or warrant agreement if we offer warrants, see "Where You Can Find More Information" beginning on page 19 of this prospectus. We urge you to read the applicable warrant certificate, the applicable warrant agreement, and any applicable prospectus supplement in their entirety.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securities offered by this prospectus from time to time in one or more transactions, including without limitation:</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or through underwriters, brokers or dealers;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a combination of any of these methods.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the manner in which we may sell some or all of the securities covered by this prospectus includes, without limitation:</w:t>
      </w:r>
    </w:p>
    <w:p>
      <w:pPr>
        <w:spacing w:after="0" w:line="252" w:lineRule="exact"/>
        <w:rPr>
          <w:sz w:val="20"/>
          <w:szCs w:val="20"/>
          <w:color w:val="auto"/>
        </w:rPr>
      </w:pPr>
    </w:p>
    <w:p>
      <w:pPr>
        <w:ind w:left="1080" w:right="1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as agent, but may position or resell a portion of the block, as principal, in order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purchases by a broker-dealer, as principal, and resale by the broker-dealer for its account;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a broker solicits purchasers;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exchange for outstanding indebtedness;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also enter into hedging transactions. For example, we may:</w:t>
      </w:r>
    </w:p>
    <w:p>
      <w:pPr>
        <w:spacing w:after="0" w:line="239" w:lineRule="exact"/>
        <w:rPr>
          <w:sz w:val="20"/>
          <w:szCs w:val="20"/>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 into transactions with a broker-dealer or affiliate thereof in connection with which such broker-dealer or affiliate will engage in short sales of the Common Stock pursuant to this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prospectus, in which case such broker-dealer or affiliate may use shares of Common Stock received from us to close out its short positions;</w:t>
      </w:r>
    </w:p>
    <w:p>
      <w:pPr>
        <w:spacing w:after="0" w:line="262"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 securities short and redeliver such shares to close out our short positions;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Stock to a broker-dealer or an affiliate thereof, who will then resell or transfer the Common Stock under this prospectus; or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 affiliate thereof, who may sell the loaned shares or, in an Event of Default in the case of a pledge, sell the pledged shares pursuant to this prospectus.</w:t>
      </w:r>
    </w:p>
    <w:p>
      <w:pPr>
        <w:spacing w:after="0" w:line="18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prospectus supplement with respect to each offering of securities will state the terms of the offering of the securities, including:</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name or names of any underwriters or agents and the amounts of securities underwritten or purchased by each of them, if any;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public offering price or purchase price of the securities and the net proceeds to be received by us from the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securities exchange or markets on which the securities may be listed.</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19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prices related to the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and Agents</w:t>
      </w:r>
    </w:p>
    <w:p>
      <w:pPr>
        <w:spacing w:after="0" w:line="231" w:lineRule="exact"/>
        <w:rPr>
          <w:sz w:val="20"/>
          <w:szCs w:val="20"/>
          <w:color w:val="auto"/>
        </w:rPr>
      </w:pPr>
    </w:p>
    <w:p>
      <w:pPr>
        <w:ind w:right="120" w:firstLine="341"/>
        <w:spacing w:after="0" w:line="369" w:lineRule="auto"/>
        <w:rPr>
          <w:sz w:val="20"/>
          <w:szCs w:val="20"/>
          <w:color w:val="auto"/>
        </w:rPr>
      </w:pPr>
      <w:r>
        <w:rPr>
          <w:rFonts w:ascii="Arial" w:cs="Arial" w:eastAsia="Arial" w:hAnsi="Arial"/>
          <w:sz w:val="15"/>
          <w:szCs w:val="15"/>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 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w:t>
      </w:r>
    </w:p>
    <w:p>
      <w:pPr>
        <w:spacing w:after="0" w:line="178"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20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spacing w:after="0" w:line="169"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w:t>
      </w:r>
    </w:p>
    <w:p>
      <w:pPr>
        <w:spacing w:after="0" w:line="231"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choose to sell the offered securities directly. In this case, no underwriters or agents would be involved.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Purchasers</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may authorize agents, dealers or underwriters to solicit certain institutional investors to purchase offered securities on a delayed delivery basis pursuant to delayed delivery contracts providing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186" w:lineRule="exact"/>
        <w:rPr>
          <w:sz w:val="20"/>
          <w:szCs w:val="20"/>
          <w:color w:val="auto"/>
        </w:rPr>
      </w:pPr>
    </w:p>
    <w:p>
      <w:pPr>
        <w:ind w:right="460" w:firstLine="348"/>
        <w:spacing w:after="0" w:line="331" w:lineRule="auto"/>
        <w:rPr>
          <w:sz w:val="20"/>
          <w:szCs w:val="20"/>
          <w:color w:val="auto"/>
        </w:rPr>
      </w:pPr>
      <w:r>
        <w:rPr>
          <w:rFonts w:ascii="Arial" w:cs="Arial" w:eastAsia="Arial" w:hAnsi="Arial"/>
          <w:sz w:val="16"/>
          <w:szCs w:val="16"/>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Other Relationships</w:t>
      </w:r>
    </w:p>
    <w:p>
      <w:pPr>
        <w:spacing w:after="0" w:line="231"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Market-Making, Stabilization and Other Transactions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There is currently no market for any of the offered securities, other than the Common Stock which is listed on The Nasdaq Global Select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or warrants on any securities exchange or quotation system; any such listing with respect to any particular debt securities, preferred stock, or warrants will be described in the applicable prospectus supplement or pricing supplement, as the case may be.</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any offering of Common Stock,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spacing w:after="0" w:line="177"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cause the price of the securities to be higher than it would be in the absence of the transactions. The underwriters may, if they commence these transactions, discontinue them at any time.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Unless otherwise indicated in the applicable prospectus supplement, Skadden, Arps, Slate, Meagher &amp; Flom LLP, New York, New York will provide opinions regarding the authorization and validity of the securities. Skadden, Arps, Slate, Meagher &amp; Flom LLP may also provide opinions regarding certain other matters. Any underwriters will also be advised about legal matters by their own counsel, which will be named in the prospectus supplement.</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91">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EE"/>
          </w:rPr>
          <w:t>December 31, 2017</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380" w:firstLine="348"/>
        <w:spacing w:after="0" w:line="294"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under the Exchange Act. The SEC maintains an Internet site,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that contains reports, proxy and information statements, and other information regarding issuers that file electronically with the SEC, including Regeneron Pharmaceuticals, Inc. Our SEC filings are also available on our website at </w:t>
      </w:r>
      <w:r>
        <w:rPr>
          <w:rFonts w:ascii="Arial" w:cs="Arial" w:eastAsia="Arial" w:hAnsi="Arial"/>
          <w:sz w:val="16"/>
          <w:szCs w:val="16"/>
          <w:i w:val="1"/>
          <w:iCs w:val="1"/>
          <w:color w:val="auto"/>
        </w:rPr>
        <w:t>www.regeneron.com</w:t>
      </w:r>
      <w:r>
        <w:rPr>
          <w:rFonts w:ascii="Arial" w:cs="Arial" w:eastAsia="Arial" w:hAnsi="Arial"/>
          <w:sz w:val="16"/>
          <w:szCs w:val="16"/>
          <w:color w:val="auto"/>
        </w:rPr>
        <w:t>. Other than as specifically incorporated by reference into this prospectus, the information on, or accessible through, our website is not part of this prospectus and should not be relied upon in connection with making any investment decision with respect to the securities offered by this prospectus.</w:t>
      </w:r>
    </w:p>
    <w:p>
      <w:pPr>
        <w:spacing w:after="0" w:line="169"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SEC allows us to "incorporate by reference" information into this prospectus and any accompanying prospectus, which means that we can disclose important information to you by referring you to other documents filed separately with the SEC. The information incorporated by reference is considered part of this prospectus, and information filed with the SEC subsequent to this prospectus and prior to the termination of the particular offering referred to in such prospectus supplement will automatically be deemed to update and supersede this information. We incorporate by reference into this prospectus and any accompanying prospectus supplement the documents listed below (excluding any portions of such documents that have been "furnished" but not "filed" for purposes of the Exchange Act):</w:t>
      </w:r>
    </w:p>
    <w:p>
      <w:pPr>
        <w:spacing w:after="0" w:line="187"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0000EE"/>
        </w:rPr>
      </w:pPr>
      <w:hyperlink r:id="rId91">
        <w:r>
          <w:rPr>
            <w:rFonts w:ascii="Arial" w:cs="Arial" w:eastAsia="Arial" w:hAnsi="Arial"/>
            <w:sz w:val="18"/>
            <w:szCs w:val="18"/>
            <w:u w:val="single" w:color="auto"/>
            <w:color w:val="0000EE"/>
          </w:rPr>
          <w:t>Our Annual Report on Form 10-K for the fiscal year ended December 31, 2017, filed on February 8, 2018</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ind w:left="1080" w:right="480" w:hanging="532"/>
        <w:spacing w:after="0" w:line="268" w:lineRule="auto"/>
        <w:tabs>
          <w:tab w:leader="none" w:pos="1080" w:val="left"/>
        </w:tabs>
        <w:numPr>
          <w:ilvl w:val="0"/>
          <w:numId w:val="39"/>
        </w:numPr>
        <w:rPr>
          <w:rFonts w:ascii="Arial" w:cs="Arial" w:eastAsia="Arial" w:hAnsi="Arial"/>
          <w:sz w:val="18"/>
          <w:szCs w:val="18"/>
          <w:color w:val="0000EE"/>
        </w:rPr>
      </w:pPr>
      <w:r>
        <w:rPr>
          <w:rFonts w:ascii="Arial" w:cs="Arial" w:eastAsia="Arial" w:hAnsi="Arial"/>
          <w:sz w:val="18"/>
          <w:szCs w:val="18"/>
          <w:color w:val="auto"/>
        </w:rPr>
        <w:t xml:space="preserve">Portions of our </w:t>
      </w:r>
      <w:hyperlink r:id="rId92">
        <w:r>
          <w:rPr>
            <w:rFonts w:ascii="Arial" w:cs="Arial" w:eastAsia="Arial" w:hAnsi="Arial"/>
            <w:sz w:val="18"/>
            <w:szCs w:val="18"/>
            <w:u w:val="single" w:color="auto"/>
            <w:color w:val="0000EE"/>
          </w:rPr>
          <w:t>Definitive Proxy Statement on Schedule 14A filed on April 23,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that are incorporated by reference into Part III of our </w:t>
      </w:r>
      <w:hyperlink r:id="rId91">
        <w:r>
          <w:rPr>
            <w:rFonts w:ascii="Arial" w:cs="Arial" w:eastAsia="Arial" w:hAnsi="Arial"/>
            <w:sz w:val="18"/>
            <w:szCs w:val="18"/>
            <w:u w:val="single" w:color="auto"/>
            <w:color w:val="0000EE"/>
          </w:rPr>
          <w:t>Annual Report on Form 10-K for the fiscal year ended December 31, 2017, filed on February 8, 2018</w:t>
        </w:r>
      </w:hyperlink>
      <w:r>
        <w:rPr>
          <w:rFonts w:ascii="Arial" w:cs="Arial" w:eastAsia="Arial" w:hAnsi="Arial"/>
          <w:sz w:val="18"/>
          <w:szCs w:val="18"/>
          <w:color w:val="000000"/>
        </w:rPr>
        <w:t>.</w:t>
      </w:r>
    </w:p>
    <w:p>
      <w:pPr>
        <w:spacing w:after="0" w:line="199" w:lineRule="exact"/>
        <w:rPr>
          <w:rFonts w:ascii="Arial" w:cs="Arial" w:eastAsia="Arial" w:hAnsi="Arial"/>
          <w:sz w:val="18"/>
          <w:szCs w:val="18"/>
          <w:color w:val="0000EE"/>
        </w:rPr>
      </w:pPr>
    </w:p>
    <w:p>
      <w:pPr>
        <w:ind w:left="1080" w:right="480" w:hanging="532"/>
        <w:spacing w:after="0" w:line="331" w:lineRule="auto"/>
        <w:tabs>
          <w:tab w:leader="none" w:pos="1080" w:val="left"/>
        </w:tabs>
        <w:numPr>
          <w:ilvl w:val="0"/>
          <w:numId w:val="39"/>
        </w:numPr>
        <w:rPr>
          <w:rFonts w:ascii="Arial" w:cs="Arial" w:eastAsia="Arial" w:hAnsi="Arial"/>
          <w:sz w:val="16"/>
          <w:szCs w:val="16"/>
          <w:color w:val="0000EE"/>
        </w:rPr>
      </w:pPr>
      <w:r>
        <w:rPr>
          <w:rFonts w:ascii="Arial" w:cs="Arial" w:eastAsia="Arial" w:hAnsi="Arial"/>
          <w:sz w:val="16"/>
          <w:szCs w:val="16"/>
          <w:color w:val="auto"/>
        </w:rPr>
        <w:t xml:space="preserve">Our Quarterly Reports on Form 10-Q for the quarterly period ended </w:t>
      </w:r>
      <w:hyperlink r:id="rId93">
        <w:r>
          <w:rPr>
            <w:rFonts w:ascii="Arial" w:cs="Arial" w:eastAsia="Arial" w:hAnsi="Arial"/>
            <w:sz w:val="16"/>
            <w:szCs w:val="16"/>
            <w:u w:val="single" w:color="auto"/>
            <w:color w:val="0000EE"/>
          </w:rPr>
          <w:t>March 31, 2018</w:t>
        </w:r>
      </w:hyperlink>
      <w:r>
        <w:rPr>
          <w:rFonts w:ascii="Arial" w:cs="Arial" w:eastAsia="Arial" w:hAnsi="Arial"/>
          <w:sz w:val="16"/>
          <w:szCs w:val="16"/>
          <w:color w:val="auto"/>
        </w:rPr>
        <w:t xml:space="preserve">, filed on May 3, 2018; for the quarterly period ended </w:t>
      </w:r>
      <w:hyperlink r:id="rId94">
        <w:r>
          <w:rPr>
            <w:rFonts w:ascii="Arial" w:cs="Arial" w:eastAsia="Arial" w:hAnsi="Arial"/>
            <w:sz w:val="16"/>
            <w:szCs w:val="16"/>
            <w:u w:val="single" w:color="auto"/>
            <w:color w:val="0000EE"/>
          </w:rPr>
          <w:t>June 30, 2018</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filed on August 2, 2018; and for the quarterly period ended</w:t>
      </w:r>
      <w:r>
        <w:rPr>
          <w:rFonts w:ascii="Arial" w:cs="Arial" w:eastAsia="Arial" w:hAnsi="Arial"/>
          <w:sz w:val="16"/>
          <w:szCs w:val="16"/>
          <w:color w:val="0000EE"/>
        </w:rPr>
        <w:t xml:space="preserve"> </w:t>
      </w:r>
      <w:hyperlink r:id="rId95">
        <w:r>
          <w:rPr>
            <w:rFonts w:ascii="Arial" w:cs="Arial" w:eastAsia="Arial" w:hAnsi="Arial"/>
            <w:sz w:val="16"/>
            <w:szCs w:val="16"/>
            <w:u w:val="single" w:color="auto"/>
            <w:color w:val="0000EE"/>
          </w:rPr>
          <w:t>September 30, 2018</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filed on November 6, 2018.</w:t>
      </w:r>
    </w:p>
    <w:p>
      <w:pPr>
        <w:spacing w:after="0" w:line="154" w:lineRule="exact"/>
        <w:rPr>
          <w:rFonts w:ascii="Arial" w:cs="Arial" w:eastAsia="Arial" w:hAnsi="Arial"/>
          <w:sz w:val="16"/>
          <w:szCs w:val="16"/>
          <w:color w:val="0000EE"/>
        </w:rPr>
      </w:pPr>
    </w:p>
    <w:p>
      <w:pPr>
        <w:ind w:left="1080" w:right="1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96">
        <w:r>
          <w:rPr>
            <w:rFonts w:ascii="Arial" w:cs="Arial" w:eastAsia="Arial" w:hAnsi="Arial"/>
            <w:sz w:val="18"/>
            <w:szCs w:val="18"/>
            <w:u w:val="single" w:color="auto"/>
            <w:color w:val="0000EE"/>
          </w:rPr>
          <w:t>January 2, 2018</w:t>
        </w:r>
      </w:hyperlink>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EE"/>
          </w:rPr>
          <w:t>January 8,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(solely as to Item 1.01 thereof); </w:t>
      </w:r>
      <w:hyperlink r:id="rId98">
        <w:r>
          <w:rPr>
            <w:rFonts w:ascii="Arial" w:cs="Arial" w:eastAsia="Arial" w:hAnsi="Arial"/>
            <w:sz w:val="18"/>
            <w:szCs w:val="18"/>
            <w:u w:val="single" w:color="auto"/>
            <w:color w:val="0000EE"/>
          </w:rPr>
          <w:t>January 18, 2018</w:t>
        </w:r>
      </w:hyperlink>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EE"/>
          </w:rPr>
          <w:t>June 13, 2018</w:t>
        </w:r>
      </w:hyperlink>
      <w:r>
        <w:rPr>
          <w:rFonts w:ascii="Arial" w:cs="Arial" w:eastAsia="Arial" w:hAnsi="Arial"/>
          <w:sz w:val="18"/>
          <w:szCs w:val="18"/>
          <w:color w:val="auto"/>
        </w:rPr>
        <w:t xml:space="preserve">; and </w:t>
      </w:r>
      <w:hyperlink r:id="rId100">
        <w:r>
          <w:rPr>
            <w:rFonts w:ascii="Arial" w:cs="Arial" w:eastAsia="Arial" w:hAnsi="Arial"/>
            <w:sz w:val="18"/>
            <w:szCs w:val="18"/>
            <w:u w:val="single" w:color="auto"/>
            <w:color w:val="0000EE"/>
          </w:rPr>
          <w:t>October 12,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(solely as to Item 8.01 thereof).</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68" w:lineRule="auto"/>
        <w:tabs>
          <w:tab w:leader="none" w:pos="1080" w:val="left"/>
        </w:tabs>
        <w:numPr>
          <w:ilvl w:val="0"/>
          <w:numId w:val="40"/>
        </w:numPr>
        <w:rPr>
          <w:rFonts w:ascii="Arial" w:cs="Arial" w:eastAsia="Arial" w:hAnsi="Arial"/>
          <w:sz w:val="18"/>
          <w:szCs w:val="18"/>
          <w:color w:val="0000EE"/>
        </w:rPr>
      </w:pPr>
      <w:hyperlink r:id="rId62">
        <w:r>
          <w:rPr>
            <w:rFonts w:ascii="Arial" w:cs="Arial" w:eastAsia="Arial" w:hAnsi="Arial"/>
            <w:sz w:val="18"/>
            <w:szCs w:val="18"/>
            <w:u w:val="single" w:color="auto"/>
            <w:color w:val="0000EE"/>
          </w:rPr>
          <w:t>The description of our Common Stock set forth in a Registration Statement on Form 8-A, including any amendment or report filed for the</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purpose of updating such description (filing date October 15, 1996; Commission File No. 000-19034)</w:t>
        </w:r>
        <w:r>
          <w:rPr>
            <w:rFonts w:ascii="Arial" w:cs="Arial" w:eastAsia="Arial" w:hAnsi="Arial"/>
            <w:sz w:val="18"/>
            <w:szCs w:val="18"/>
            <w:color w:val="000000"/>
          </w:rPr>
          <w:t>.</w:t>
        </w:r>
      </w:hyperlink>
    </w:p>
    <w:p>
      <w:pPr>
        <w:spacing w:after="0" w:line="186" w:lineRule="exact"/>
        <w:rPr>
          <w:rFonts w:ascii="Arial" w:cs="Arial" w:eastAsia="Arial" w:hAnsi="Arial"/>
          <w:sz w:val="18"/>
          <w:szCs w:val="18"/>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We also incorporate by reference any future filings made with the SEC pursuant to Sections 13(a), 13(c), 14 or 15(d) of the Exchange Act between the date of this prospectus and the date all of the securities offered hereby are sold or the offering is otherwise terminated, with the exception of any information furnished under Item 2.02 and Item 7.01 of Form 8-K, which is not deemed filed and which is not incorporated by reference herein. Any such filings shall be deemed to be incorporated by reference and to be a part of this prospectus from the respective dates of filing of those documents.</w:t>
      </w:r>
    </w:p>
    <w:p>
      <w:pPr>
        <w:spacing w:after="0" w:line="166" w:lineRule="exact"/>
        <w:rPr>
          <w:rFonts w:ascii="Arial" w:cs="Arial" w:eastAsia="Arial" w:hAnsi="Arial"/>
          <w:sz w:val="18"/>
          <w:szCs w:val="18"/>
          <w:color w:val="auto"/>
        </w:rPr>
      </w:pPr>
    </w:p>
    <w:p>
      <w:pPr>
        <w:ind w:firstLine="348"/>
        <w:spacing w:after="0" w:line="259" w:lineRule="auto"/>
        <w:rPr>
          <w:sz w:val="20"/>
          <w:szCs w:val="20"/>
          <w:color w:val="auto"/>
        </w:rPr>
      </w:pPr>
      <w:r>
        <w:rPr>
          <w:rFonts w:ascii="Arial" w:cs="Arial" w:eastAsia="Arial" w:hAnsi="Arial"/>
          <w:sz w:val="18"/>
          <w:szCs w:val="18"/>
          <w:color w:val="auto"/>
        </w:rPr>
        <w:t>We will provide without charge upon written or oral request to each person, including any beneficial owner, to whom a prospectus is delivered, a copy of any and all of the documents which are incorporated by reference into this prospectus but not delivered with this prospectus (other than exhibits unless such exhibits are specifically incorporated by reference in such documents).</w:t>
      </w:r>
    </w:p>
    <w:p>
      <w:pPr>
        <w:spacing w:after="0" w:line="194" w:lineRule="exact"/>
        <w:rPr>
          <w:rFonts w:ascii="Arial" w:cs="Arial" w:eastAsia="Arial" w:hAnsi="Arial"/>
          <w:sz w:val="18"/>
          <w:szCs w:val="18"/>
          <w:color w:val="auto"/>
        </w:rPr>
      </w:pPr>
    </w:p>
    <w:p>
      <w:pPr>
        <w:ind w:left="360"/>
        <w:spacing w:after="0"/>
        <w:rPr>
          <w:sz w:val="20"/>
          <w:szCs w:val="20"/>
          <w:color w:val="auto"/>
        </w:rPr>
      </w:pPr>
      <w:r>
        <w:rPr>
          <w:rFonts w:ascii="Arial" w:cs="Arial" w:eastAsia="Arial" w:hAnsi="Arial"/>
          <w:sz w:val="18"/>
          <w:szCs w:val="18"/>
          <w:color w:val="auto"/>
        </w:rPr>
        <w:t>You may request a copy of these documents by writing or telephoning us at:</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Investor Relations Department</w:t>
      </w:r>
    </w:p>
    <w:p>
      <w:pPr>
        <w:spacing w:after="0" w:line="1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Regeneron Pharmaceuticals, Inc.</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777 Old Saw Mill River Road</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Tarrytown, New York 10591</w:t>
      </w:r>
    </w:p>
    <w:p>
      <w:pPr>
        <w:spacing w:after="0" w:line="9" w:lineRule="exact"/>
        <w:rPr>
          <w:rFonts w:ascii="Arial" w:cs="Arial" w:eastAsia="Arial" w:hAnsi="Arial"/>
          <w:sz w:val="18"/>
          <w:szCs w:val="18"/>
          <w:color w:val="auto"/>
        </w:rPr>
      </w:pPr>
    </w:p>
    <w:p>
      <w:pPr>
        <w:ind w:left="5500" w:hanging="424"/>
        <w:spacing w:after="0"/>
        <w:tabs>
          <w:tab w:leader="none" w:pos="5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847-7000</w:t>
      </w:r>
    </w:p>
    <w:p>
      <w:pPr>
        <w:spacing w:after="0" w:line="21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700"/>
        <w:spacing w:after="0"/>
        <w:rPr>
          <w:sz w:val="20"/>
          <w:szCs w:val="20"/>
          <w:color w:val="auto"/>
        </w:rPr>
      </w:pPr>
      <w:r>
        <w:rPr>
          <w:rFonts w:ascii="Arial" w:cs="Arial" w:eastAsia="Arial" w:hAnsi="Arial"/>
          <w:sz w:val="24"/>
          <w:szCs w:val="24"/>
          <w:b w:val="1"/>
          <w:bCs w:val="1"/>
          <w:color w:val="auto"/>
        </w:rPr>
        <w:t>12,771,033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160020</wp:posOffset>
            </wp:positionV>
            <wp:extent cx="3402965"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34029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2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160020</wp:posOffset>
            </wp:positionV>
            <wp:extent cx="18688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303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147955</wp:posOffset>
            </wp:positionV>
            <wp:extent cx="18688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560"/>
        <w:spacing w:after="0"/>
        <w:rPr>
          <w:sz w:val="20"/>
          <w:szCs w:val="20"/>
          <w:color w:val="auto"/>
        </w:rPr>
      </w:pPr>
      <w:r>
        <w:rPr>
          <w:rFonts w:ascii="Arial" w:cs="Arial" w:eastAsia="Arial" w:hAnsi="Arial"/>
          <w:sz w:val="18"/>
          <w:szCs w:val="18"/>
          <w:b w:val="1"/>
          <w:bCs w:val="1"/>
          <w:i w:val="1"/>
          <w:iCs w:val="1"/>
          <w:color w:val="auto"/>
        </w:rPr>
        <w:t>Co-Book-Running Managers</w:t>
      </w:r>
    </w:p>
    <w:p>
      <w:pPr>
        <w:sectPr>
          <w:pgSz w:w="11900" w:h="16838" w:orient="portrait"/>
          <w:cols w:equalWidth="0" w:num="1">
            <w:col w:w="10139"/>
          </w:cols>
          <w:pgMar w:left="320" w:top="131" w:right="1440" w:bottom="1440" w:gutter="0" w:footer="0" w:header="0"/>
        </w:sectPr>
      </w:pPr>
    </w:p>
    <w:p>
      <w:pPr>
        <w:spacing w:after="0" w:line="192" w:lineRule="exact"/>
        <w:rPr>
          <w:sz w:val="20"/>
          <w:szCs w:val="20"/>
          <w:color w:val="auto"/>
        </w:rPr>
      </w:pPr>
    </w:p>
    <w:p>
      <w:pPr>
        <w:ind w:left="2220"/>
        <w:spacing w:after="0"/>
        <w:rPr>
          <w:sz w:val="20"/>
          <w:szCs w:val="20"/>
          <w:color w:val="auto"/>
        </w:rPr>
      </w:pPr>
      <w:r>
        <w:rPr>
          <w:rFonts w:ascii="Arial" w:cs="Arial" w:eastAsia="Arial" w:hAnsi="Arial"/>
          <w:sz w:val="28"/>
          <w:szCs w:val="28"/>
          <w:b w:val="1"/>
          <w:bCs w:val="1"/>
          <w:color w:val="auto"/>
        </w:rPr>
        <w:t>BofA Securities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-1198245</wp:posOffset>
            </wp:positionH>
            <wp:positionV relativeFrom="paragraph">
              <wp:posOffset>175895</wp:posOffset>
            </wp:positionV>
            <wp:extent cx="18688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40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40"/>
        <w:spacing w:after="0"/>
        <w:rPr>
          <w:sz w:val="20"/>
          <w:szCs w:val="20"/>
          <w:color w:val="auto"/>
        </w:rPr>
      </w:pPr>
      <w:r>
        <w:rPr>
          <w:rFonts w:ascii="Arial" w:cs="Arial" w:eastAsia="Arial" w:hAnsi="Arial"/>
          <w:sz w:val="15"/>
          <w:szCs w:val="15"/>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540385</wp:posOffset>
            </wp:positionV>
            <wp:extent cx="71361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3"/>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Letter"/>
      <w:start w:val="3"/>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914"/>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3"/>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lvl w:ilvl="1">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jpe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0" Type="http://schemas.openxmlformats.org/officeDocument/2006/relationships/hyperlink" Target="http://www.sec.gov/Archives/edgar/data/872589/000153217620000008/regn-123119x10k.htm" TargetMode="External"/><Relationship Id="rId11" Type="http://schemas.openxmlformats.org/officeDocument/2006/relationships/hyperlink" Target="http://www.sec.gov/Archives/edgar/data/872589/000180422020000011/regn-033120x10q.htm" TargetMode="External"/><Relationship Id="rId60" Type="http://schemas.openxmlformats.org/officeDocument/2006/relationships/hyperlink" Target="http://www.sec.gov/Archives/edgar/data/872589/000093041320001198/c95145_def14a.htm" TargetMode="External"/><Relationship Id="rId61" Type="http://schemas.openxmlformats.org/officeDocument/2006/relationships/hyperlink" Target="http://www.sec.gov/Archives/edgar/data/872589/000093041320000983/regn-20200405.htm" TargetMode="External"/><Relationship Id="rId62" Type="http://schemas.openxmlformats.org/officeDocument/2006/relationships/hyperlink" Target="http://www.sec.gov/Archives/edgar/data/872589/0000950172-96-000641-index.html" TargetMode="External"/><Relationship Id="rId91" Type="http://schemas.openxmlformats.org/officeDocument/2006/relationships/hyperlink" Target="http://www.sec.gov/Archives/edgar/data/872589/000153217618000013/regn-123117x10k.htm" TargetMode="External"/><Relationship Id="rId92" Type="http://schemas.openxmlformats.org/officeDocument/2006/relationships/hyperlink" Target="http://www.sec.gov/Archives/edgar/data/872589/000104746918003073/a2234921zdef14a.htm" TargetMode="External"/><Relationship Id="rId93" Type="http://schemas.openxmlformats.org/officeDocument/2006/relationships/hyperlink" Target="http://www.sec.gov/Archives/edgar/data/872589/000153217618000020/regn-033118x10q.htm" TargetMode="External"/><Relationship Id="rId94" Type="http://schemas.openxmlformats.org/officeDocument/2006/relationships/hyperlink" Target="http://www.sec.gov/Archives/edgar/data/872589/000153217618000028/regn-063018x10q.htm" TargetMode="External"/><Relationship Id="rId95" Type="http://schemas.openxmlformats.org/officeDocument/2006/relationships/hyperlink" Target="http://www.sec.gov/Archives/edgar/data/872589/000153217618000036/regn-093018x10q.htm" TargetMode="External"/><Relationship Id="rId96" Type="http://schemas.openxmlformats.org/officeDocument/2006/relationships/hyperlink" Target="http://www.sec.gov/Archives/edgar/data/872589/000110465918000220/a18-2060_18k.htm" TargetMode="External"/><Relationship Id="rId97" Type="http://schemas.openxmlformats.org/officeDocument/2006/relationships/hyperlink" Target="http://www.sec.gov/Archives/edgar/data/872589/000110465918001100/a18-2403_18k.htm" TargetMode="External"/><Relationship Id="rId98" Type="http://schemas.openxmlformats.org/officeDocument/2006/relationships/hyperlink" Target="http://www.sec.gov/Archives/edgar/data/872589/000110465918002858/a18-3387_18k.htm" TargetMode="External"/><Relationship Id="rId99" Type="http://schemas.openxmlformats.org/officeDocument/2006/relationships/hyperlink" Target="http://www.sec.gov/Archives/edgar/data/872589/000110465918039843/a18-15274_18k.htm" TargetMode="External"/><Relationship Id="rId100" Type="http://schemas.openxmlformats.org/officeDocument/2006/relationships/hyperlink" Target="http://www.sec.gov/Archives/edgar/data/872589/000110465918061697/a18-36627_1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2020-05-26T05:17:54Z</dcterms:created>
  <dcterms:modified xsi:type="dcterms:W3CDTF">2020-05-26T05:17:54Z</dcterms:modified>
</cp:coreProperties>
</file>