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4"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8772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8772525"/>
                    </a:xfrm>
                    <a:prstGeom prst="rect">
                      <a:avLst/>
                    </a:prstGeom>
                    <a:noFill/>
                  </pic:spPr>
                </pic:pic>
              </a:graphicData>
            </a:graphic>
          </wp:anchor>
        </w:drawing>
      </w:r>
    </w:p>
    <w:p>
      <w:pPr>
        <w:spacing w:after="0" w:line="32" w:lineRule="exact"/>
        <w:rPr>
          <w:sz w:val="24"/>
          <w:szCs w:val="24"/>
          <w:color w:val="auto"/>
        </w:rPr>
      </w:pPr>
    </w:p>
    <w:p>
      <w:pPr>
        <w:sectPr>
          <w:pgSz w:w="11900" w:h="16863" w:orient="portrait"/>
          <w:cols w:equalWidth="0" w:num="2">
            <w:col w:w="2380" w:space="240"/>
            <w:col w:w="8800"/>
          </w:cols>
          <w:pgMar w:left="240" w:top="226" w:right="2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780" w:type="dxa"/>
            <w:vAlign w:val="bottom"/>
            <w:gridSpan w:val="7"/>
          </w:tcPr>
          <w:p>
            <w:pPr>
              <w:spacing w:after="0"/>
              <w:rPr>
                <w:sz w:val="20"/>
                <w:szCs w:val="20"/>
                <w:color w:val="auto"/>
              </w:rPr>
            </w:pPr>
            <w:r>
              <w:rPr>
                <w:rFonts w:ascii="Arial" w:cs="Arial" w:eastAsia="Arial" w:hAnsi="Arial"/>
                <w:sz w:val="14"/>
                <w:szCs w:val="14"/>
                <w:color w:val="auto"/>
                <w:w w:val="97"/>
              </w:rPr>
              <w:t xml:space="preserve">2. Issuer Name </w:t>
            </w:r>
            <w:r>
              <w:rPr>
                <w:rFonts w:ascii="Arial" w:cs="Arial" w:eastAsia="Arial" w:hAnsi="Arial"/>
                <w:sz w:val="14"/>
                <w:szCs w:val="14"/>
                <w:b w:val="1"/>
                <w:bCs w:val="1"/>
                <w:color w:val="auto"/>
                <w:w w:val="97"/>
              </w:rPr>
              <w:t>and</w:t>
            </w:r>
            <w:r>
              <w:rPr>
                <w:rFonts w:ascii="Arial" w:cs="Arial" w:eastAsia="Arial" w:hAnsi="Arial"/>
                <w:sz w:val="14"/>
                <w:szCs w:val="14"/>
                <w:color w:val="auto"/>
                <w:w w:val="97"/>
              </w:rPr>
              <w:t xml:space="preserve"> Ticker or Trading Symbol</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8"/>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gridSpan w:val="2"/>
            <w:vMerge w:val="restart"/>
          </w:tcPr>
          <w:p>
            <w:pPr>
              <w:spacing w:after="0"/>
              <w:rPr>
                <w:rFonts w:ascii="Arial" w:cs="Arial" w:eastAsia="Arial" w:hAnsi="Arial"/>
                <w:sz w:val="22"/>
                <w:szCs w:val="22"/>
                <w:color w:val="0000EE"/>
                <w:w w:val="99"/>
              </w:rPr>
            </w:pPr>
            <w:hyperlink r:id="rId12">
              <w:r>
                <w:rPr>
                  <w:rFonts w:ascii="Arial" w:cs="Arial" w:eastAsia="Arial" w:hAnsi="Arial"/>
                  <w:sz w:val="22"/>
                  <w:szCs w:val="22"/>
                  <w:color w:val="0000EE"/>
                  <w:w w:val="99"/>
                </w:rPr>
                <w:t>Sanofi</w:t>
              </w:r>
            </w:hyperlink>
          </w:p>
        </w:tc>
        <w:tc>
          <w:tcPr>
            <w:tcW w:w="8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80" w:type="dxa"/>
            <w:vAlign w:val="bottom"/>
            <w:gridSpan w:val="12"/>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1660" w:type="dxa"/>
            <w:vAlign w:val="bottom"/>
            <w:gridSpan w:val="4"/>
            <w:vMerge w:val="restart"/>
          </w:tcPr>
          <w:p>
            <w:pPr>
              <w:spacing w:after="0"/>
              <w:rPr>
                <w:sz w:val="20"/>
                <w:szCs w:val="20"/>
                <w:color w:val="auto"/>
              </w:rPr>
            </w:pPr>
            <w:r>
              <w:rPr>
                <w:rFonts w:ascii="Arial" w:cs="Arial" w:eastAsia="Arial" w:hAnsi="Arial"/>
                <w:sz w:val="14"/>
                <w:szCs w:val="14"/>
                <w:color w:val="auto"/>
              </w:rPr>
              <w:t>(Check all applicable)</w:t>
            </w:r>
          </w:p>
        </w:tc>
        <w:tc>
          <w:tcPr>
            <w:tcW w:w="3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8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4"/>
            <w:vMerge w:val="continue"/>
          </w:tcPr>
          <w:p>
            <w:pPr>
              <w:spacing w:after="0"/>
              <w:rPr>
                <w:sz w:val="4"/>
                <w:szCs w:val="4"/>
                <w:color w:val="auto"/>
              </w:rPr>
            </w:pPr>
          </w:p>
        </w:tc>
        <w:tc>
          <w:tcPr>
            <w:tcW w:w="3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8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9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4"/>
                <w:szCs w:val="14"/>
                <w:color w:val="auto"/>
              </w:rPr>
              <w:t>Director</w:t>
            </w:r>
          </w:p>
        </w:tc>
        <w:tc>
          <w:tcPr>
            <w:tcW w:w="380" w:type="dxa"/>
            <w:vAlign w:val="bottom"/>
            <w:vMerge w:val="restart"/>
          </w:tcPr>
          <w:p>
            <w:pPr>
              <w:ind w:left="180"/>
              <w:spacing w:after="0"/>
              <w:rPr>
                <w:sz w:val="20"/>
                <w:szCs w:val="20"/>
                <w:color w:val="auto"/>
              </w:rPr>
            </w:pPr>
            <w:r>
              <w:rPr>
                <w:rFonts w:ascii="Arial" w:cs="Arial" w:eastAsia="Arial" w:hAnsi="Arial"/>
                <w:sz w:val="18"/>
                <w:szCs w:val="18"/>
                <w:color w:val="0000FF"/>
              </w:rPr>
              <w:t>X</w:t>
            </w:r>
          </w:p>
        </w:tc>
        <w:tc>
          <w:tcPr>
            <w:tcW w:w="1320" w:type="dxa"/>
            <w:vAlign w:val="bottom"/>
            <w:gridSpan w:val="3"/>
            <w:vMerge w:val="restart"/>
          </w:tcPr>
          <w:p>
            <w:pPr>
              <w:ind w:left="1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8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gridSpan w:val="5"/>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INC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REGN</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4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13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40" w:type="dxa"/>
            <w:vAlign w:val="bottom"/>
            <w:gridSpan w:val="5"/>
            <w:vMerge w:val="continue"/>
          </w:tcPr>
          <w:p>
            <w:pPr>
              <w:spacing w:after="0"/>
              <w:rPr>
                <w:sz w:val="6"/>
                <w:szCs w:val="6"/>
                <w:color w:val="auto"/>
              </w:rPr>
            </w:pPr>
          </w:p>
        </w:tc>
        <w:tc>
          <w:tcPr>
            <w:tcW w:w="4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380" w:type="dxa"/>
            <w:vAlign w:val="bottom"/>
            <w:vMerge w:val="continue"/>
          </w:tcPr>
          <w:p>
            <w:pPr>
              <w:spacing w:after="0"/>
              <w:rPr>
                <w:sz w:val="6"/>
                <w:szCs w:val="6"/>
                <w:color w:val="auto"/>
              </w:rPr>
            </w:pPr>
          </w:p>
        </w:tc>
        <w:tc>
          <w:tcPr>
            <w:tcW w:w="13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gridSpan w:val="5"/>
            <w:vMerge w:val="continue"/>
          </w:tcPr>
          <w:p>
            <w:pPr>
              <w:spacing w:after="0"/>
              <w:rPr>
                <w:sz w:val="5"/>
                <w:szCs w:val="5"/>
                <w:color w:val="auto"/>
              </w:rPr>
            </w:pPr>
          </w:p>
        </w:tc>
        <w:tc>
          <w:tcPr>
            <w:tcW w:w="4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4"/>
                <w:szCs w:val="14"/>
                <w:color w:val="auto"/>
              </w:rPr>
              <w:t>Officer (give title</w:t>
            </w:r>
          </w:p>
        </w:tc>
        <w:tc>
          <w:tcPr>
            <w:tcW w:w="380" w:type="dxa"/>
            <w:vAlign w:val="bottom"/>
            <w:vMerge w:val="continue"/>
          </w:tcPr>
          <w:p>
            <w:pPr>
              <w:spacing w:after="0"/>
              <w:rPr>
                <w:sz w:val="5"/>
                <w:szCs w:val="5"/>
                <w:color w:val="auto"/>
              </w:rPr>
            </w:pPr>
          </w:p>
        </w:tc>
        <w:tc>
          <w:tcPr>
            <w:tcW w:w="1320" w:type="dxa"/>
            <w:vAlign w:val="bottom"/>
            <w:gridSpan w:val="3"/>
            <w:vMerge w:val="restart"/>
          </w:tcPr>
          <w:p>
            <w:pPr>
              <w:ind w:left="1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9A9A9A"/>
            </w:tcBorders>
          </w:tcPr>
          <w:p>
            <w:pPr>
              <w:spacing w:after="0" w:line="20" w:lineRule="exact"/>
              <w:rPr>
                <w:sz w:val="1"/>
                <w:szCs w:val="1"/>
                <w:color w:val="auto"/>
              </w:rPr>
            </w:pPr>
          </w:p>
        </w:tc>
        <w:tc>
          <w:tcPr>
            <w:tcW w:w="60" w:type="dxa"/>
            <w:vAlign w:val="bottom"/>
            <w:tcBorders>
              <w:bottom w:val="single" w:sz="8" w:color="9A9A9A"/>
            </w:tcBorders>
          </w:tcPr>
          <w:p>
            <w:pPr>
              <w:spacing w:after="0" w:line="20" w:lineRule="exact"/>
              <w:rPr>
                <w:sz w:val="1"/>
                <w:szCs w:val="1"/>
                <w:color w:val="auto"/>
              </w:rPr>
            </w:pPr>
          </w:p>
        </w:tc>
        <w:tc>
          <w:tcPr>
            <w:tcW w:w="840" w:type="dxa"/>
            <w:vAlign w:val="bottom"/>
            <w:tcBorders>
              <w:bottom w:val="single" w:sz="8" w:color="9A9A9A"/>
            </w:tcBorders>
          </w:tcPr>
          <w:p>
            <w:pPr>
              <w:spacing w:after="0" w:line="20" w:lineRule="exact"/>
              <w:rPr>
                <w:sz w:val="1"/>
                <w:szCs w:val="1"/>
                <w:color w:val="auto"/>
              </w:rPr>
            </w:pPr>
          </w:p>
        </w:tc>
        <w:tc>
          <w:tcPr>
            <w:tcW w:w="1060" w:type="dxa"/>
            <w:vAlign w:val="bottom"/>
            <w:tcBorders>
              <w:bottom w:val="single" w:sz="8" w:color="9A9A9A"/>
            </w:tcBorders>
          </w:tcPr>
          <w:p>
            <w:pPr>
              <w:spacing w:after="0" w:line="20" w:lineRule="exact"/>
              <w:rPr>
                <w:sz w:val="1"/>
                <w:szCs w:val="1"/>
                <w:color w:val="auto"/>
              </w:rPr>
            </w:pPr>
          </w:p>
        </w:tc>
        <w:tc>
          <w:tcPr>
            <w:tcW w:w="1200" w:type="dxa"/>
            <w:vAlign w:val="bottom"/>
            <w:tcBorders>
              <w:bottom w:val="single" w:sz="8" w:color="9A9A9A"/>
            </w:tcBorders>
          </w:tcPr>
          <w:p>
            <w:pPr>
              <w:spacing w:after="0" w:line="20" w:lineRule="exact"/>
              <w:rPr>
                <w:sz w:val="1"/>
                <w:szCs w:val="1"/>
                <w:color w:val="auto"/>
              </w:rPr>
            </w:pPr>
          </w:p>
        </w:tc>
        <w:tc>
          <w:tcPr>
            <w:tcW w:w="6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380" w:type="dxa"/>
            <w:vAlign w:val="bottom"/>
          </w:tcPr>
          <w:p>
            <w:pPr>
              <w:spacing w:after="0"/>
              <w:rPr>
                <w:sz w:val="11"/>
                <w:szCs w:val="11"/>
                <w:color w:val="auto"/>
              </w:rPr>
            </w:pPr>
          </w:p>
        </w:tc>
        <w:tc>
          <w:tcPr>
            <w:tcW w:w="13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spacing w:after="0" w:line="155" w:lineRule="exact"/>
              <w:rPr>
                <w:sz w:val="20"/>
                <w:szCs w:val="20"/>
                <w:color w:val="auto"/>
              </w:rPr>
            </w:pPr>
            <w:r>
              <w:rPr>
                <w:rFonts w:ascii="Arial" w:cs="Arial" w:eastAsia="Arial" w:hAnsi="Arial"/>
                <w:sz w:val="14"/>
                <w:szCs w:val="14"/>
                <w:color w:val="auto"/>
              </w:rPr>
              <w:t>(Last)</w:t>
            </w:r>
          </w:p>
        </w:tc>
        <w:tc>
          <w:tcPr>
            <w:tcW w:w="1900" w:type="dxa"/>
            <w:vAlign w:val="bottom"/>
            <w:gridSpan w:val="2"/>
          </w:tcPr>
          <w:p>
            <w:pPr>
              <w:ind w:left="640"/>
              <w:spacing w:after="0" w:line="155" w:lineRule="exact"/>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line="155" w:lineRule="exact"/>
              <w:rPr>
                <w:sz w:val="20"/>
                <w:szCs w:val="20"/>
                <w:color w:val="auto"/>
              </w:rPr>
            </w:pPr>
            <w:r>
              <w:rPr>
                <w:rFonts w:ascii="Arial" w:cs="Arial" w:eastAsia="Arial" w:hAnsi="Arial"/>
                <w:sz w:val="14"/>
                <w:szCs w:val="14"/>
                <w:color w:val="auto"/>
              </w:rPr>
              <w:t>(Middle)</w:t>
            </w:r>
          </w:p>
        </w:tc>
        <w:tc>
          <w:tcPr>
            <w:tcW w:w="80" w:type="dxa"/>
            <w:vAlign w:val="bottom"/>
          </w:tcPr>
          <w:p>
            <w:pPr>
              <w:spacing w:after="0"/>
              <w:rPr>
                <w:sz w:val="13"/>
                <w:szCs w:val="13"/>
                <w:color w:val="auto"/>
              </w:rPr>
            </w:pPr>
          </w:p>
        </w:tc>
        <w:tc>
          <w:tcPr>
            <w:tcW w:w="80" w:type="dxa"/>
            <w:vAlign w:val="bottom"/>
            <w:tcBorders>
              <w:top w:val="single" w:sz="8" w:color="2C2C2C"/>
            </w:tcBorders>
          </w:tcPr>
          <w:p>
            <w:pPr>
              <w:spacing w:after="0"/>
              <w:rPr>
                <w:sz w:val="13"/>
                <w:szCs w:val="13"/>
                <w:color w:val="auto"/>
              </w:rPr>
            </w:pPr>
          </w:p>
        </w:tc>
        <w:tc>
          <w:tcPr>
            <w:tcW w:w="2920" w:type="dxa"/>
            <w:vAlign w:val="bottom"/>
            <w:tcBorders>
              <w:top w:val="single" w:sz="8" w:color="2C2C2C"/>
            </w:tcBorders>
            <w:gridSpan w:val="8"/>
            <w:vMerge w:val="restart"/>
          </w:tcPr>
          <w:p>
            <w:pPr>
              <w:spacing w:after="0"/>
              <w:rPr>
                <w:sz w:val="20"/>
                <w:szCs w:val="20"/>
                <w:color w:val="auto"/>
              </w:rPr>
            </w:pPr>
            <w:r>
              <w:rPr>
                <w:rFonts w:ascii="Arial" w:cs="Arial" w:eastAsia="Arial" w:hAnsi="Arial"/>
                <w:sz w:val="14"/>
                <w:szCs w:val="14"/>
                <w:color w:val="auto"/>
                <w:w w:val="95"/>
              </w:rPr>
              <w:t>3. Date of Earliest Transaction (Month/Day/Year)</w:t>
            </w:r>
          </w:p>
        </w:tc>
        <w:tc>
          <w:tcPr>
            <w:tcW w:w="380" w:type="dxa"/>
            <w:vAlign w:val="bottom"/>
            <w:tcBorders>
              <w:top w:val="single" w:sz="8" w:color="2C2C2C"/>
            </w:tcBorders>
          </w:tcPr>
          <w:p>
            <w:pPr>
              <w:spacing w:after="0"/>
              <w:rPr>
                <w:sz w:val="13"/>
                <w:szCs w:val="13"/>
                <w:color w:val="auto"/>
              </w:rPr>
            </w:pPr>
          </w:p>
        </w:tc>
        <w:tc>
          <w:tcPr>
            <w:tcW w:w="160" w:type="dxa"/>
            <w:vAlign w:val="bottom"/>
            <w:tcBorders>
              <w:top w:val="single" w:sz="8" w:color="2C2C2C"/>
            </w:tcBorders>
          </w:tcPr>
          <w:p>
            <w:pPr>
              <w:spacing w:after="0"/>
              <w:rPr>
                <w:sz w:val="13"/>
                <w:szCs w:val="13"/>
                <w:color w:val="auto"/>
              </w:rPr>
            </w:pPr>
          </w:p>
        </w:tc>
        <w:tc>
          <w:tcPr>
            <w:tcW w:w="440" w:type="dxa"/>
            <w:vAlign w:val="bottom"/>
            <w:tcBorders>
              <w:top w:val="single" w:sz="8" w:color="2C2C2C"/>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gridSpan w:val="2"/>
          </w:tcPr>
          <w:p>
            <w:pPr>
              <w:ind w:left="80"/>
              <w:spacing w:after="0" w:line="115" w:lineRule="exact"/>
              <w:rPr>
                <w:sz w:val="20"/>
                <w:szCs w:val="20"/>
                <w:color w:val="auto"/>
              </w:rPr>
            </w:pPr>
            <w:r>
              <w:rPr>
                <w:rFonts w:ascii="Arial" w:cs="Arial" w:eastAsia="Arial" w:hAnsi="Arial"/>
                <w:sz w:val="12"/>
                <w:szCs w:val="12"/>
                <w:color w:val="auto"/>
              </w:rPr>
              <w:t>below)</w:t>
            </w:r>
          </w:p>
        </w:tc>
        <w:tc>
          <w:tcPr>
            <w:tcW w:w="380" w:type="dxa"/>
            <w:vAlign w:val="bottom"/>
          </w:tcPr>
          <w:p>
            <w:pPr>
              <w:spacing w:after="0"/>
              <w:rPr>
                <w:sz w:val="13"/>
                <w:szCs w:val="13"/>
                <w:color w:val="auto"/>
              </w:rPr>
            </w:pPr>
          </w:p>
        </w:tc>
        <w:tc>
          <w:tcPr>
            <w:tcW w:w="560" w:type="dxa"/>
            <w:vAlign w:val="bottom"/>
          </w:tcPr>
          <w:p>
            <w:pPr>
              <w:ind w:left="140"/>
              <w:spacing w:after="0" w:line="115" w:lineRule="exact"/>
              <w:rPr>
                <w:sz w:val="20"/>
                <w:szCs w:val="20"/>
                <w:color w:val="auto"/>
              </w:rPr>
            </w:pPr>
            <w:r>
              <w:rPr>
                <w:rFonts w:ascii="Arial" w:cs="Arial" w:eastAsia="Arial" w:hAnsi="Arial"/>
                <w:sz w:val="12"/>
                <w:szCs w:val="12"/>
                <w:color w:val="auto"/>
              </w:rPr>
              <w:t>below)</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920" w:type="dxa"/>
            <w:vAlign w:val="bottom"/>
            <w:gridSpan w:val="8"/>
            <w:vMerge w:val="continue"/>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40" w:type="dxa"/>
            <w:vAlign w:val="bottom"/>
            <w:gridSpan w:val="4"/>
          </w:tcPr>
          <w:p>
            <w:pPr>
              <w:spacing w:after="0"/>
              <w:rPr>
                <w:sz w:val="20"/>
                <w:szCs w:val="20"/>
                <w:color w:val="auto"/>
              </w:rPr>
            </w:pPr>
            <w:r>
              <w:rPr>
                <w:rFonts w:ascii="Arial" w:cs="Arial" w:eastAsia="Arial" w:hAnsi="Arial"/>
                <w:sz w:val="18"/>
                <w:szCs w:val="18"/>
                <w:color w:val="0000FF"/>
              </w:rPr>
              <w:t>54, RUE LA BOETIE</w:t>
            </w:r>
          </w:p>
        </w:tc>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0" w:type="dxa"/>
            <w:vAlign w:val="bottom"/>
            <w:gridSpan w:val="5"/>
          </w:tcPr>
          <w:p>
            <w:pPr>
              <w:ind w:left="160"/>
              <w:spacing w:after="0"/>
              <w:rPr>
                <w:sz w:val="20"/>
                <w:szCs w:val="20"/>
                <w:color w:val="auto"/>
              </w:rPr>
            </w:pPr>
            <w:r>
              <w:rPr>
                <w:rFonts w:ascii="Arial" w:cs="Arial" w:eastAsia="Arial" w:hAnsi="Arial"/>
                <w:sz w:val="18"/>
                <w:szCs w:val="18"/>
                <w:color w:val="0000FF"/>
              </w:rPr>
              <w:t>10/15/2014</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gridSpan w:val="2"/>
          </w:tcPr>
          <w:p>
            <w:pPr>
              <w:spacing w:after="0"/>
              <w:rPr>
                <w:sz w:val="9"/>
                <w:szCs w:val="9"/>
                <w:color w:val="auto"/>
              </w:rPr>
            </w:pPr>
          </w:p>
        </w:tc>
        <w:tc>
          <w:tcPr>
            <w:tcW w:w="2420" w:type="dxa"/>
            <w:vAlign w:val="bottom"/>
            <w:tcBorders>
              <w:bottom w:val="single" w:sz="8" w:color="2C2C2C"/>
            </w:tcBorders>
            <w:gridSpan w:val="7"/>
          </w:tcPr>
          <w:p>
            <w:pPr>
              <w:spacing w:after="0"/>
              <w:rPr>
                <w:sz w:val="9"/>
                <w:szCs w:val="9"/>
                <w:color w:val="auto"/>
              </w:rPr>
            </w:pPr>
          </w:p>
        </w:tc>
        <w:tc>
          <w:tcPr>
            <w:tcW w:w="520" w:type="dxa"/>
            <w:vAlign w:val="bottom"/>
            <w:tcBorders>
              <w:bottom w:val="single" w:sz="8" w:color="2C2C2C"/>
            </w:tcBorders>
            <w:gridSpan w:val="2"/>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3240" w:type="dxa"/>
            <w:vAlign w:val="bottom"/>
            <w:tcBorders>
              <w:bottom w:val="single" w:sz="8" w:color="2C2C2C"/>
            </w:tcBorders>
            <w:gridSpan w:val="6"/>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980" w:type="dxa"/>
            <w:vAlign w:val="bottom"/>
            <w:gridSpan w:val="12"/>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3360" w:type="dxa"/>
            <w:vAlign w:val="bottom"/>
            <w:gridSpan w:val="8"/>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980" w:type="dxa"/>
            <w:vAlign w:val="bottom"/>
            <w:gridSpan w:val="12"/>
            <w:vMerge w:val="continue"/>
          </w:tcPr>
          <w:p>
            <w:pPr>
              <w:spacing w:after="0"/>
              <w:rPr>
                <w:sz w:val="8"/>
                <w:szCs w:val="8"/>
                <w:color w:val="auto"/>
              </w:rPr>
            </w:pPr>
          </w:p>
        </w:tc>
        <w:tc>
          <w:tcPr>
            <w:tcW w:w="33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gridSpan w:val="2"/>
          </w:tcPr>
          <w:p>
            <w:pPr>
              <w:spacing w:after="0"/>
              <w:rPr>
                <w:sz w:val="20"/>
                <w:szCs w:val="20"/>
                <w:color w:val="auto"/>
              </w:rPr>
            </w:pPr>
            <w:r>
              <w:rPr>
                <w:rFonts w:ascii="Arial" w:cs="Arial" w:eastAsia="Arial" w:hAnsi="Arial"/>
                <w:sz w:val="14"/>
                <w:szCs w:val="14"/>
                <w:color w:val="auto"/>
              </w:rPr>
              <w:t>Line)</w:t>
            </w: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0000FF"/>
              </w:rPr>
              <w:t>PARIS</w:t>
            </w:r>
          </w:p>
        </w:tc>
        <w:tc>
          <w:tcPr>
            <w:tcW w:w="840" w:type="dxa"/>
            <w:vAlign w:val="bottom"/>
          </w:tcPr>
          <w:p>
            <w:pPr>
              <w:ind w:left="640"/>
              <w:spacing w:after="0"/>
              <w:rPr>
                <w:sz w:val="20"/>
                <w:szCs w:val="20"/>
                <w:color w:val="auto"/>
              </w:rPr>
            </w:pPr>
            <w:r>
              <w:rPr>
                <w:rFonts w:ascii="Arial" w:cs="Arial" w:eastAsia="Arial" w:hAnsi="Arial"/>
                <w:sz w:val="18"/>
                <w:szCs w:val="18"/>
                <w:color w:val="0000FF"/>
              </w:rPr>
              <w:t>I0</w:t>
            </w:r>
          </w:p>
        </w:tc>
        <w:tc>
          <w:tcPr>
            <w:tcW w:w="106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75008</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60" w:type="dxa"/>
            <w:vAlign w:val="bottom"/>
            <w:gridSpan w:val="7"/>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900" w:type="dxa"/>
            <w:vAlign w:val="bottom"/>
            <w:gridSpan w:val="6"/>
          </w:tcPr>
          <w:p>
            <w:pPr>
              <w:ind w:left="10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gridSpan w:val="2"/>
          </w:tcPr>
          <w:p>
            <w:pPr>
              <w:ind w:left="100"/>
              <w:spacing w:after="0"/>
              <w:rPr>
                <w:sz w:val="20"/>
                <w:szCs w:val="20"/>
                <w:color w:val="auto"/>
              </w:rPr>
            </w:pPr>
            <w:r>
              <w:rPr>
                <w:rFonts w:ascii="Arial" w:cs="Arial" w:eastAsia="Arial" w:hAnsi="Arial"/>
                <w:sz w:val="14"/>
                <w:szCs w:val="14"/>
                <w:color w:val="auto"/>
              </w:rPr>
              <w:t>Person</w:t>
            </w:r>
          </w:p>
        </w:tc>
        <w:tc>
          <w:tcPr>
            <w:tcW w:w="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900" w:type="dxa"/>
            <w:vAlign w:val="bottom"/>
            <w:gridSpan w:val="2"/>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gridSpan w:val="2"/>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gridSpan w:val="2"/>
          </w:tcPr>
          <w:p>
            <w:pPr>
              <w:spacing w:after="0"/>
              <w:rPr>
                <w:sz w:val="11"/>
                <w:szCs w:val="11"/>
                <w:color w:val="auto"/>
              </w:rPr>
            </w:pPr>
          </w:p>
        </w:tc>
        <w:tc>
          <w:tcPr>
            <w:tcW w:w="2420" w:type="dxa"/>
            <w:vAlign w:val="bottom"/>
            <w:tcBorders>
              <w:bottom w:val="single" w:sz="8" w:color="2C2C2C"/>
            </w:tcBorders>
            <w:gridSpan w:val="7"/>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60" w:type="dxa"/>
            <w:vAlign w:val="bottom"/>
            <w:tcBorders>
              <w:bottom w:val="single" w:sz="8" w:color="2C2C2C"/>
            </w:tcBorders>
            <w:gridSpan w:val="3"/>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8120" w:type="dxa"/>
            <w:vAlign w:val="bottom"/>
            <w:tcBorders>
              <w:top w:val="single" w:sz="8" w:color="2C2C2C"/>
            </w:tcBorders>
            <w:gridSpan w:val="21"/>
          </w:tcPr>
          <w:p>
            <w:pPr>
              <w:jc w:val="center"/>
              <w:ind w:left="2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8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gridSpan w:val="3"/>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260" w:type="dxa"/>
            <w:vAlign w:val="bottom"/>
            <w:gridSpan w:val="2"/>
          </w:tcPr>
          <w:p>
            <w:pPr>
              <w:ind w:left="26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5"/>
                <w:szCs w:val="15"/>
                <w:color w:val="auto"/>
              </w:rPr>
            </w:pPr>
          </w:p>
        </w:tc>
        <w:tc>
          <w:tcPr>
            <w:tcW w:w="2580" w:type="dxa"/>
            <w:vAlign w:val="bottom"/>
            <w:gridSpan w:val="8"/>
          </w:tcPr>
          <w:p>
            <w:pPr>
              <w:ind w:left="60"/>
              <w:spacing w:after="0"/>
              <w:rPr>
                <w:sz w:val="20"/>
                <w:szCs w:val="20"/>
                <w:color w:val="auto"/>
              </w:rPr>
            </w:pPr>
            <w:r>
              <w:rPr>
                <w:rFonts w:ascii="Arial" w:cs="Arial" w:eastAsia="Arial" w:hAnsi="Arial"/>
                <w:sz w:val="12"/>
                <w:szCs w:val="12"/>
                <w:b w:val="1"/>
                <w:bCs w:val="1"/>
                <w:color w:val="auto"/>
              </w:rPr>
              <w:t>4. Securities Acquired (A) or Disposed Of</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6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1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14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 (Instr. 3, 4 and 5)</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60" w:type="dxa"/>
            <w:vAlign w:val="bottom"/>
            <w:gridSpan w:val="2"/>
          </w:tcPr>
          <w:p>
            <w:pPr>
              <w:jc w:val="center"/>
              <w:ind w:left="182"/>
              <w:spacing w:after="0" w:line="135"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Code (Instr.</w:t>
            </w: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3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380" w:type="dxa"/>
            <w:vAlign w:val="bottom"/>
          </w:tcPr>
          <w:p>
            <w:pPr>
              <w:spacing w:after="0"/>
              <w:rPr>
                <w:sz w:val="6"/>
                <w:szCs w:val="6"/>
                <w:color w:val="auto"/>
              </w:rPr>
            </w:pPr>
          </w:p>
        </w:tc>
        <w:tc>
          <w:tcPr>
            <w:tcW w:w="5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3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vMerge w:val="restart"/>
          </w:tcPr>
          <w:p>
            <w:pPr>
              <w:ind w:left="4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9"/>
              </w:rPr>
              <w:t>V</w:t>
            </w:r>
          </w:p>
        </w:tc>
        <w:tc>
          <w:tcPr>
            <w:tcW w:w="9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gridSpan w:val="2"/>
          </w:tcPr>
          <w:p>
            <w:pPr>
              <w:jc w:val="center"/>
              <w:ind w:right="23"/>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5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920" w:type="dxa"/>
            <w:vAlign w:val="bottom"/>
          </w:tcPr>
          <w:p>
            <w:pPr>
              <w:spacing w:after="0"/>
              <w:rPr>
                <w:sz w:val="5"/>
                <w:szCs w:val="5"/>
                <w:color w:val="auto"/>
              </w:rPr>
            </w:pPr>
          </w:p>
        </w:tc>
        <w:tc>
          <w:tcPr>
            <w:tcW w:w="5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8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60" w:type="dxa"/>
            <w:vAlign w:val="bottom"/>
          </w:tcPr>
          <w:p>
            <w:pPr>
              <w:spacing w:after="0"/>
              <w:rPr>
                <w:sz w:val="22"/>
                <w:szCs w:val="22"/>
                <w:color w:val="auto"/>
              </w:rPr>
            </w:pPr>
          </w:p>
        </w:tc>
        <w:tc>
          <w:tcPr>
            <w:tcW w:w="1200" w:type="dxa"/>
            <w:vAlign w:val="bottom"/>
            <w:vMerge w:val="restart"/>
          </w:tcPr>
          <w:p>
            <w:pPr>
              <w:jc w:val="center"/>
              <w:ind w:left="242"/>
              <w:spacing w:after="0"/>
              <w:rPr>
                <w:sz w:val="20"/>
                <w:szCs w:val="20"/>
                <w:color w:val="auto"/>
              </w:rPr>
            </w:pPr>
            <w:r>
              <w:rPr>
                <w:rFonts w:ascii="Arial" w:cs="Arial" w:eastAsia="Arial" w:hAnsi="Arial"/>
                <w:sz w:val="18"/>
                <w:szCs w:val="18"/>
                <w:color w:val="0000FF"/>
                <w:w w:val="88"/>
              </w:rPr>
              <w:t>10/15/2014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5,739</w:t>
            </w:r>
            <w:r>
              <w:rPr>
                <w:rFonts w:ascii="Arial" w:cs="Arial" w:eastAsia="Arial" w:hAnsi="Arial"/>
                <w:sz w:val="11"/>
                <w:szCs w:val="11"/>
                <w:color w:val="008000"/>
                <w:w w:val="77"/>
              </w:rPr>
              <w:t>(1)(2)</w:t>
            </w:r>
          </w:p>
        </w:tc>
        <w:tc>
          <w:tcPr>
            <w:tcW w:w="140" w:type="dxa"/>
            <w:vAlign w:val="bottom"/>
          </w:tcPr>
          <w:p>
            <w:pPr>
              <w:spacing w:after="0"/>
              <w:rPr>
                <w:sz w:val="22"/>
                <w:szCs w:val="22"/>
                <w:color w:val="auto"/>
              </w:rPr>
            </w:pPr>
          </w:p>
        </w:tc>
        <w:tc>
          <w:tcPr>
            <w:tcW w:w="380" w:type="dxa"/>
            <w:vAlign w:val="bottom"/>
            <w:vMerge w:val="restart"/>
          </w:tcPr>
          <w:p>
            <w:pPr>
              <w:jc w:val="center"/>
              <w:ind w:right="143"/>
              <w:spacing w:after="0"/>
              <w:rPr>
                <w:sz w:val="20"/>
                <w:szCs w:val="20"/>
                <w:color w:val="auto"/>
              </w:rPr>
            </w:pPr>
            <w:r>
              <w:rPr>
                <w:rFonts w:ascii="Arial" w:cs="Arial" w:eastAsia="Arial" w:hAnsi="Arial"/>
                <w:sz w:val="18"/>
                <w:szCs w:val="18"/>
                <w:color w:val="0000FF"/>
                <w:w w:val="99"/>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82"/>
              </w:rPr>
              <w:t>$</w:t>
            </w:r>
            <w:r>
              <w:rPr>
                <w:rFonts w:ascii="Arial" w:cs="Arial" w:eastAsia="Arial" w:hAnsi="Arial"/>
                <w:sz w:val="18"/>
                <w:szCs w:val="18"/>
                <w:color w:val="0000FF"/>
                <w:w w:val="82"/>
              </w:rPr>
              <w:t>323.896</w:t>
            </w:r>
            <w:r>
              <w:rPr>
                <w:rFonts w:ascii="Arial" w:cs="Arial" w:eastAsia="Arial" w:hAnsi="Arial"/>
                <w:sz w:val="22"/>
                <w:szCs w:val="22"/>
                <w:color w:val="008000"/>
                <w:w w:val="82"/>
                <w:vertAlign w:val="superscript"/>
              </w:rPr>
              <w:t>(1)(3)</w:t>
            </w:r>
          </w:p>
        </w:tc>
        <w:tc>
          <w:tcPr>
            <w:tcW w:w="120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22,382,929</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8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60" w:type="dxa"/>
            <w:vAlign w:val="bottom"/>
          </w:tcPr>
          <w:p>
            <w:pPr>
              <w:spacing w:after="0"/>
              <w:rPr>
                <w:sz w:val="22"/>
                <w:szCs w:val="22"/>
                <w:color w:val="auto"/>
              </w:rPr>
            </w:pPr>
          </w:p>
        </w:tc>
        <w:tc>
          <w:tcPr>
            <w:tcW w:w="1200" w:type="dxa"/>
            <w:vAlign w:val="bottom"/>
            <w:vMerge w:val="restart"/>
          </w:tcPr>
          <w:p>
            <w:pPr>
              <w:jc w:val="center"/>
              <w:ind w:left="242"/>
              <w:spacing w:after="0"/>
              <w:rPr>
                <w:sz w:val="20"/>
                <w:szCs w:val="20"/>
                <w:color w:val="auto"/>
              </w:rPr>
            </w:pPr>
            <w:r>
              <w:rPr>
                <w:rFonts w:ascii="Arial" w:cs="Arial" w:eastAsia="Arial" w:hAnsi="Arial"/>
                <w:sz w:val="18"/>
                <w:szCs w:val="18"/>
                <w:color w:val="0000FF"/>
                <w:w w:val="88"/>
              </w:rPr>
              <w:t>10/15/2014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13,876</w:t>
            </w:r>
            <w:r>
              <w:rPr>
                <w:rFonts w:ascii="Arial" w:cs="Arial" w:eastAsia="Arial" w:hAnsi="Arial"/>
                <w:sz w:val="22"/>
                <w:szCs w:val="22"/>
                <w:color w:val="008000"/>
                <w:w w:val="81"/>
                <w:vertAlign w:val="superscript"/>
              </w:rPr>
              <w:t>(1)(2)</w:t>
            </w:r>
          </w:p>
        </w:tc>
        <w:tc>
          <w:tcPr>
            <w:tcW w:w="140" w:type="dxa"/>
            <w:vAlign w:val="bottom"/>
          </w:tcPr>
          <w:p>
            <w:pPr>
              <w:spacing w:after="0"/>
              <w:rPr>
                <w:sz w:val="22"/>
                <w:szCs w:val="22"/>
                <w:color w:val="auto"/>
              </w:rPr>
            </w:pPr>
          </w:p>
        </w:tc>
        <w:tc>
          <w:tcPr>
            <w:tcW w:w="380" w:type="dxa"/>
            <w:vAlign w:val="bottom"/>
            <w:vMerge w:val="restart"/>
          </w:tcPr>
          <w:p>
            <w:pPr>
              <w:jc w:val="center"/>
              <w:ind w:right="143"/>
              <w:spacing w:after="0"/>
              <w:rPr>
                <w:sz w:val="20"/>
                <w:szCs w:val="20"/>
                <w:color w:val="auto"/>
              </w:rPr>
            </w:pPr>
            <w:r>
              <w:rPr>
                <w:rFonts w:ascii="Arial" w:cs="Arial" w:eastAsia="Arial" w:hAnsi="Arial"/>
                <w:sz w:val="18"/>
                <w:szCs w:val="18"/>
                <w:color w:val="0000FF"/>
                <w:w w:val="99"/>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324.9268</w:t>
            </w:r>
            <w:r>
              <w:rPr>
                <w:rFonts w:ascii="Arial" w:cs="Arial" w:eastAsia="Arial" w:hAnsi="Arial"/>
                <w:sz w:val="22"/>
                <w:szCs w:val="22"/>
                <w:color w:val="008000"/>
                <w:w w:val="84"/>
                <w:vertAlign w:val="superscript"/>
              </w:rPr>
              <w:t>(1)(5)</w:t>
            </w:r>
          </w:p>
        </w:tc>
        <w:tc>
          <w:tcPr>
            <w:tcW w:w="120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22,396,805</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8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60" w:type="dxa"/>
            <w:vAlign w:val="bottom"/>
          </w:tcPr>
          <w:p>
            <w:pPr>
              <w:spacing w:after="0"/>
              <w:rPr>
                <w:sz w:val="22"/>
                <w:szCs w:val="22"/>
                <w:color w:val="auto"/>
              </w:rPr>
            </w:pPr>
          </w:p>
        </w:tc>
        <w:tc>
          <w:tcPr>
            <w:tcW w:w="1200" w:type="dxa"/>
            <w:vAlign w:val="bottom"/>
            <w:vMerge w:val="restart"/>
          </w:tcPr>
          <w:p>
            <w:pPr>
              <w:jc w:val="center"/>
              <w:ind w:left="242"/>
              <w:spacing w:after="0"/>
              <w:rPr>
                <w:sz w:val="20"/>
                <w:szCs w:val="20"/>
                <w:color w:val="auto"/>
              </w:rPr>
            </w:pPr>
            <w:r>
              <w:rPr>
                <w:rFonts w:ascii="Arial" w:cs="Arial" w:eastAsia="Arial" w:hAnsi="Arial"/>
                <w:sz w:val="18"/>
                <w:szCs w:val="18"/>
                <w:color w:val="0000FF"/>
                <w:w w:val="88"/>
              </w:rPr>
              <w:t>10/15/2014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28,003</w:t>
            </w:r>
            <w:r>
              <w:rPr>
                <w:rFonts w:ascii="Arial" w:cs="Arial" w:eastAsia="Arial" w:hAnsi="Arial"/>
                <w:sz w:val="22"/>
                <w:szCs w:val="22"/>
                <w:color w:val="008000"/>
                <w:w w:val="81"/>
                <w:vertAlign w:val="superscript"/>
              </w:rPr>
              <w:t>(1)(2)</w:t>
            </w:r>
          </w:p>
        </w:tc>
        <w:tc>
          <w:tcPr>
            <w:tcW w:w="140" w:type="dxa"/>
            <w:vAlign w:val="bottom"/>
          </w:tcPr>
          <w:p>
            <w:pPr>
              <w:spacing w:after="0"/>
              <w:rPr>
                <w:sz w:val="22"/>
                <w:szCs w:val="22"/>
                <w:color w:val="auto"/>
              </w:rPr>
            </w:pPr>
          </w:p>
        </w:tc>
        <w:tc>
          <w:tcPr>
            <w:tcW w:w="380" w:type="dxa"/>
            <w:vAlign w:val="bottom"/>
            <w:vMerge w:val="restart"/>
          </w:tcPr>
          <w:p>
            <w:pPr>
              <w:jc w:val="center"/>
              <w:ind w:right="143"/>
              <w:spacing w:after="0"/>
              <w:rPr>
                <w:sz w:val="20"/>
                <w:szCs w:val="20"/>
                <w:color w:val="auto"/>
              </w:rPr>
            </w:pPr>
            <w:r>
              <w:rPr>
                <w:rFonts w:ascii="Arial" w:cs="Arial" w:eastAsia="Arial" w:hAnsi="Arial"/>
                <w:sz w:val="18"/>
                <w:szCs w:val="18"/>
                <w:color w:val="0000FF"/>
                <w:w w:val="99"/>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325.6033</w:t>
            </w:r>
            <w:r>
              <w:rPr>
                <w:rFonts w:ascii="Arial" w:cs="Arial" w:eastAsia="Arial" w:hAnsi="Arial"/>
                <w:sz w:val="22"/>
                <w:szCs w:val="22"/>
                <w:color w:val="008000"/>
                <w:w w:val="84"/>
                <w:vertAlign w:val="superscript"/>
              </w:rPr>
              <w:t>(1)(6)</w:t>
            </w:r>
          </w:p>
        </w:tc>
        <w:tc>
          <w:tcPr>
            <w:tcW w:w="120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22,424,808</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8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60" w:type="dxa"/>
            <w:vAlign w:val="bottom"/>
          </w:tcPr>
          <w:p>
            <w:pPr>
              <w:spacing w:after="0"/>
              <w:rPr>
                <w:sz w:val="22"/>
                <w:szCs w:val="22"/>
                <w:color w:val="auto"/>
              </w:rPr>
            </w:pPr>
          </w:p>
        </w:tc>
        <w:tc>
          <w:tcPr>
            <w:tcW w:w="1200" w:type="dxa"/>
            <w:vAlign w:val="bottom"/>
            <w:vMerge w:val="restart"/>
          </w:tcPr>
          <w:p>
            <w:pPr>
              <w:jc w:val="center"/>
              <w:ind w:left="242"/>
              <w:spacing w:after="0"/>
              <w:rPr>
                <w:sz w:val="20"/>
                <w:szCs w:val="20"/>
                <w:color w:val="auto"/>
              </w:rPr>
            </w:pPr>
            <w:r>
              <w:rPr>
                <w:rFonts w:ascii="Arial" w:cs="Arial" w:eastAsia="Arial" w:hAnsi="Arial"/>
                <w:sz w:val="18"/>
                <w:szCs w:val="18"/>
                <w:color w:val="0000FF"/>
                <w:w w:val="88"/>
              </w:rPr>
              <w:t>10/15/2014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7,249</w:t>
            </w:r>
            <w:r>
              <w:rPr>
                <w:rFonts w:ascii="Arial" w:cs="Arial" w:eastAsia="Arial" w:hAnsi="Arial"/>
                <w:sz w:val="11"/>
                <w:szCs w:val="11"/>
                <w:color w:val="008000"/>
                <w:w w:val="77"/>
              </w:rPr>
              <w:t>(1)(2)</w:t>
            </w:r>
          </w:p>
        </w:tc>
        <w:tc>
          <w:tcPr>
            <w:tcW w:w="140" w:type="dxa"/>
            <w:vAlign w:val="bottom"/>
          </w:tcPr>
          <w:p>
            <w:pPr>
              <w:spacing w:after="0"/>
              <w:rPr>
                <w:sz w:val="22"/>
                <w:szCs w:val="22"/>
                <w:color w:val="auto"/>
              </w:rPr>
            </w:pPr>
          </w:p>
        </w:tc>
        <w:tc>
          <w:tcPr>
            <w:tcW w:w="380" w:type="dxa"/>
            <w:vAlign w:val="bottom"/>
            <w:vMerge w:val="restart"/>
          </w:tcPr>
          <w:p>
            <w:pPr>
              <w:jc w:val="center"/>
              <w:ind w:right="143"/>
              <w:spacing w:after="0"/>
              <w:rPr>
                <w:sz w:val="20"/>
                <w:szCs w:val="20"/>
                <w:color w:val="auto"/>
              </w:rPr>
            </w:pPr>
            <w:r>
              <w:rPr>
                <w:rFonts w:ascii="Arial" w:cs="Arial" w:eastAsia="Arial" w:hAnsi="Arial"/>
                <w:sz w:val="18"/>
                <w:szCs w:val="18"/>
                <w:color w:val="0000FF"/>
                <w:w w:val="99"/>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326.8701</w:t>
            </w:r>
            <w:r>
              <w:rPr>
                <w:rFonts w:ascii="Arial" w:cs="Arial" w:eastAsia="Arial" w:hAnsi="Arial"/>
                <w:sz w:val="22"/>
                <w:szCs w:val="22"/>
                <w:color w:val="008000"/>
                <w:w w:val="84"/>
                <w:vertAlign w:val="superscript"/>
              </w:rPr>
              <w:t>(1)(7)</w:t>
            </w:r>
          </w:p>
        </w:tc>
        <w:tc>
          <w:tcPr>
            <w:tcW w:w="120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22,432,057</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8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60" w:type="dxa"/>
            <w:vAlign w:val="bottom"/>
          </w:tcPr>
          <w:p>
            <w:pPr>
              <w:spacing w:after="0"/>
              <w:rPr>
                <w:sz w:val="22"/>
                <w:szCs w:val="22"/>
                <w:color w:val="auto"/>
              </w:rPr>
            </w:pPr>
          </w:p>
        </w:tc>
        <w:tc>
          <w:tcPr>
            <w:tcW w:w="1200" w:type="dxa"/>
            <w:vAlign w:val="bottom"/>
            <w:vMerge w:val="restart"/>
          </w:tcPr>
          <w:p>
            <w:pPr>
              <w:jc w:val="center"/>
              <w:ind w:left="242"/>
              <w:spacing w:after="0"/>
              <w:rPr>
                <w:sz w:val="20"/>
                <w:szCs w:val="20"/>
                <w:color w:val="auto"/>
              </w:rPr>
            </w:pPr>
            <w:r>
              <w:rPr>
                <w:rFonts w:ascii="Arial" w:cs="Arial" w:eastAsia="Arial" w:hAnsi="Arial"/>
                <w:sz w:val="18"/>
                <w:szCs w:val="18"/>
                <w:color w:val="0000FF"/>
                <w:w w:val="88"/>
              </w:rPr>
              <w:t>10/15/2014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23,602</w:t>
            </w:r>
            <w:r>
              <w:rPr>
                <w:rFonts w:ascii="Arial" w:cs="Arial" w:eastAsia="Arial" w:hAnsi="Arial"/>
                <w:sz w:val="22"/>
                <w:szCs w:val="22"/>
                <w:color w:val="008000"/>
                <w:w w:val="81"/>
                <w:vertAlign w:val="superscript"/>
              </w:rPr>
              <w:t>(1)(2)</w:t>
            </w:r>
          </w:p>
        </w:tc>
        <w:tc>
          <w:tcPr>
            <w:tcW w:w="140" w:type="dxa"/>
            <w:vAlign w:val="bottom"/>
          </w:tcPr>
          <w:p>
            <w:pPr>
              <w:spacing w:after="0"/>
              <w:rPr>
                <w:sz w:val="22"/>
                <w:szCs w:val="22"/>
                <w:color w:val="auto"/>
              </w:rPr>
            </w:pPr>
          </w:p>
        </w:tc>
        <w:tc>
          <w:tcPr>
            <w:tcW w:w="380" w:type="dxa"/>
            <w:vAlign w:val="bottom"/>
            <w:vMerge w:val="restart"/>
          </w:tcPr>
          <w:p>
            <w:pPr>
              <w:jc w:val="center"/>
              <w:ind w:right="143"/>
              <w:spacing w:after="0"/>
              <w:rPr>
                <w:sz w:val="20"/>
                <w:szCs w:val="20"/>
                <w:color w:val="auto"/>
              </w:rPr>
            </w:pPr>
            <w:r>
              <w:rPr>
                <w:rFonts w:ascii="Arial" w:cs="Arial" w:eastAsia="Arial" w:hAnsi="Arial"/>
                <w:sz w:val="18"/>
                <w:szCs w:val="18"/>
                <w:color w:val="0000FF"/>
                <w:w w:val="99"/>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82"/>
              </w:rPr>
              <w:t>$</w:t>
            </w:r>
            <w:r>
              <w:rPr>
                <w:rFonts w:ascii="Arial" w:cs="Arial" w:eastAsia="Arial" w:hAnsi="Arial"/>
                <w:sz w:val="18"/>
                <w:szCs w:val="18"/>
                <w:color w:val="0000FF"/>
                <w:w w:val="82"/>
              </w:rPr>
              <w:t>328.0115</w:t>
            </w:r>
            <w:r>
              <w:rPr>
                <w:rFonts w:ascii="Arial" w:cs="Arial" w:eastAsia="Arial" w:hAnsi="Arial"/>
                <w:sz w:val="22"/>
                <w:szCs w:val="22"/>
                <w:color w:val="008000"/>
                <w:w w:val="82"/>
                <w:vertAlign w:val="superscript"/>
              </w:rPr>
              <w:t>(1)(8)</w:t>
            </w:r>
          </w:p>
        </w:tc>
        <w:tc>
          <w:tcPr>
            <w:tcW w:w="120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22,455,659</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8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60" w:type="dxa"/>
            <w:vAlign w:val="bottom"/>
          </w:tcPr>
          <w:p>
            <w:pPr>
              <w:spacing w:after="0"/>
              <w:rPr>
                <w:sz w:val="22"/>
                <w:szCs w:val="22"/>
                <w:color w:val="auto"/>
              </w:rPr>
            </w:pPr>
          </w:p>
        </w:tc>
        <w:tc>
          <w:tcPr>
            <w:tcW w:w="1200" w:type="dxa"/>
            <w:vAlign w:val="bottom"/>
            <w:vMerge w:val="restart"/>
          </w:tcPr>
          <w:p>
            <w:pPr>
              <w:jc w:val="center"/>
              <w:ind w:left="242"/>
              <w:spacing w:after="0"/>
              <w:rPr>
                <w:sz w:val="20"/>
                <w:szCs w:val="20"/>
                <w:color w:val="auto"/>
              </w:rPr>
            </w:pPr>
            <w:r>
              <w:rPr>
                <w:rFonts w:ascii="Arial" w:cs="Arial" w:eastAsia="Arial" w:hAnsi="Arial"/>
                <w:sz w:val="18"/>
                <w:szCs w:val="18"/>
                <w:color w:val="0000FF"/>
                <w:w w:val="88"/>
              </w:rPr>
              <w:t>10/15/2014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42,447</w:t>
            </w:r>
            <w:r>
              <w:rPr>
                <w:rFonts w:ascii="Arial" w:cs="Arial" w:eastAsia="Arial" w:hAnsi="Arial"/>
                <w:sz w:val="22"/>
                <w:szCs w:val="22"/>
                <w:color w:val="008000"/>
                <w:w w:val="81"/>
                <w:vertAlign w:val="superscript"/>
              </w:rPr>
              <w:t>(1)(2)</w:t>
            </w:r>
          </w:p>
        </w:tc>
        <w:tc>
          <w:tcPr>
            <w:tcW w:w="140" w:type="dxa"/>
            <w:vAlign w:val="bottom"/>
          </w:tcPr>
          <w:p>
            <w:pPr>
              <w:spacing w:after="0"/>
              <w:rPr>
                <w:sz w:val="22"/>
                <w:szCs w:val="22"/>
                <w:color w:val="auto"/>
              </w:rPr>
            </w:pPr>
          </w:p>
        </w:tc>
        <w:tc>
          <w:tcPr>
            <w:tcW w:w="380" w:type="dxa"/>
            <w:vAlign w:val="bottom"/>
            <w:vMerge w:val="restart"/>
          </w:tcPr>
          <w:p>
            <w:pPr>
              <w:jc w:val="center"/>
              <w:ind w:right="143"/>
              <w:spacing w:after="0"/>
              <w:rPr>
                <w:sz w:val="20"/>
                <w:szCs w:val="20"/>
                <w:color w:val="auto"/>
              </w:rPr>
            </w:pPr>
            <w:r>
              <w:rPr>
                <w:rFonts w:ascii="Arial" w:cs="Arial" w:eastAsia="Arial" w:hAnsi="Arial"/>
                <w:sz w:val="18"/>
                <w:szCs w:val="18"/>
                <w:color w:val="0000FF"/>
                <w:w w:val="99"/>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328.8469</w:t>
            </w:r>
            <w:r>
              <w:rPr>
                <w:rFonts w:ascii="Arial" w:cs="Arial" w:eastAsia="Arial" w:hAnsi="Arial"/>
                <w:sz w:val="22"/>
                <w:szCs w:val="22"/>
                <w:color w:val="008000"/>
                <w:w w:val="84"/>
                <w:vertAlign w:val="superscript"/>
              </w:rPr>
              <w:t>(1)(9)</w:t>
            </w:r>
          </w:p>
        </w:tc>
        <w:tc>
          <w:tcPr>
            <w:tcW w:w="120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22,498,106</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8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60" w:type="dxa"/>
            <w:vAlign w:val="bottom"/>
          </w:tcPr>
          <w:p>
            <w:pPr>
              <w:spacing w:after="0"/>
              <w:rPr>
                <w:sz w:val="22"/>
                <w:szCs w:val="22"/>
                <w:color w:val="auto"/>
              </w:rPr>
            </w:pPr>
          </w:p>
        </w:tc>
        <w:tc>
          <w:tcPr>
            <w:tcW w:w="1200" w:type="dxa"/>
            <w:vAlign w:val="bottom"/>
            <w:vMerge w:val="restart"/>
          </w:tcPr>
          <w:p>
            <w:pPr>
              <w:jc w:val="center"/>
              <w:ind w:left="242"/>
              <w:spacing w:after="0"/>
              <w:rPr>
                <w:sz w:val="20"/>
                <w:szCs w:val="20"/>
                <w:color w:val="auto"/>
              </w:rPr>
            </w:pPr>
            <w:r>
              <w:rPr>
                <w:rFonts w:ascii="Arial" w:cs="Arial" w:eastAsia="Arial" w:hAnsi="Arial"/>
                <w:sz w:val="18"/>
                <w:szCs w:val="18"/>
                <w:color w:val="0000FF"/>
                <w:w w:val="88"/>
              </w:rPr>
              <w:t>10/15/2014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20,062</w:t>
            </w:r>
            <w:r>
              <w:rPr>
                <w:rFonts w:ascii="Arial" w:cs="Arial" w:eastAsia="Arial" w:hAnsi="Arial"/>
                <w:sz w:val="22"/>
                <w:szCs w:val="22"/>
                <w:color w:val="008000"/>
                <w:w w:val="81"/>
                <w:vertAlign w:val="superscript"/>
              </w:rPr>
              <w:t>(1)(2)</w:t>
            </w:r>
          </w:p>
        </w:tc>
        <w:tc>
          <w:tcPr>
            <w:tcW w:w="140" w:type="dxa"/>
            <w:vAlign w:val="bottom"/>
          </w:tcPr>
          <w:p>
            <w:pPr>
              <w:spacing w:after="0"/>
              <w:rPr>
                <w:sz w:val="22"/>
                <w:szCs w:val="22"/>
                <w:color w:val="auto"/>
              </w:rPr>
            </w:pPr>
          </w:p>
        </w:tc>
        <w:tc>
          <w:tcPr>
            <w:tcW w:w="380" w:type="dxa"/>
            <w:vAlign w:val="bottom"/>
            <w:vMerge w:val="restart"/>
          </w:tcPr>
          <w:p>
            <w:pPr>
              <w:jc w:val="center"/>
              <w:ind w:right="143"/>
              <w:spacing w:after="0"/>
              <w:rPr>
                <w:sz w:val="20"/>
                <w:szCs w:val="20"/>
                <w:color w:val="auto"/>
              </w:rPr>
            </w:pPr>
            <w:r>
              <w:rPr>
                <w:rFonts w:ascii="Arial" w:cs="Arial" w:eastAsia="Arial" w:hAnsi="Arial"/>
                <w:sz w:val="18"/>
                <w:szCs w:val="18"/>
                <w:color w:val="0000FF"/>
                <w:w w:val="99"/>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329.7899</w:t>
            </w:r>
            <w:r>
              <w:rPr>
                <w:rFonts w:ascii="Arial" w:cs="Arial" w:eastAsia="Arial" w:hAnsi="Arial"/>
                <w:sz w:val="22"/>
                <w:szCs w:val="22"/>
                <w:color w:val="008000"/>
                <w:w w:val="83"/>
                <w:vertAlign w:val="superscript"/>
              </w:rPr>
              <w:t>(1)(10)</w:t>
            </w:r>
          </w:p>
        </w:tc>
        <w:tc>
          <w:tcPr>
            <w:tcW w:w="120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22,518,168</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8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60" w:type="dxa"/>
            <w:vAlign w:val="bottom"/>
          </w:tcPr>
          <w:p>
            <w:pPr>
              <w:spacing w:after="0"/>
              <w:rPr>
                <w:sz w:val="22"/>
                <w:szCs w:val="22"/>
                <w:color w:val="auto"/>
              </w:rPr>
            </w:pPr>
          </w:p>
        </w:tc>
        <w:tc>
          <w:tcPr>
            <w:tcW w:w="1200" w:type="dxa"/>
            <w:vAlign w:val="bottom"/>
            <w:vMerge w:val="restart"/>
          </w:tcPr>
          <w:p>
            <w:pPr>
              <w:jc w:val="center"/>
              <w:ind w:left="242"/>
              <w:spacing w:after="0"/>
              <w:rPr>
                <w:sz w:val="20"/>
                <w:szCs w:val="20"/>
                <w:color w:val="auto"/>
              </w:rPr>
            </w:pPr>
            <w:r>
              <w:rPr>
                <w:rFonts w:ascii="Arial" w:cs="Arial" w:eastAsia="Arial" w:hAnsi="Arial"/>
                <w:sz w:val="18"/>
                <w:szCs w:val="18"/>
                <w:color w:val="0000FF"/>
                <w:w w:val="88"/>
              </w:rPr>
              <w:t>10/15/2014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81"/>
                <w:vertAlign w:val="subscript"/>
              </w:rPr>
              <w:t>930</w:t>
            </w:r>
            <w:r>
              <w:rPr>
                <w:rFonts w:ascii="Arial" w:cs="Arial" w:eastAsia="Arial" w:hAnsi="Arial"/>
                <w:sz w:val="11"/>
                <w:szCs w:val="11"/>
                <w:color w:val="008000"/>
                <w:w w:val="81"/>
              </w:rPr>
              <w:t>(1)(2)</w:t>
            </w:r>
          </w:p>
        </w:tc>
        <w:tc>
          <w:tcPr>
            <w:tcW w:w="140" w:type="dxa"/>
            <w:vAlign w:val="bottom"/>
          </w:tcPr>
          <w:p>
            <w:pPr>
              <w:spacing w:after="0"/>
              <w:rPr>
                <w:sz w:val="22"/>
                <w:szCs w:val="22"/>
                <w:color w:val="auto"/>
              </w:rPr>
            </w:pPr>
          </w:p>
        </w:tc>
        <w:tc>
          <w:tcPr>
            <w:tcW w:w="380" w:type="dxa"/>
            <w:vAlign w:val="bottom"/>
            <w:vMerge w:val="restart"/>
          </w:tcPr>
          <w:p>
            <w:pPr>
              <w:jc w:val="center"/>
              <w:ind w:right="143"/>
              <w:spacing w:after="0"/>
              <w:rPr>
                <w:sz w:val="20"/>
                <w:szCs w:val="20"/>
                <w:color w:val="auto"/>
              </w:rPr>
            </w:pPr>
            <w:r>
              <w:rPr>
                <w:rFonts w:ascii="Arial" w:cs="Arial" w:eastAsia="Arial" w:hAnsi="Arial"/>
                <w:sz w:val="18"/>
                <w:szCs w:val="18"/>
                <w:color w:val="0000FF"/>
                <w:w w:val="99"/>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330.9003</w:t>
            </w:r>
            <w:r>
              <w:rPr>
                <w:rFonts w:ascii="Arial" w:cs="Arial" w:eastAsia="Arial" w:hAnsi="Arial"/>
                <w:sz w:val="22"/>
                <w:szCs w:val="22"/>
                <w:color w:val="008000"/>
                <w:w w:val="83"/>
                <w:vertAlign w:val="superscript"/>
              </w:rPr>
              <w:t>(1)(11)</w:t>
            </w:r>
          </w:p>
        </w:tc>
        <w:tc>
          <w:tcPr>
            <w:tcW w:w="120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22,519,098</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8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60" w:type="dxa"/>
            <w:vAlign w:val="bottom"/>
          </w:tcPr>
          <w:p>
            <w:pPr>
              <w:spacing w:after="0"/>
              <w:rPr>
                <w:sz w:val="22"/>
                <w:szCs w:val="22"/>
                <w:color w:val="auto"/>
              </w:rPr>
            </w:pPr>
          </w:p>
        </w:tc>
        <w:tc>
          <w:tcPr>
            <w:tcW w:w="1200" w:type="dxa"/>
            <w:vAlign w:val="bottom"/>
            <w:vMerge w:val="restart"/>
          </w:tcPr>
          <w:p>
            <w:pPr>
              <w:jc w:val="center"/>
              <w:ind w:left="242"/>
              <w:spacing w:after="0"/>
              <w:rPr>
                <w:sz w:val="20"/>
                <w:szCs w:val="20"/>
                <w:color w:val="auto"/>
              </w:rPr>
            </w:pPr>
            <w:r>
              <w:rPr>
                <w:rFonts w:ascii="Arial" w:cs="Arial" w:eastAsia="Arial" w:hAnsi="Arial"/>
                <w:sz w:val="18"/>
                <w:szCs w:val="18"/>
                <w:color w:val="0000FF"/>
                <w:w w:val="88"/>
              </w:rPr>
              <w:t>10/15/2014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1,200</w:t>
            </w:r>
            <w:r>
              <w:rPr>
                <w:rFonts w:ascii="Arial" w:cs="Arial" w:eastAsia="Arial" w:hAnsi="Arial"/>
                <w:sz w:val="11"/>
                <w:szCs w:val="11"/>
                <w:color w:val="008000"/>
                <w:w w:val="77"/>
              </w:rPr>
              <w:t>(1)(2)</w:t>
            </w:r>
          </w:p>
        </w:tc>
        <w:tc>
          <w:tcPr>
            <w:tcW w:w="140" w:type="dxa"/>
            <w:vAlign w:val="bottom"/>
          </w:tcPr>
          <w:p>
            <w:pPr>
              <w:spacing w:after="0"/>
              <w:rPr>
                <w:sz w:val="22"/>
                <w:szCs w:val="22"/>
                <w:color w:val="auto"/>
              </w:rPr>
            </w:pPr>
          </w:p>
        </w:tc>
        <w:tc>
          <w:tcPr>
            <w:tcW w:w="380" w:type="dxa"/>
            <w:vAlign w:val="bottom"/>
            <w:vMerge w:val="restart"/>
          </w:tcPr>
          <w:p>
            <w:pPr>
              <w:jc w:val="center"/>
              <w:ind w:right="143"/>
              <w:spacing w:after="0"/>
              <w:rPr>
                <w:sz w:val="20"/>
                <w:szCs w:val="20"/>
                <w:color w:val="auto"/>
              </w:rPr>
            </w:pPr>
            <w:r>
              <w:rPr>
                <w:rFonts w:ascii="Arial" w:cs="Arial" w:eastAsia="Arial" w:hAnsi="Arial"/>
                <w:sz w:val="18"/>
                <w:szCs w:val="18"/>
                <w:color w:val="0000FF"/>
                <w:w w:val="99"/>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331.6717</w:t>
            </w:r>
            <w:r>
              <w:rPr>
                <w:rFonts w:ascii="Arial" w:cs="Arial" w:eastAsia="Arial" w:hAnsi="Arial"/>
                <w:sz w:val="22"/>
                <w:szCs w:val="22"/>
                <w:color w:val="008000"/>
                <w:w w:val="83"/>
                <w:vertAlign w:val="superscript"/>
              </w:rPr>
              <w:t>(1)(12)</w:t>
            </w:r>
          </w:p>
        </w:tc>
        <w:tc>
          <w:tcPr>
            <w:tcW w:w="120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22,520,298</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8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60" w:type="dxa"/>
            <w:vAlign w:val="bottom"/>
          </w:tcPr>
          <w:p>
            <w:pPr>
              <w:spacing w:after="0"/>
              <w:rPr>
                <w:sz w:val="22"/>
                <w:szCs w:val="22"/>
                <w:color w:val="auto"/>
              </w:rPr>
            </w:pPr>
          </w:p>
        </w:tc>
        <w:tc>
          <w:tcPr>
            <w:tcW w:w="1200" w:type="dxa"/>
            <w:vAlign w:val="bottom"/>
            <w:vMerge w:val="restart"/>
          </w:tcPr>
          <w:p>
            <w:pPr>
              <w:jc w:val="center"/>
              <w:ind w:left="242"/>
              <w:spacing w:after="0"/>
              <w:rPr>
                <w:sz w:val="20"/>
                <w:szCs w:val="20"/>
                <w:color w:val="auto"/>
              </w:rPr>
            </w:pPr>
            <w:r>
              <w:rPr>
                <w:rFonts w:ascii="Arial" w:cs="Arial" w:eastAsia="Arial" w:hAnsi="Arial"/>
                <w:sz w:val="18"/>
                <w:szCs w:val="18"/>
                <w:color w:val="0000FF"/>
                <w:w w:val="88"/>
              </w:rPr>
              <w:t>10/15/2014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5,016</w:t>
            </w:r>
            <w:r>
              <w:rPr>
                <w:rFonts w:ascii="Arial" w:cs="Arial" w:eastAsia="Arial" w:hAnsi="Arial"/>
                <w:sz w:val="11"/>
                <w:szCs w:val="11"/>
                <w:color w:val="008000"/>
                <w:w w:val="77"/>
              </w:rPr>
              <w:t>(1)(2)</w:t>
            </w:r>
          </w:p>
        </w:tc>
        <w:tc>
          <w:tcPr>
            <w:tcW w:w="140" w:type="dxa"/>
            <w:vAlign w:val="bottom"/>
          </w:tcPr>
          <w:p>
            <w:pPr>
              <w:spacing w:after="0"/>
              <w:rPr>
                <w:sz w:val="22"/>
                <w:szCs w:val="22"/>
                <w:color w:val="auto"/>
              </w:rPr>
            </w:pPr>
          </w:p>
        </w:tc>
        <w:tc>
          <w:tcPr>
            <w:tcW w:w="380" w:type="dxa"/>
            <w:vAlign w:val="bottom"/>
            <w:vMerge w:val="restart"/>
          </w:tcPr>
          <w:p>
            <w:pPr>
              <w:jc w:val="center"/>
              <w:ind w:right="143"/>
              <w:spacing w:after="0"/>
              <w:rPr>
                <w:sz w:val="20"/>
                <w:szCs w:val="20"/>
                <w:color w:val="auto"/>
              </w:rPr>
            </w:pPr>
            <w:r>
              <w:rPr>
                <w:rFonts w:ascii="Arial" w:cs="Arial" w:eastAsia="Arial" w:hAnsi="Arial"/>
                <w:sz w:val="18"/>
                <w:szCs w:val="18"/>
                <w:color w:val="0000FF"/>
                <w:w w:val="99"/>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332.7549</w:t>
            </w:r>
            <w:r>
              <w:rPr>
                <w:rFonts w:ascii="Arial" w:cs="Arial" w:eastAsia="Arial" w:hAnsi="Arial"/>
                <w:sz w:val="22"/>
                <w:szCs w:val="22"/>
                <w:color w:val="008000"/>
                <w:w w:val="83"/>
                <w:vertAlign w:val="superscript"/>
              </w:rPr>
              <w:t>(1)(13)</w:t>
            </w:r>
          </w:p>
        </w:tc>
        <w:tc>
          <w:tcPr>
            <w:tcW w:w="120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22,525,314</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8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60" w:type="dxa"/>
            <w:vAlign w:val="bottom"/>
          </w:tcPr>
          <w:p>
            <w:pPr>
              <w:spacing w:after="0"/>
              <w:rPr>
                <w:sz w:val="22"/>
                <w:szCs w:val="22"/>
                <w:color w:val="auto"/>
              </w:rPr>
            </w:pPr>
          </w:p>
        </w:tc>
        <w:tc>
          <w:tcPr>
            <w:tcW w:w="1200" w:type="dxa"/>
            <w:vAlign w:val="bottom"/>
            <w:vMerge w:val="restart"/>
          </w:tcPr>
          <w:p>
            <w:pPr>
              <w:jc w:val="center"/>
              <w:ind w:left="242"/>
              <w:spacing w:after="0"/>
              <w:rPr>
                <w:sz w:val="20"/>
                <w:szCs w:val="20"/>
                <w:color w:val="auto"/>
              </w:rPr>
            </w:pPr>
            <w:r>
              <w:rPr>
                <w:rFonts w:ascii="Arial" w:cs="Arial" w:eastAsia="Arial" w:hAnsi="Arial"/>
                <w:sz w:val="18"/>
                <w:szCs w:val="18"/>
                <w:color w:val="0000FF"/>
                <w:w w:val="88"/>
              </w:rPr>
              <w:t>10/15/2014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7,825</w:t>
            </w:r>
            <w:r>
              <w:rPr>
                <w:rFonts w:ascii="Arial" w:cs="Arial" w:eastAsia="Arial" w:hAnsi="Arial"/>
                <w:sz w:val="11"/>
                <w:szCs w:val="11"/>
                <w:color w:val="008000"/>
                <w:w w:val="77"/>
              </w:rPr>
              <w:t>(1)(2)</w:t>
            </w:r>
          </w:p>
        </w:tc>
        <w:tc>
          <w:tcPr>
            <w:tcW w:w="140" w:type="dxa"/>
            <w:vAlign w:val="bottom"/>
          </w:tcPr>
          <w:p>
            <w:pPr>
              <w:spacing w:after="0"/>
              <w:rPr>
                <w:sz w:val="22"/>
                <w:szCs w:val="22"/>
                <w:color w:val="auto"/>
              </w:rPr>
            </w:pPr>
          </w:p>
        </w:tc>
        <w:tc>
          <w:tcPr>
            <w:tcW w:w="380" w:type="dxa"/>
            <w:vAlign w:val="bottom"/>
            <w:vMerge w:val="restart"/>
          </w:tcPr>
          <w:p>
            <w:pPr>
              <w:jc w:val="center"/>
              <w:ind w:right="143"/>
              <w:spacing w:after="0"/>
              <w:rPr>
                <w:sz w:val="20"/>
                <w:szCs w:val="20"/>
                <w:color w:val="auto"/>
              </w:rPr>
            </w:pPr>
            <w:r>
              <w:rPr>
                <w:rFonts w:ascii="Arial" w:cs="Arial" w:eastAsia="Arial" w:hAnsi="Arial"/>
                <w:sz w:val="18"/>
                <w:szCs w:val="18"/>
                <w:color w:val="0000FF"/>
                <w:w w:val="99"/>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334.0712</w:t>
            </w:r>
            <w:r>
              <w:rPr>
                <w:rFonts w:ascii="Arial" w:cs="Arial" w:eastAsia="Arial" w:hAnsi="Arial"/>
                <w:sz w:val="22"/>
                <w:szCs w:val="22"/>
                <w:color w:val="008000"/>
                <w:w w:val="83"/>
                <w:vertAlign w:val="superscript"/>
              </w:rPr>
              <w:t>(1)(14)</w:t>
            </w:r>
          </w:p>
        </w:tc>
        <w:tc>
          <w:tcPr>
            <w:tcW w:w="120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22,533,139</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8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60" w:type="dxa"/>
            <w:vAlign w:val="bottom"/>
          </w:tcPr>
          <w:p>
            <w:pPr>
              <w:spacing w:after="0"/>
              <w:rPr>
                <w:sz w:val="22"/>
                <w:szCs w:val="22"/>
                <w:color w:val="auto"/>
              </w:rPr>
            </w:pPr>
          </w:p>
        </w:tc>
        <w:tc>
          <w:tcPr>
            <w:tcW w:w="1200" w:type="dxa"/>
            <w:vAlign w:val="bottom"/>
            <w:vMerge w:val="restart"/>
          </w:tcPr>
          <w:p>
            <w:pPr>
              <w:jc w:val="center"/>
              <w:ind w:left="242"/>
              <w:spacing w:after="0"/>
              <w:rPr>
                <w:sz w:val="20"/>
                <w:szCs w:val="20"/>
                <w:color w:val="auto"/>
              </w:rPr>
            </w:pPr>
            <w:r>
              <w:rPr>
                <w:rFonts w:ascii="Arial" w:cs="Arial" w:eastAsia="Arial" w:hAnsi="Arial"/>
                <w:sz w:val="18"/>
                <w:szCs w:val="18"/>
                <w:color w:val="0000FF"/>
                <w:w w:val="88"/>
              </w:rPr>
              <w:t>10/15/2014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2,419</w:t>
            </w:r>
            <w:r>
              <w:rPr>
                <w:rFonts w:ascii="Arial" w:cs="Arial" w:eastAsia="Arial" w:hAnsi="Arial"/>
                <w:sz w:val="11"/>
                <w:szCs w:val="11"/>
                <w:color w:val="008000"/>
                <w:w w:val="77"/>
              </w:rPr>
              <w:t>(1)(2)</w:t>
            </w:r>
          </w:p>
        </w:tc>
        <w:tc>
          <w:tcPr>
            <w:tcW w:w="140" w:type="dxa"/>
            <w:vAlign w:val="bottom"/>
          </w:tcPr>
          <w:p>
            <w:pPr>
              <w:spacing w:after="0"/>
              <w:rPr>
                <w:sz w:val="22"/>
                <w:szCs w:val="22"/>
                <w:color w:val="auto"/>
              </w:rPr>
            </w:pPr>
          </w:p>
        </w:tc>
        <w:tc>
          <w:tcPr>
            <w:tcW w:w="380" w:type="dxa"/>
            <w:vAlign w:val="bottom"/>
            <w:vMerge w:val="restart"/>
          </w:tcPr>
          <w:p>
            <w:pPr>
              <w:jc w:val="center"/>
              <w:ind w:right="143"/>
              <w:spacing w:after="0"/>
              <w:rPr>
                <w:sz w:val="20"/>
                <w:szCs w:val="20"/>
                <w:color w:val="auto"/>
              </w:rPr>
            </w:pPr>
            <w:r>
              <w:rPr>
                <w:rFonts w:ascii="Arial" w:cs="Arial" w:eastAsia="Arial" w:hAnsi="Arial"/>
                <w:sz w:val="18"/>
                <w:szCs w:val="18"/>
                <w:color w:val="0000FF"/>
                <w:w w:val="99"/>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334.8098</w:t>
            </w:r>
            <w:r>
              <w:rPr>
                <w:rFonts w:ascii="Arial" w:cs="Arial" w:eastAsia="Arial" w:hAnsi="Arial"/>
                <w:sz w:val="22"/>
                <w:szCs w:val="22"/>
                <w:color w:val="008000"/>
                <w:w w:val="83"/>
                <w:vertAlign w:val="superscript"/>
              </w:rPr>
              <w:t>(1)(15)</w:t>
            </w:r>
          </w:p>
        </w:tc>
        <w:tc>
          <w:tcPr>
            <w:tcW w:w="120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22,535,558</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155"/>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2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7320" w:type="dxa"/>
            <w:vAlign w:val="bottom"/>
            <w:tcBorders>
              <w:top w:val="single" w:sz="8" w:color="2C2C2C"/>
            </w:tcBorders>
            <w:gridSpan w:val="20"/>
          </w:tcPr>
          <w:p>
            <w:pPr>
              <w:jc w:val="center"/>
              <w:ind w:left="84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860" w:type="dxa"/>
            <w:vAlign w:val="bottom"/>
            <w:gridSpan w:val="18"/>
          </w:tcPr>
          <w:p>
            <w:pPr>
              <w:jc w:val="center"/>
              <w:ind w:left="182"/>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gridSpan w:val="3"/>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12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380" w:type="dxa"/>
            <w:vAlign w:val="bottom"/>
          </w:tcPr>
          <w:p>
            <w:pPr>
              <w:ind w:left="200"/>
              <w:spacing w:after="0"/>
              <w:rPr>
                <w:sz w:val="20"/>
                <w:szCs w:val="20"/>
                <w:color w:val="auto"/>
              </w:rPr>
            </w:pPr>
            <w:r>
              <w:rPr>
                <w:rFonts w:ascii="Arial" w:cs="Arial" w:eastAsia="Arial" w:hAnsi="Arial"/>
                <w:sz w:val="12"/>
                <w:szCs w:val="12"/>
                <w:b w:val="1"/>
                <w:bCs w:val="1"/>
                <w:color w:val="auto"/>
                <w:w w:val="95"/>
              </w:rPr>
              <w:t>10.</w:t>
            </w:r>
          </w:p>
        </w:tc>
        <w:tc>
          <w:tcPr>
            <w:tcW w:w="56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3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140" w:type="dxa"/>
            <w:vAlign w:val="bottom"/>
          </w:tcPr>
          <w:p>
            <w:pPr>
              <w:spacing w:after="0"/>
              <w:rPr>
                <w:sz w:val="11"/>
                <w:szCs w:val="11"/>
                <w:color w:val="auto"/>
              </w:rPr>
            </w:pPr>
          </w:p>
        </w:tc>
        <w:tc>
          <w:tcPr>
            <w:tcW w:w="1060" w:type="dxa"/>
            <w:vAlign w:val="bottom"/>
            <w:gridSpan w:val="4"/>
          </w:tcPr>
          <w:p>
            <w:pPr>
              <w:ind w:left="12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3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140" w:type="dxa"/>
            <w:vAlign w:val="bottom"/>
          </w:tcPr>
          <w:p>
            <w:pPr>
              <w:spacing w:after="0"/>
              <w:rPr>
                <w:sz w:val="11"/>
                <w:szCs w:val="11"/>
                <w:color w:val="auto"/>
              </w:rPr>
            </w:pPr>
          </w:p>
        </w:tc>
        <w:tc>
          <w:tcPr>
            <w:tcW w:w="1060" w:type="dxa"/>
            <w:vAlign w:val="bottom"/>
            <w:gridSpan w:val="4"/>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4"/>
          </w:tcPr>
          <w:p>
            <w:pPr>
              <w:ind w:left="12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4"/>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20" w:type="dxa"/>
            <w:vAlign w:val="bottom"/>
            <w:gridSpan w:val="6"/>
          </w:tcPr>
          <w:p>
            <w:pPr>
              <w:ind w:left="120"/>
              <w:spacing w:after="0" w:line="135" w:lineRule="exact"/>
              <w:rPr>
                <w:sz w:val="20"/>
                <w:szCs w:val="20"/>
                <w:color w:val="auto"/>
              </w:rPr>
            </w:pPr>
            <w:r>
              <w:rPr>
                <w:rFonts w:ascii="Arial" w:cs="Arial" w:eastAsia="Arial" w:hAnsi="Arial"/>
                <w:sz w:val="12"/>
                <w:szCs w:val="12"/>
                <w:b w:val="1"/>
                <w:bCs w:val="1"/>
                <w:color w:val="auto"/>
              </w:rPr>
              <w:t>Security (Instr. 3</w:t>
            </w:r>
          </w:p>
        </w:tc>
        <w:tc>
          <w:tcPr>
            <w:tcW w:w="40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4"/>
          </w:tcPr>
          <w:p>
            <w:pPr>
              <w:ind w:left="120"/>
              <w:spacing w:after="0" w:line="135" w:lineRule="exact"/>
              <w:rPr>
                <w:sz w:val="20"/>
                <w:szCs w:val="20"/>
                <w:color w:val="auto"/>
              </w:rPr>
            </w:pPr>
            <w:r>
              <w:rPr>
                <w:rFonts w:ascii="Arial" w:cs="Arial" w:eastAsia="Arial" w:hAnsi="Arial"/>
                <w:sz w:val="12"/>
                <w:szCs w:val="12"/>
                <w:b w:val="1"/>
                <w:bCs w:val="1"/>
                <w:color w:val="auto"/>
              </w:rPr>
              <w:t>and 4)</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and 5)</w:t>
            </w: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6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0" w:type="dxa"/>
            <w:vAlign w:val="bottom"/>
          </w:tcPr>
          <w:p>
            <w:pPr>
              <w:spacing w:after="0"/>
              <w:rPr>
                <w:sz w:val="4"/>
                <w:szCs w:val="4"/>
                <w:color w:val="auto"/>
              </w:rPr>
            </w:pPr>
          </w:p>
        </w:tc>
        <w:tc>
          <w:tcPr>
            <w:tcW w:w="3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1060" w:type="dxa"/>
            <w:vAlign w:val="bottom"/>
            <w:gridSpan w:val="2"/>
          </w:tcPr>
          <w:p>
            <w:pPr>
              <w:ind w:left="440"/>
              <w:spacing w:after="0" w:line="135"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13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140" w:type="dxa"/>
            <w:vAlign w:val="bottom"/>
          </w:tcPr>
          <w:p>
            <w:pPr>
              <w:spacing w:after="0"/>
              <w:rPr>
                <w:sz w:val="13"/>
                <w:szCs w:val="13"/>
                <w:color w:val="auto"/>
              </w:rPr>
            </w:pPr>
          </w:p>
        </w:tc>
        <w:tc>
          <w:tcPr>
            <w:tcW w:w="380" w:type="dxa"/>
            <w:vAlign w:val="bottom"/>
          </w:tcPr>
          <w:p>
            <w:pPr>
              <w:ind w:left="120"/>
              <w:spacing w:after="0"/>
              <w:rPr>
                <w:sz w:val="20"/>
                <w:szCs w:val="20"/>
                <w:color w:val="auto"/>
              </w:rPr>
            </w:pPr>
            <w:r>
              <w:rPr>
                <w:rFonts w:ascii="Arial" w:cs="Arial" w:eastAsia="Arial" w:hAnsi="Arial"/>
                <w:sz w:val="12"/>
                <w:szCs w:val="12"/>
                <w:b w:val="1"/>
                <w:bCs w:val="1"/>
                <w:color w:val="auto"/>
                <w:w w:val="97"/>
              </w:rPr>
              <w:t>Title</w:t>
            </w:r>
          </w:p>
        </w:tc>
        <w:tc>
          <w:tcPr>
            <w:tcW w:w="160" w:type="dxa"/>
            <w:vAlign w:val="bottom"/>
          </w:tcPr>
          <w:p>
            <w:pPr>
              <w:spacing w:after="0"/>
              <w:rPr>
                <w:sz w:val="13"/>
                <w:szCs w:val="13"/>
                <w:color w:val="auto"/>
              </w:rPr>
            </w:pPr>
          </w:p>
        </w:tc>
        <w:tc>
          <w:tcPr>
            <w:tcW w:w="52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30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number of securities reported represents an aggregate number of shares purchased in multiple market transactions over a range of purchase prices. The price reported represents the weighted average price per share. The Reporting Person undertakes to provide the staff of the SEC, the Issuer, or a stockholder of the Issuer, upon request, the number of shares purchased by the Reporting Person at each separate price within the range.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shares acquired directly by sanofi-aventis Amerique du Nord ("SAAN"). The shares were purchased pursuant to a plan intended to comply with Rule 10b5-1(c)(1)(i) under the Exchange Act,</w:t>
      </w:r>
    </w:p>
    <w:p>
      <w:pPr>
        <w:sectPr>
          <w:pgSz w:w="11900" w:h="16863" w:orient="portrait"/>
          <w:cols w:equalWidth="0" w:num="1">
            <w:col w:w="11420"/>
          </w:cols>
          <w:pgMar w:left="240" w:top="226"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color w:val="008000"/>
        </w:rPr>
        <w:t>entered into with a broker on October 15, 2014.</w:t>
      </w:r>
    </w:p>
    <w:p>
      <w:pPr>
        <w:spacing w:after="0" w:line="42" w:lineRule="exact"/>
        <w:rPr>
          <w:sz w:val="20"/>
          <w:szCs w:val="20"/>
          <w:color w:val="auto"/>
        </w:rPr>
      </w:pPr>
    </w:p>
    <w:p>
      <w:pPr>
        <w:ind w:left="140" w:hanging="131"/>
        <w:spacing w:after="0"/>
        <w:tabs>
          <w:tab w:leader="none" w:pos="14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Purchase prices range from $323.40 to $324.32 per share, inclusive.</w:t>
      </w:r>
    </w:p>
    <w:p>
      <w:pPr>
        <w:spacing w:after="0" w:line="41" w:lineRule="exact"/>
        <w:rPr>
          <w:rFonts w:ascii="Arial" w:cs="Arial" w:eastAsia="Arial" w:hAnsi="Arial"/>
          <w:sz w:val="14"/>
          <w:szCs w:val="14"/>
          <w:color w:val="008000"/>
        </w:rPr>
      </w:pPr>
    </w:p>
    <w:p>
      <w:pPr>
        <w:jc w:val="both"/>
        <w:ind w:firstLine="9"/>
        <w:spacing w:after="0" w:line="278" w:lineRule="auto"/>
        <w:tabs>
          <w:tab w:leader="none" w:pos="13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Indirectly owned through (a) SAAN, a direct, wholly-owned subsidiary of Sanofi, and (b) Aventis Pharmaceuticals Inc. ("Aventis"), an indirect, wholly-owned subsidiary of SAAN. After giving effect to all acquisitions reported on this Form 4, the number of shares beneficially owned directly by SAAN and Aventis was 19,736,006 shares and 2,799,552 shares, respectively. Pursuant to the Amended and Restated Investor Agreement, dated as of January 11, 2014, by and among Sanofi, SAAN, sanofi-aventis US LLC, Aventis (collectively, the "Sanofi Parties") and the Issuer, the Sanofi Parties have agreed to vote their respective shares of the Issuer, subject to specified exceptions, in accordance with the recommendation of the Issuer's Board of Directors.</w:t>
      </w:r>
    </w:p>
    <w:p>
      <w:pPr>
        <w:spacing w:after="0" w:line="8" w:lineRule="exact"/>
        <w:rPr>
          <w:rFonts w:ascii="Arial" w:cs="Arial" w:eastAsia="Arial" w:hAnsi="Arial"/>
          <w:sz w:val="12"/>
          <w:szCs w:val="12"/>
          <w:color w:val="008000"/>
        </w:rPr>
      </w:pPr>
    </w:p>
    <w:p>
      <w:pPr>
        <w:ind w:left="140" w:hanging="131"/>
        <w:spacing w:after="0"/>
        <w:tabs>
          <w:tab w:leader="none" w:pos="14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Purchase prices range from $324.39 to $325.38 per share, inclusive.</w:t>
      </w:r>
    </w:p>
    <w:p>
      <w:pPr>
        <w:spacing w:after="0" w:line="41" w:lineRule="exact"/>
        <w:rPr>
          <w:rFonts w:ascii="Arial" w:cs="Arial" w:eastAsia="Arial" w:hAnsi="Arial"/>
          <w:sz w:val="14"/>
          <w:szCs w:val="14"/>
          <w:color w:val="008000"/>
        </w:rPr>
      </w:pPr>
    </w:p>
    <w:p>
      <w:pPr>
        <w:ind w:left="140" w:hanging="131"/>
        <w:spacing w:after="0"/>
        <w:tabs>
          <w:tab w:leader="none" w:pos="14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Purchase prices range from $325.39 to $326.37 per share, inclusive.</w:t>
      </w:r>
    </w:p>
    <w:p>
      <w:pPr>
        <w:spacing w:after="0" w:line="41" w:lineRule="exact"/>
        <w:rPr>
          <w:rFonts w:ascii="Arial" w:cs="Arial" w:eastAsia="Arial" w:hAnsi="Arial"/>
          <w:sz w:val="14"/>
          <w:szCs w:val="14"/>
          <w:color w:val="008000"/>
        </w:rPr>
      </w:pPr>
    </w:p>
    <w:p>
      <w:pPr>
        <w:ind w:left="140" w:hanging="131"/>
        <w:spacing w:after="0"/>
        <w:tabs>
          <w:tab w:leader="none" w:pos="14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Purchase prices range from $326.39 to $327.38 per share, inclusive.</w:t>
      </w:r>
    </w:p>
    <w:p>
      <w:pPr>
        <w:spacing w:after="0" w:line="41" w:lineRule="exact"/>
        <w:rPr>
          <w:rFonts w:ascii="Arial" w:cs="Arial" w:eastAsia="Arial" w:hAnsi="Arial"/>
          <w:sz w:val="14"/>
          <w:szCs w:val="14"/>
          <w:color w:val="008000"/>
        </w:rPr>
      </w:pPr>
    </w:p>
    <w:p>
      <w:pPr>
        <w:ind w:left="140" w:hanging="131"/>
        <w:spacing w:after="0"/>
        <w:tabs>
          <w:tab w:leader="none" w:pos="14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Purchase prices range from $327.39 to $328.38 per share, inclusive.</w:t>
      </w:r>
    </w:p>
    <w:p>
      <w:pPr>
        <w:spacing w:after="0" w:line="41" w:lineRule="exact"/>
        <w:rPr>
          <w:rFonts w:ascii="Arial" w:cs="Arial" w:eastAsia="Arial" w:hAnsi="Arial"/>
          <w:sz w:val="14"/>
          <w:szCs w:val="14"/>
          <w:color w:val="008000"/>
        </w:rPr>
      </w:pPr>
    </w:p>
    <w:p>
      <w:pPr>
        <w:ind w:left="140" w:hanging="131"/>
        <w:spacing w:after="0"/>
        <w:tabs>
          <w:tab w:leader="none" w:pos="14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Purchase prices range from $328.39 to $329.38 per share, inclusive.</w:t>
      </w:r>
    </w:p>
    <w:p>
      <w:pPr>
        <w:spacing w:after="0" w:line="41" w:lineRule="exact"/>
        <w:rPr>
          <w:rFonts w:ascii="Arial" w:cs="Arial" w:eastAsia="Arial" w:hAnsi="Arial"/>
          <w:sz w:val="14"/>
          <w:szCs w:val="14"/>
          <w:color w:val="008000"/>
        </w:rPr>
      </w:pPr>
    </w:p>
    <w:p>
      <w:pPr>
        <w:ind w:left="220" w:hanging="211"/>
        <w:spacing w:after="0"/>
        <w:tabs>
          <w:tab w:leader="none" w:pos="22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Purchase prices range from $329.39 to $330.11 per share, inclusive.</w:t>
      </w:r>
    </w:p>
    <w:p>
      <w:pPr>
        <w:spacing w:after="0" w:line="41" w:lineRule="exact"/>
        <w:rPr>
          <w:rFonts w:ascii="Arial" w:cs="Arial" w:eastAsia="Arial" w:hAnsi="Arial"/>
          <w:sz w:val="14"/>
          <w:szCs w:val="14"/>
          <w:color w:val="008000"/>
        </w:rPr>
      </w:pPr>
    </w:p>
    <w:p>
      <w:pPr>
        <w:ind w:left="200" w:hanging="191"/>
        <w:spacing w:after="0"/>
        <w:tabs>
          <w:tab w:leader="none" w:pos="20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Purchase prices range from $330.46 to $331.26 per share, inclusive.</w:t>
      </w:r>
    </w:p>
    <w:p>
      <w:pPr>
        <w:spacing w:after="0" w:line="64" w:lineRule="exact"/>
        <w:rPr>
          <w:rFonts w:ascii="Arial" w:cs="Arial" w:eastAsia="Arial" w:hAnsi="Arial"/>
          <w:sz w:val="12"/>
          <w:szCs w:val="12"/>
          <w:color w:val="008000"/>
        </w:rPr>
      </w:pPr>
    </w:p>
    <w:p>
      <w:pPr>
        <w:ind w:left="220" w:hanging="211"/>
        <w:spacing w:after="0"/>
        <w:tabs>
          <w:tab w:leader="none" w:pos="22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Purchase prices range from $331.47 to $332.41 per share, inclusive.</w:t>
      </w:r>
    </w:p>
    <w:p>
      <w:pPr>
        <w:spacing w:after="0" w:line="41" w:lineRule="exact"/>
        <w:rPr>
          <w:rFonts w:ascii="Arial" w:cs="Arial" w:eastAsia="Arial" w:hAnsi="Arial"/>
          <w:sz w:val="14"/>
          <w:szCs w:val="14"/>
          <w:color w:val="008000"/>
        </w:rPr>
      </w:pPr>
    </w:p>
    <w:p>
      <w:pPr>
        <w:ind w:left="220" w:hanging="211"/>
        <w:spacing w:after="0"/>
        <w:tabs>
          <w:tab w:leader="none" w:pos="22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Purchase prices range from $332.47 to $333.28 per share, inclusive.</w:t>
      </w:r>
    </w:p>
    <w:p>
      <w:pPr>
        <w:spacing w:after="0" w:line="41" w:lineRule="exact"/>
        <w:rPr>
          <w:rFonts w:ascii="Arial" w:cs="Arial" w:eastAsia="Arial" w:hAnsi="Arial"/>
          <w:sz w:val="14"/>
          <w:szCs w:val="14"/>
          <w:color w:val="008000"/>
        </w:rPr>
      </w:pPr>
    </w:p>
    <w:p>
      <w:pPr>
        <w:ind w:left="220" w:hanging="211"/>
        <w:spacing w:after="0"/>
        <w:tabs>
          <w:tab w:leader="none" w:pos="22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Purchase prices range from $333.50 to $334.40 per share, inclusive.</w:t>
      </w:r>
    </w:p>
    <w:p>
      <w:pPr>
        <w:spacing w:after="0" w:line="41" w:lineRule="exact"/>
        <w:rPr>
          <w:rFonts w:ascii="Arial" w:cs="Arial" w:eastAsia="Arial" w:hAnsi="Arial"/>
          <w:sz w:val="14"/>
          <w:szCs w:val="14"/>
          <w:color w:val="008000"/>
        </w:rPr>
      </w:pPr>
    </w:p>
    <w:p>
      <w:pPr>
        <w:ind w:left="220" w:hanging="211"/>
        <w:spacing w:after="0"/>
        <w:tabs>
          <w:tab w:leader="none" w:pos="22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Purchase prices range from $334.62 to $335.00 per share, inclusive.</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 John Felitti, Associate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3589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8900" cy="8890"/>
                    </a:xfrm>
                    <a:prstGeom prst="rect">
                      <a:avLst/>
                    </a:prstGeom>
                    <a:noFill/>
                  </pic:spPr>
                </pic:pic>
              </a:graphicData>
            </a:graphic>
          </wp:anchor>
        </w:drawing>
      </w:r>
    </w:p>
    <w:p>
      <w:pPr>
        <w:ind w:left="6820"/>
        <w:spacing w:after="0"/>
        <w:tabs>
          <w:tab w:leader="none" w:pos="9100" w:val="left"/>
        </w:tabs>
        <w:rPr>
          <w:sz w:val="20"/>
          <w:szCs w:val="20"/>
          <w:color w:val="auto"/>
        </w:rPr>
      </w:pPr>
      <w:r>
        <w:rPr>
          <w:rFonts w:ascii="Arial" w:cs="Arial" w:eastAsia="Arial" w:hAnsi="Arial"/>
          <w:sz w:val="18"/>
          <w:szCs w:val="18"/>
          <w:color w:val="0000FF"/>
        </w:rPr>
        <w:t>President, Corporate Law,</w:t>
      </w:r>
      <w:r>
        <w:rPr>
          <w:sz w:val="20"/>
          <w:szCs w:val="20"/>
          <w:color w:val="auto"/>
        </w:rPr>
        <w:tab/>
      </w:r>
      <w:r>
        <w:rPr>
          <w:rFonts w:ascii="Arial" w:cs="Arial" w:eastAsia="Arial" w:hAnsi="Arial"/>
          <w:sz w:val="15"/>
          <w:szCs w:val="15"/>
          <w:color w:val="0000FF"/>
        </w:rPr>
        <w:t>10/17/2014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Financial &amp; Securities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230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23010" cy="8890"/>
                    </a:xfrm>
                    <a:prstGeom prst="rect">
                      <a:avLst/>
                    </a:prstGeom>
                    <a:noFill/>
                  </pic:spPr>
                </pic:pic>
              </a:graphicData>
            </a:graphic>
          </wp:anchor>
        </w:drawing>
      </w:r>
    </w:p>
    <w:p>
      <w:pPr>
        <w:spacing w:after="0" w:line="44"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44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240"/>
      </w:cols>
      <w:pgMar w:left="280" w:top="12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3"/>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21404"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2019-12-17T05:42:18Z</dcterms:created>
  <dcterms:modified xsi:type="dcterms:W3CDTF">2019-12-17T05:42:18Z</dcterms:modified>
</cp:coreProperties>
</file>