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2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25640"/>
                    </a:xfrm>
                    <a:prstGeom prst="rect">
                      <a:avLst/>
                    </a:prstGeom>
                    <a:noFill/>
                  </pic:spPr>
                </pic:pic>
              </a:graphicData>
            </a:graphic>
          </wp:anchor>
        </w:drawing>
      </w:r>
    </w:p>
    <w:p>
      <w:pPr>
        <w:spacing w:after="0" w:line="41" w:lineRule="exact"/>
        <w:rPr>
          <w:sz w:val="24"/>
          <w:szCs w:val="24"/>
          <w:color w:val="auto"/>
        </w:rPr>
      </w:pPr>
    </w:p>
    <w:p>
      <w:pPr>
        <w:sectPr>
          <w:pgSz w:w="11900" w:h="16890"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Powchik Peter</w:t>
              </w:r>
            </w:hyperlink>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40" w:type="dxa"/>
            <w:vAlign w:val="bottom"/>
            <w:tcBorders>
              <w:top w:val="single" w:sz="8" w:color="EEEEEE"/>
            </w:tcBorders>
          </w:tcPr>
          <w:p>
            <w:pPr>
              <w:spacing w:after="0"/>
              <w:rPr>
                <w:sz w:val="8"/>
                <w:szCs w:val="8"/>
                <w:color w:val="auto"/>
              </w:rPr>
            </w:pPr>
          </w:p>
        </w:tc>
        <w:tc>
          <w:tcPr>
            <w:tcW w:w="16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7"/>
                <w:szCs w:val="17"/>
                <w:color w:val="0000FF"/>
              </w:rPr>
              <w:t>SVP Clin Devel &amp; Reg Affairs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01/02/2013</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left="73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40" w:type="dxa"/>
            <w:vAlign w:val="bottom"/>
            <w:gridSpan w:val="5"/>
          </w:tcPr>
          <w:p>
            <w:pPr>
              <w:jc w:val="center"/>
              <w:ind w:left="54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01/02/2013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2"/>
              </w:rPr>
              <w:t>30,000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21.25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44,990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01/02/2013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3,584</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177.82</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41,406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01/02/2013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2"/>
              </w:rPr>
              <w:t>12,830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177.82</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28,576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01/03/2013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8"/>
              </w:rPr>
              <w:t>786</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180.83</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27,790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01/03/2013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6,200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181.51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21,590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01/03/2013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2,300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182.29</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19,290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01/03/2013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4,300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183.1</w:t>
            </w:r>
            <w:r>
              <w:rPr>
                <w:rFonts w:ascii="Arial" w:cs="Arial" w:eastAsia="Arial" w:hAnsi="Arial"/>
                <w:sz w:val="22"/>
                <w:szCs w:val="22"/>
                <w:color w:val="008000"/>
                <w:w w:val="88"/>
                <w:vertAlign w:val="superscript"/>
              </w:rPr>
              <w:t>(5)</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14,990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1,532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16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01/02/2013</w:t>
            </w:r>
          </w:p>
        </w:tc>
        <w:tc>
          <w:tcPr>
            <w:tcW w:w="1140" w:type="dxa"/>
            <w:vAlign w:val="bottom"/>
          </w:tcPr>
          <w:p>
            <w:pPr>
              <w:spacing w:after="0"/>
              <w:rPr>
                <w:sz w:val="18"/>
                <w:szCs w:val="18"/>
                <w:color w:val="auto"/>
              </w:rPr>
            </w:pPr>
          </w:p>
        </w:tc>
        <w:tc>
          <w:tcPr>
            <w:tcW w:w="500" w:type="dxa"/>
            <w:vAlign w:val="bottom"/>
            <w:gridSpan w:val="4"/>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30,000</w:t>
            </w: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12/18/2019</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(7)</w:t>
            </w:r>
          </w:p>
        </w:tc>
        <w:tc>
          <w:tcPr>
            <w:tcW w:w="620" w:type="dxa"/>
            <w:vAlign w:val="bottom"/>
          </w:tcPr>
          <w:p>
            <w:pPr>
              <w:ind w:left="320"/>
              <w:spacing w:after="0"/>
              <w:rPr>
                <w:sz w:val="20"/>
                <w:szCs w:val="20"/>
                <w:color w:val="auto"/>
              </w:rPr>
            </w:pPr>
            <w:r>
              <w:rPr>
                <w:rFonts w:ascii="Arial" w:cs="Arial" w:eastAsia="Arial" w:hAnsi="Arial"/>
                <w:sz w:val="13"/>
                <w:szCs w:val="13"/>
                <w:color w:val="0000FF"/>
              </w:rPr>
              <w:t>295</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40" w:right="2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786 shares of Company stock on January 3, 2013 at prices ranging from $180.44 to $180.97. Upon request by the Commission staff, the Company, or a security holder of the Company, the reporting person will provide full information regarding the number of shares sold by the reporting person on January 3, 2013 at each separate price.</w:t>
      </w:r>
    </w:p>
    <w:p>
      <w:pPr>
        <w:ind w:left="40" w:right="1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6,200 shares of Company stock on January 3, 2013 at prices ranging from $181.00 to $181.97. Upon request by the Commission staff, the Company, or a security holder of the Company, the reporting person will provide full information regarding the number of shares sold by the reporting person on January 3, 2013 at each separate price.</w:t>
      </w:r>
    </w:p>
    <w:p>
      <w:pPr>
        <w:ind w:left="40" w:right="1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2,300 shares of Company stock on January 3, 2013 at prices ranging from $182.03 to $182.99. Upon request by the Commission staff, the Company, or a security holder of the Company, the reporting person will provide full information regarding the number of shares sold by the reporting person on January 3, 2013 at each separate price.</w:t>
      </w:r>
    </w:p>
    <w:p>
      <w:pPr>
        <w:ind w:left="40" w:right="1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4,300 shares of Company stock on January 3, 2013 at prices ranging from $183.01 to $180.3.40. Upon request by the Commission staff, the Company, or a security holder of the Company, the reporting person will provide full information regarding the number of shares sold by the reporting person on January 3, 2013 at each separate price.</w:t>
      </w: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2012, based upon the satisfaction by the company of certain performance criteria during the period ended December 31, 2012.</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By: Douglas McCorkle For:</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01/04/2013</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5"/>
              </w:rPr>
              <w:t>/s/**Peter Powchik</w:t>
            </w:r>
          </w:p>
        </w:tc>
        <w:tc>
          <w:tcPr>
            <w:tcW w:w="600" w:type="dxa"/>
            <w:vAlign w:val="bottom"/>
            <w:tcBorders>
              <w:top w:val="single" w:sz="8" w:color="auto"/>
              <w:bottom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90"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38" w:right="1379" w:bottom="1440" w:gutter="0" w:footer="0" w:header="0"/>
        </w:sectPr>
      </w:pPr>
    </w:p>
    <w:bookmarkStart w:id="2" w:name="page3"/>
    <w:bookmarkEnd w:id="2"/>
    <w:p>
      <w:pPr>
        <w:ind w:left="336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1839" w:firstLine="942"/>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Alicia Pantaleo, Beverly Dubs, Stuart Kolinski, Murray Goldberg, and Douglas McCorkle signing singly, the undersigned's true and lawful attorney-in-fact to:</w:t>
      </w:r>
    </w:p>
    <w:p>
      <w:pPr>
        <w:spacing w:after="0" w:line="398" w:lineRule="exact"/>
        <w:rPr>
          <w:sz w:val="20"/>
          <w:szCs w:val="20"/>
          <w:color w:val="auto"/>
        </w:rPr>
      </w:pPr>
    </w:p>
    <w:p>
      <w:pPr>
        <w:ind w:left="1900" w:right="2059" w:hanging="1056"/>
        <w:spacing w:after="0" w:line="252" w:lineRule="auto"/>
        <w:tabs>
          <w:tab w:leader="none" w:pos="1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397" w:lineRule="exact"/>
        <w:rPr>
          <w:rFonts w:ascii="Courier New" w:cs="Courier New" w:eastAsia="Courier New" w:hAnsi="Courier New"/>
          <w:sz w:val="17"/>
          <w:szCs w:val="17"/>
          <w:color w:val="auto"/>
        </w:rPr>
      </w:pPr>
    </w:p>
    <w:p>
      <w:pPr>
        <w:ind w:left="1900" w:right="1839" w:hanging="1056"/>
        <w:spacing w:after="0" w:line="251" w:lineRule="auto"/>
        <w:tabs>
          <w:tab w:leader="none" w:pos="1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ind w:left="1900" w:right="1839" w:hanging="1056"/>
        <w:spacing w:after="0" w:line="251" w:lineRule="auto"/>
        <w:tabs>
          <w:tab w:leader="none" w:pos="1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400" w:lineRule="exact"/>
        <w:rPr>
          <w:sz w:val="20"/>
          <w:szCs w:val="20"/>
          <w:color w:val="auto"/>
        </w:rPr>
      </w:pPr>
    </w:p>
    <w:p>
      <w:pPr>
        <w:ind w:right="1939" w:firstLine="942"/>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939" w:firstLine="942"/>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9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14th day of May, 2008.</w:t>
      </w:r>
    </w:p>
    <w:p>
      <w:pPr>
        <w:spacing w:after="0" w:line="394"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*s/Peter Powchik</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Peter Powchik</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4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2019-12-18T09:47:39Z</dcterms:created>
  <dcterms:modified xsi:type="dcterms:W3CDTF">2019-12-18T09:47:39Z</dcterms:modified>
</cp:coreProperties>
</file>