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71"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0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07/02/2014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11"/>
            <w:vMerge w:val="continue"/>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0"/>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1"/>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6,151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298.9059</w:t>
            </w:r>
            <w:r>
              <w:rPr>
                <w:rFonts w:ascii="Arial" w:cs="Arial" w:eastAsia="Arial" w:hAnsi="Arial"/>
                <w:sz w:val="22"/>
                <w:szCs w:val="22"/>
                <w:color w:val="008000"/>
                <w:w w:val="84"/>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20,689,792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18,945</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299.8729</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20,708,737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10,900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300.5558</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20,719,637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6,673</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301.631</w:t>
            </w:r>
            <w:r>
              <w:rPr>
                <w:rFonts w:ascii="Arial" w:cs="Arial" w:eastAsia="Arial" w:hAnsi="Arial"/>
                <w:sz w:val="22"/>
                <w:szCs w:val="22"/>
                <w:color w:val="008000"/>
                <w:w w:val="82"/>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20,726,310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303.0229</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20,728,010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2,425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304.193</w:t>
            </w:r>
            <w:r>
              <w:rPr>
                <w:rFonts w:ascii="Arial" w:cs="Arial" w:eastAsia="Arial" w:hAnsi="Arial"/>
                <w:sz w:val="22"/>
                <w:szCs w:val="22"/>
                <w:color w:val="008000"/>
                <w:w w:val="82"/>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20,730,435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8,741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305.2062</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20,739,176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7,138</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306.3395</w:t>
            </w:r>
            <w:r>
              <w:rPr>
                <w:rFonts w:ascii="Arial" w:cs="Arial" w:eastAsia="Arial" w:hAnsi="Arial"/>
                <w:sz w:val="22"/>
                <w:szCs w:val="22"/>
                <w:color w:val="008000"/>
                <w:w w:val="83"/>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20,746,314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18,997</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307.2525</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20,765,311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35,400</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308.4334</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20,800,711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30,530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309.3588</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20,831,241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28,290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310.1358</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20,859,531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30,510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311.3193</w:t>
            </w:r>
            <w:r>
              <w:rPr>
                <w:rFonts w:ascii="Arial" w:cs="Arial" w:eastAsia="Arial" w:hAnsi="Arial"/>
                <w:sz w:val="22"/>
                <w:szCs w:val="22"/>
                <w:color w:val="008000"/>
                <w:w w:val="83"/>
                <w:vertAlign w:val="superscript"/>
              </w:rPr>
              <w:t>(1)(16)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20,890,041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07/02/2014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6,000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311.9243</w:t>
            </w:r>
            <w:r>
              <w:rPr>
                <w:rFonts w:ascii="Arial" w:cs="Arial" w:eastAsia="Arial" w:hAnsi="Arial"/>
                <w:sz w:val="22"/>
                <w:szCs w:val="22"/>
                <w:color w:val="008000"/>
                <w:w w:val="83"/>
                <w:vertAlign w:val="superscript"/>
              </w:rPr>
              <w:t>(1)(17)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20,896,041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9"/>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17"/>
          </w:tcPr>
          <w:p>
            <w:pPr>
              <w:jc w:val="center"/>
              <w:ind w:left="18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7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246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24663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20"/>
              <w:spacing w:after="0" w:line="121" w:lineRule="exact"/>
              <w:rPr>
                <w:sz w:val="20"/>
                <w:szCs w:val="20"/>
                <w:color w:val="auto"/>
              </w:rPr>
            </w:pPr>
            <w:r>
              <w:rPr>
                <w:rFonts w:ascii="Arial" w:cs="Arial" w:eastAsia="Arial" w:hAnsi="Arial"/>
                <w:sz w:val="12"/>
                <w:szCs w:val="12"/>
                <w:b w:val="1"/>
                <w:bCs w:val="1"/>
                <w:color w:val="auto"/>
                <w:w w:val="89"/>
              </w:rPr>
              <w:t>Code.4</w:t>
            </w:r>
          </w:p>
        </w:tc>
        <w:tc>
          <w:tcPr>
            <w:tcW w:w="4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(A)5.Number(D)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Exercisable.6DateExercisableDate and</w:t>
            </w:r>
          </w:p>
        </w:tc>
        <w:tc>
          <w:tcPr>
            <w:tcW w:w="11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0"/>
              </w:rPr>
              <w:t>Title.7Title andShares</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1420" w:type="dxa"/>
            <w:vAlign w:val="bottom"/>
            <w:gridSpan w:val="13"/>
          </w:tcPr>
          <w:p>
            <w:pPr>
              <w:ind w:left="40"/>
              <w:spacing w:after="0" w:line="68" w:lineRule="exact"/>
              <w:rPr>
                <w:sz w:val="20"/>
                <w:szCs w:val="20"/>
                <w:color w:val="auto"/>
              </w:rPr>
            </w:pPr>
            <w:r>
              <w:rPr>
                <w:rFonts w:ascii="Arial" w:cs="Arial" w:eastAsia="Arial" w:hAnsi="Arial"/>
                <w:sz w:val="7"/>
                <w:szCs w:val="7"/>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40" w:type="dxa"/>
            <w:vAlign w:val="bottom"/>
          </w:tcPr>
          <w:p>
            <w:pPr>
              <w:spacing w:after="0"/>
              <w:rPr>
                <w:sz w:val="5"/>
                <w:szCs w:val="5"/>
                <w:color w:val="auto"/>
              </w:rPr>
            </w:pPr>
          </w:p>
        </w:tc>
        <w:tc>
          <w:tcPr>
            <w:tcW w:w="112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8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11420" w:type="dxa"/>
            <w:vAlign w:val="bottom"/>
            <w:gridSpan w:val="13"/>
          </w:tcPr>
          <w:p>
            <w:pPr>
              <w:ind w:left="40"/>
              <w:spacing w:after="0" w:line="81" w:lineRule="exact"/>
              <w:rPr>
                <w:sz w:val="20"/>
                <w:szCs w:val="20"/>
                <w:color w:val="auto"/>
              </w:rPr>
            </w:pPr>
            <w:r>
              <w:rPr>
                <w:rFonts w:ascii="Arial" w:cs="Arial" w:eastAsia="Arial" w:hAnsi="Arial"/>
                <w:sz w:val="9"/>
                <w:szCs w:val="9"/>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60" w:type="dxa"/>
            <w:vAlign w:val="bottom"/>
          </w:tcPr>
          <w:p>
            <w:pPr>
              <w:ind w:left="20"/>
              <w:spacing w:after="0" w:line="54" w:lineRule="exact"/>
              <w:rPr>
                <w:sz w:val="20"/>
                <w:szCs w:val="20"/>
                <w:color w:val="auto"/>
              </w:rPr>
            </w:pPr>
            <w:r>
              <w:rPr>
                <w:rFonts w:ascii="Arial" w:cs="Arial" w:eastAsia="Arial" w:hAnsi="Arial"/>
                <w:sz w:val="6"/>
                <w:szCs w:val="6"/>
                <w:b w:val="1"/>
                <w:bCs w:val="1"/>
                <w:color w:val="auto"/>
              </w:rPr>
              <w:t>Security</w:t>
            </w:r>
          </w:p>
        </w:tc>
        <w:tc>
          <w:tcPr>
            <w:tcW w:w="1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40" w:type="dxa"/>
            <w:vAlign w:val="bottom"/>
          </w:tcPr>
          <w:p>
            <w:pPr>
              <w:spacing w:after="0"/>
              <w:rPr>
                <w:sz w:val="4"/>
                <w:szCs w:val="4"/>
                <w:color w:val="auto"/>
              </w:rPr>
            </w:pPr>
          </w:p>
        </w:tc>
        <w:tc>
          <w:tcPr>
            <w:tcW w:w="11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 3</w:t>
            </w:r>
          </w:p>
        </w:tc>
        <w:tc>
          <w:tcPr>
            <w:tcW w:w="740" w:type="dxa"/>
            <w:vAlign w:val="bottom"/>
          </w:tcPr>
          <w:p>
            <w:pPr>
              <w:spacing w:after="0"/>
              <w:rPr>
                <w:sz w:val="4"/>
                <w:szCs w:val="4"/>
                <w:color w:val="auto"/>
              </w:rPr>
            </w:pPr>
          </w:p>
        </w:tc>
        <w:tc>
          <w:tcPr>
            <w:tcW w:w="98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(I) (Instr. 4)</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720" w:type="dxa"/>
            <w:vAlign w:val="bottom"/>
            <w:gridSpan w:val="3"/>
          </w:tcPr>
          <w:p>
            <w:pPr>
              <w:ind w:left="40"/>
              <w:spacing w:after="0" w:line="146" w:lineRule="exact"/>
              <w:rPr>
                <w:sz w:val="20"/>
                <w:szCs w:val="20"/>
                <w:color w:val="auto"/>
              </w:rPr>
            </w:pPr>
            <w:r>
              <w:rPr>
                <w:rFonts w:ascii="Arial" w:cs="Arial" w:eastAsia="Arial" w:hAnsi="Arial"/>
                <w:sz w:val="14"/>
                <w:szCs w:val="14"/>
                <w:color w:val="008000"/>
              </w:rPr>
              <w:t>separate price within the range.</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2"/>
                <w:szCs w:val="12"/>
                <w:color w:val="auto"/>
              </w:rPr>
            </w:pP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(D)</w:t>
            </w:r>
          </w:p>
        </w:tc>
        <w:tc>
          <w:tcPr>
            <w:tcW w:w="1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 tion(s)</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142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Represents shares acquired directly by sanofi-aventis Amerique du Nord ("SAAN"). The shares were purchased pursuant to a plan intended to comply with Rule 10b5-1(c)(1)(i) under the Exchange Act,</w:t>
            </w:r>
          </w:p>
        </w:tc>
        <w:tc>
          <w:tcPr>
            <w:tcW w:w="0" w:type="dxa"/>
            <w:vAlign w:val="bottom"/>
          </w:tcPr>
          <w:p>
            <w:pPr>
              <w:spacing w:after="0" w:line="20" w:lineRule="exact"/>
              <w:rPr>
                <w:sz w:val="1"/>
                <w:szCs w:val="1"/>
                <w:color w:val="auto"/>
              </w:rPr>
            </w:pPr>
          </w:p>
        </w:tc>
      </w:tr>
      <w:tr>
        <w:trPr>
          <w:trHeight w:val="149"/>
        </w:trPr>
        <w:tc>
          <w:tcPr>
            <w:tcW w:w="2720" w:type="dxa"/>
            <w:vAlign w:val="bottom"/>
            <w:gridSpan w:val="3"/>
          </w:tcPr>
          <w:p>
            <w:pPr>
              <w:ind w:left="40"/>
              <w:spacing w:after="0" w:line="149" w:lineRule="exact"/>
              <w:rPr>
                <w:sz w:val="20"/>
                <w:szCs w:val="20"/>
                <w:color w:val="auto"/>
              </w:rPr>
            </w:pPr>
            <w:r>
              <w:rPr>
                <w:rFonts w:ascii="Arial" w:cs="Arial" w:eastAsia="Arial" w:hAnsi="Arial"/>
                <w:sz w:val="14"/>
                <w:szCs w:val="14"/>
                <w:color w:val="008000"/>
                <w:w w:val="97"/>
              </w:rPr>
              <w:t>entered into with a broker on June 27, 2014.</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00" w:type="dxa"/>
            <w:vAlign w:val="bottom"/>
            <w:gridSpan w:val="4"/>
            <w:vMerge w:val="restart"/>
          </w:tcPr>
          <w:p>
            <w:pPr>
              <w:ind w:left="40"/>
              <w:spacing w:after="0"/>
              <w:rPr>
                <w:sz w:val="20"/>
                <w:szCs w:val="20"/>
                <w:color w:val="auto"/>
              </w:rPr>
            </w:pPr>
            <w:r>
              <w:rPr>
                <w:rFonts w:ascii="Arial" w:cs="Arial" w:eastAsia="Arial" w:hAnsi="Arial"/>
                <w:sz w:val="14"/>
                <w:szCs w:val="14"/>
                <w:color w:val="008000"/>
                <w:w w:val="87"/>
              </w:rPr>
              <w:t>3. Purchase prices range from $298.29 to $299.28 per share, inclusive.</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900" w:type="dxa"/>
            <w:vAlign w:val="bottom"/>
            <w:gridSpan w:val="4"/>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40" w:right="140"/>
        <w:spacing w:after="0" w:line="256" w:lineRule="auto"/>
        <w:rPr>
          <w:sz w:val="20"/>
          <w:szCs w:val="20"/>
          <w:color w:val="auto"/>
        </w:rPr>
      </w:pPr>
      <w:r>
        <w:rPr>
          <w:rFonts w:ascii="Arial" w:cs="Arial" w:eastAsia="Arial" w:hAnsi="Arial"/>
          <w:sz w:val="12"/>
          <w:szCs w:val="12"/>
          <w:color w:val="008000"/>
        </w:rPr>
        <w:t>4. 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18,096,489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ectPr>
          <w:pgSz w:w="11900" w:h="16838" w:orient="portrait"/>
          <w:cols w:equalWidth="0" w:num="1">
            <w:col w:w="11420"/>
          </w:cols>
          <w:pgMar w:left="240" w:top="64" w:right="239" w:bottom="1440" w:gutter="0" w:footer="0" w:header="0"/>
        </w:sectPr>
      </w:pPr>
    </w:p>
    <w:p>
      <w:pPr>
        <w:spacing w:after="0" w:line="59"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$299.29 to $300.28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$300.32 to $301.19 per share, inclusive.</w:t>
      </w:r>
    </w:p>
    <w:p>
      <w:pPr>
        <w:spacing w:after="0" w:line="11" w:lineRule="exact"/>
        <w:rPr>
          <w:sz w:val="20"/>
          <w:szCs w:val="20"/>
          <w:color w:val="auto"/>
        </w:rPr>
      </w:pPr>
    </w:p>
    <w:p>
      <w:pPr>
        <w:ind w:left="40"/>
        <w:spacing w:after="0"/>
        <w:tabs>
          <w:tab w:leader="none" w:pos="4360" w:val="left"/>
        </w:tabs>
        <w:rPr>
          <w:sz w:val="20"/>
          <w:szCs w:val="20"/>
          <w:color w:val="auto"/>
        </w:rPr>
      </w:pPr>
      <w:r>
        <w:rPr>
          <w:rFonts w:ascii="Arial" w:cs="Arial" w:eastAsia="Arial" w:hAnsi="Arial"/>
          <w:sz w:val="12"/>
          <w:szCs w:val="12"/>
          <w:color w:val="008000"/>
        </w:rPr>
        <w:t xml:space="preserve">7. Purchase prices range from $301.36 to $302.00 per share, inclusive. </w:t>
      </w:r>
      <w:r>
        <w:rPr>
          <w:rFonts w:ascii="Arial" w:cs="Arial" w:eastAsia="Arial" w:hAnsi="Arial"/>
          <w:sz w:val="21"/>
          <w:szCs w:val="21"/>
          <w:b w:val="1"/>
          <w:bCs w:val="1"/>
          <w:color w:val="000000"/>
          <w:vertAlign w:val="subscript"/>
        </w:rPr>
        <w:t>Code</w:t>
      </w:r>
      <w:r>
        <w:rPr>
          <w:sz w:val="20"/>
          <w:szCs w:val="20"/>
          <w:color w:val="auto"/>
        </w:rPr>
        <w:tab/>
      </w:r>
      <w:r>
        <w:rPr>
          <w:rFonts w:ascii="Arial" w:cs="Arial" w:eastAsia="Arial" w:hAnsi="Arial"/>
          <w:sz w:val="17"/>
          <w:szCs w:val="17"/>
          <w:b w:val="1"/>
          <w:bCs w:val="1"/>
          <w:color w:val="auto"/>
          <w:vertAlign w:val="subscript"/>
        </w:rPr>
        <w:t>V</w:t>
      </w:r>
    </w:p>
    <w:p>
      <w:pPr>
        <w:spacing w:after="0" w:line="3"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$302.59 to $303.54 per share, inclusive.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$303.73 to $304.68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$304.75 to $305.60 per share, inclusive.</w:t>
      </w:r>
    </w:p>
    <w:p>
      <w:pPr>
        <w:spacing w:after="0" w:line="64" w:lineRule="exact"/>
        <w:rPr>
          <w:rFonts w:ascii="Arial" w:cs="Arial" w:eastAsia="Arial" w:hAnsi="Arial"/>
          <w:sz w:val="12"/>
          <w:szCs w:val="12"/>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$305.77 to $306.76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$306.77 to $307.76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$307.81 to $308.80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$308.81 to $309.80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$309.81 to $310.80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$310.81 to $311.80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$311.81 to $312.11 per share, inclusive.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20" w:lineRule="exact"/>
        <w:rPr>
          <w:sz w:val="20"/>
          <w:szCs w:val="20"/>
          <w:color w:val="auto"/>
        </w:rPr>
      </w:pPr>
      <w:r>
        <w:rPr>
          <w:sz w:val="20"/>
          <w:szCs w:val="20"/>
          <w:color w:val="auto"/>
        </w:rPr>
        <w:br w:type="column"/>
      </w:r>
    </w:p>
    <w:p>
      <w:pPr>
        <w:ind w:left="2800"/>
        <w:spacing w:after="0" w:line="236" w:lineRule="auto"/>
        <w:rPr>
          <w:sz w:val="20"/>
          <w:szCs w:val="20"/>
          <w:color w:val="auto"/>
        </w:rPr>
      </w:pPr>
      <w:r>
        <w:rPr>
          <w:rFonts w:ascii="Arial" w:cs="Arial" w:eastAsia="Arial" w:hAnsi="Arial"/>
          <w:sz w:val="12"/>
          <w:szCs w:val="12"/>
          <w:b w:val="1"/>
          <w:bCs w:val="1"/>
          <w:color w:val="auto"/>
        </w:rPr>
        <w:t>Amount</w:t>
      </w:r>
    </w:p>
    <w:p>
      <w:pPr>
        <w:ind w:left="2800"/>
        <w:spacing w:after="0" w:line="235" w:lineRule="auto"/>
        <w:rPr>
          <w:sz w:val="20"/>
          <w:szCs w:val="20"/>
          <w:color w:val="auto"/>
        </w:rPr>
      </w:pPr>
      <w:r>
        <w:rPr>
          <w:rFonts w:ascii="Arial" w:cs="Arial" w:eastAsia="Arial" w:hAnsi="Arial"/>
          <w:sz w:val="12"/>
          <w:szCs w:val="12"/>
          <w:b w:val="1"/>
          <w:bCs w:val="1"/>
          <w:color w:val="auto"/>
        </w:rPr>
        <w:t>or</w:t>
      </w:r>
    </w:p>
    <w:p>
      <w:pPr>
        <w:ind w:left="2800"/>
        <w:spacing w:after="0" w:line="235" w:lineRule="auto"/>
        <w:rPr>
          <w:sz w:val="20"/>
          <w:szCs w:val="20"/>
          <w:color w:val="auto"/>
        </w:rPr>
      </w:pPr>
      <w:r>
        <w:rPr>
          <w:rFonts w:ascii="Arial" w:cs="Arial" w:eastAsia="Arial" w:hAnsi="Arial"/>
          <w:sz w:val="12"/>
          <w:szCs w:val="12"/>
          <w:b w:val="1"/>
          <w:bCs w:val="1"/>
          <w:color w:val="auto"/>
        </w:rPr>
        <w:t>Number</w:t>
      </w:r>
    </w:p>
    <w:p>
      <w:pPr>
        <w:ind w:left="780"/>
        <w:spacing w:after="0" w:line="234" w:lineRule="auto"/>
        <w:tabs>
          <w:tab w:leader="none" w:pos="1580" w:val="left"/>
          <w:tab w:leader="none" w:pos="278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p>
      <w:pPr>
        <w:spacing w:after="0" w:line="1" w:lineRule="exact"/>
        <w:rPr>
          <w:sz w:val="20"/>
          <w:szCs w:val="20"/>
          <w:color w:val="auto"/>
        </w:rPr>
      </w:pPr>
    </w:p>
    <w:p>
      <w:pPr>
        <w:spacing w:after="0"/>
        <w:tabs>
          <w:tab w:leader="none" w:pos="360" w:val="left"/>
          <w:tab w:leader="none" w:pos="760" w:val="left"/>
          <w:tab w:leader="none" w:pos="1580" w:val="left"/>
          <w:tab w:leader="none" w:pos="2320" w:val="left"/>
          <w:tab w:leader="none" w:pos="2780" w:val="left"/>
        </w:tabs>
        <w:rPr>
          <w:sz w:val="20"/>
          <w:szCs w:val="20"/>
          <w:color w:val="auto"/>
        </w:rPr>
      </w:pPr>
      <w:r>
        <w:rPr>
          <w:rFonts w:ascii="Arial" w:cs="Arial" w:eastAsia="Arial" w:hAnsi="Arial"/>
          <w:sz w:val="12"/>
          <w:szCs w:val="12"/>
          <w:b w:val="1"/>
          <w:bCs w:val="1"/>
          <w:color w:val="auto"/>
        </w:rPr>
        <w:t>(A)</w:t>
        <w:tab/>
        <w:t>(D)</w:t>
      </w:r>
      <w:r>
        <w:rPr>
          <w:sz w:val="20"/>
          <w:szCs w:val="20"/>
          <w:color w:val="auto"/>
        </w:rPr>
        <w:tab/>
      </w:r>
      <w:r>
        <w:rPr>
          <w:rFonts w:ascii="Arial" w:cs="Arial" w:eastAsia="Arial" w:hAnsi="Arial"/>
          <w:sz w:val="12"/>
          <w:szCs w:val="12"/>
          <w:b w:val="1"/>
          <w:bCs w:val="1"/>
          <w:color w:val="auto"/>
        </w:rPr>
        <w:t>Exercisable</w:t>
        <w:tab/>
        <w:t>Date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Shares</w:t>
      </w:r>
    </w:p>
    <w:p>
      <w:pPr>
        <w:spacing w:after="0" w:line="2353" w:lineRule="exact"/>
        <w:rPr>
          <w:sz w:val="20"/>
          <w:szCs w:val="20"/>
          <w:color w:val="auto"/>
        </w:rPr>
      </w:pPr>
    </w:p>
    <w:p>
      <w:pPr>
        <w:sectPr>
          <w:pgSz w:w="11900" w:h="16838" w:orient="portrait"/>
          <w:cols w:equalWidth="0" w:num="2">
            <w:col w:w="4460" w:space="320"/>
            <w:col w:w="6640"/>
          </w:cols>
          <w:pgMar w:left="240" w:top="64" w:right="239" w:bottom="1440" w:gutter="0" w:footer="0" w:header="0"/>
          <w:type w:val="continuous"/>
        </w:sect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07/03/2014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2019-12-17T05:30:56Z</dcterms:created>
  <dcterms:modified xsi:type="dcterms:W3CDTF">2019-12-17T05:30:56Z</dcterms:modified>
</cp:coreProperties>
</file>