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1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12480"/>
                    </a:xfrm>
                    <a:prstGeom prst="rect">
                      <a:avLst/>
                    </a:prstGeom>
                    <a:noFill/>
                  </pic:spPr>
                </pic:pic>
              </a:graphicData>
            </a:graphic>
          </wp:anchor>
        </w:drawing>
      </w:r>
    </w:p>
    <w:p>
      <w:pPr>
        <w:spacing w:after="0" w:line="32" w:lineRule="exact"/>
        <w:rPr>
          <w:sz w:val="24"/>
          <w:szCs w:val="24"/>
          <w:color w:val="auto"/>
        </w:rPr>
      </w:pPr>
    </w:p>
    <w:p>
      <w:pPr>
        <w:sectPr>
          <w:pgSz w:w="11900" w:h="1692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2"/>
          </w:tcPr>
          <w:p>
            <w:pPr>
              <w:ind w:left="6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5"/>
          </w:tcPr>
          <w:p>
            <w:pPr>
              <w:ind w:left="160"/>
              <w:spacing w:after="0"/>
              <w:rPr>
                <w:sz w:val="20"/>
                <w:szCs w:val="20"/>
                <w:color w:val="auto"/>
              </w:rPr>
            </w:pPr>
            <w:r>
              <w:rPr>
                <w:rFonts w:ascii="Arial" w:cs="Arial" w:eastAsia="Arial" w:hAnsi="Arial"/>
                <w:sz w:val="18"/>
                <w:szCs w:val="18"/>
                <w:color w:val="0000FF"/>
              </w:rPr>
              <w:t>03/03/2014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246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gridSpan w:val="6"/>
          </w:tcPr>
          <w:p>
            <w:pPr>
              <w:ind w:left="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6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 Disposed Of</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8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64"/>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4,415</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327.9984</w:t>
            </w:r>
            <w:r>
              <w:rPr>
                <w:rFonts w:ascii="Arial" w:cs="Arial" w:eastAsia="Arial" w:hAnsi="Arial"/>
                <w:sz w:val="22"/>
                <w:szCs w:val="22"/>
                <w:color w:val="008000"/>
                <w:w w:val="84"/>
                <w:vertAlign w:val="superscript"/>
              </w:rPr>
              <w:t>(1)(3)</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16,754,035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603</w:t>
            </w:r>
            <w:r>
              <w:rPr>
                <w:rFonts w:ascii="Arial" w:cs="Arial" w:eastAsia="Arial" w:hAnsi="Arial"/>
                <w:sz w:val="11"/>
                <w:szCs w:val="11"/>
                <w:color w:val="008000"/>
                <w:w w:val="81"/>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329.2859</w:t>
            </w:r>
            <w:r>
              <w:rPr>
                <w:rFonts w:ascii="Arial" w:cs="Arial" w:eastAsia="Arial" w:hAnsi="Arial"/>
                <w:sz w:val="22"/>
                <w:szCs w:val="22"/>
                <w:color w:val="008000"/>
                <w:w w:val="84"/>
                <w:vertAlign w:val="superscript"/>
              </w:rPr>
              <w:t>(1)(5)</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16,754,638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3,513</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330.3164</w:t>
            </w:r>
            <w:r>
              <w:rPr>
                <w:rFonts w:ascii="Arial" w:cs="Arial" w:eastAsia="Arial" w:hAnsi="Arial"/>
                <w:sz w:val="22"/>
                <w:szCs w:val="22"/>
                <w:color w:val="008000"/>
                <w:w w:val="84"/>
                <w:vertAlign w:val="superscript"/>
              </w:rPr>
              <w:t>(1)(6)</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16,758,151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3,327</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331.3846</w:t>
            </w:r>
            <w:r>
              <w:rPr>
                <w:rFonts w:ascii="Arial" w:cs="Arial" w:eastAsia="Arial" w:hAnsi="Arial"/>
                <w:sz w:val="22"/>
                <w:szCs w:val="22"/>
                <w:color w:val="008000"/>
                <w:w w:val="84"/>
                <w:vertAlign w:val="superscript"/>
              </w:rPr>
              <w:t>(1)(7)</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16,761,478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3,300</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333.3103</w:t>
            </w:r>
            <w:r>
              <w:rPr>
                <w:rFonts w:ascii="Arial" w:cs="Arial" w:eastAsia="Arial" w:hAnsi="Arial"/>
                <w:sz w:val="22"/>
                <w:szCs w:val="22"/>
                <w:color w:val="008000"/>
                <w:w w:val="84"/>
                <w:vertAlign w:val="superscript"/>
              </w:rPr>
              <w:t>(1)(8)</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16,764,778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7,818</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335.3276</w:t>
            </w:r>
            <w:r>
              <w:rPr>
                <w:rFonts w:ascii="Arial" w:cs="Arial" w:eastAsia="Arial" w:hAnsi="Arial"/>
                <w:sz w:val="22"/>
                <w:szCs w:val="22"/>
                <w:color w:val="008000"/>
                <w:w w:val="84"/>
                <w:vertAlign w:val="superscript"/>
              </w:rPr>
              <w:t>(1)(9)</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16,772,596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15,199</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336.1901</w:t>
            </w:r>
            <w:r>
              <w:rPr>
                <w:rFonts w:ascii="Arial" w:cs="Arial" w:eastAsia="Arial" w:hAnsi="Arial"/>
                <w:sz w:val="22"/>
                <w:szCs w:val="22"/>
                <w:color w:val="008000"/>
                <w:w w:val="83"/>
                <w:vertAlign w:val="superscript"/>
              </w:rPr>
              <w:t>(1)(10)</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16,787,795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38,583</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337.2012</w:t>
            </w:r>
            <w:r>
              <w:rPr>
                <w:rFonts w:ascii="Arial" w:cs="Arial" w:eastAsia="Arial" w:hAnsi="Arial"/>
                <w:sz w:val="22"/>
                <w:szCs w:val="22"/>
                <w:color w:val="008000"/>
                <w:w w:val="83"/>
                <w:vertAlign w:val="superscript"/>
              </w:rPr>
              <w:t>(1)(11)</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16,826,378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30,057</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338.295</w:t>
            </w:r>
            <w:r>
              <w:rPr>
                <w:rFonts w:ascii="Arial" w:cs="Arial" w:eastAsia="Arial" w:hAnsi="Arial"/>
                <w:sz w:val="22"/>
                <w:szCs w:val="22"/>
                <w:color w:val="008000"/>
                <w:w w:val="82"/>
                <w:vertAlign w:val="superscript"/>
              </w:rPr>
              <w:t>(1)(12)</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16,856,435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107,691</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339.3334</w:t>
            </w:r>
            <w:r>
              <w:rPr>
                <w:rFonts w:ascii="Arial" w:cs="Arial" w:eastAsia="Arial" w:hAnsi="Arial"/>
                <w:sz w:val="22"/>
                <w:szCs w:val="22"/>
                <w:color w:val="008000"/>
                <w:w w:val="83"/>
                <w:vertAlign w:val="superscript"/>
              </w:rPr>
              <w:t>(1)(13)</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16,964,126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163"/>
              <w:spacing w:after="0"/>
              <w:rPr>
                <w:sz w:val="20"/>
                <w:szCs w:val="20"/>
                <w:color w:val="auto"/>
              </w:rPr>
            </w:pPr>
            <w:r>
              <w:rPr>
                <w:rFonts w:ascii="Arial" w:cs="Arial" w:eastAsia="Arial" w:hAnsi="Arial"/>
                <w:sz w:val="18"/>
                <w:szCs w:val="18"/>
                <w:color w:val="0000FF"/>
                <w:w w:val="88"/>
              </w:rPr>
              <w:t>03/03/2014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right"/>
              <w:ind w:right="95"/>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000FF"/>
                <w:w w:val="81"/>
              </w:rPr>
              <w:t>37,088</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jc w:val="center"/>
              <w:ind w:right="124"/>
              <w:spacing w:after="0"/>
              <w:rPr>
                <w:sz w:val="20"/>
                <w:szCs w:val="20"/>
                <w:color w:val="auto"/>
              </w:rPr>
            </w:pPr>
            <w:r>
              <w:rPr>
                <w:rFonts w:ascii="Arial" w:cs="Arial" w:eastAsia="Arial" w:hAnsi="Arial"/>
                <w:sz w:val="18"/>
                <w:szCs w:val="18"/>
                <w:color w:val="0000FF"/>
              </w:rPr>
              <w:t>A</w:t>
            </w:r>
          </w:p>
        </w:tc>
        <w:tc>
          <w:tcPr>
            <w:tcW w:w="116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339.9412</w:t>
            </w:r>
            <w:r>
              <w:rPr>
                <w:rFonts w:ascii="Arial" w:cs="Arial" w:eastAsia="Arial" w:hAnsi="Arial"/>
                <w:sz w:val="22"/>
                <w:szCs w:val="22"/>
                <w:color w:val="008000"/>
                <w:w w:val="83"/>
                <w:vertAlign w:val="superscript"/>
              </w:rPr>
              <w:t>(1)(14)</w:t>
            </w: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17,001,214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80" w:type="dxa"/>
            <w:vAlign w:val="bottom"/>
            <w:gridSpan w:val="18"/>
          </w:tcPr>
          <w:p>
            <w:pPr>
              <w:jc w:val="center"/>
              <w:ind w:left="16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jc w:val="right"/>
              <w:ind w:right="95"/>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$327.65 to $328.49 per share, inclusive.</w:t>
      </w:r>
    </w:p>
    <w:p>
      <w:pPr>
        <w:spacing w:after="0" w:line="41" w:lineRule="exact"/>
        <w:rPr>
          <w:rFonts w:ascii="Arial" w:cs="Arial" w:eastAsia="Arial" w:hAnsi="Arial"/>
          <w:sz w:val="14"/>
          <w:szCs w:val="14"/>
          <w:color w:val="008000"/>
        </w:rPr>
      </w:pPr>
    </w:p>
    <w:p>
      <w:pPr>
        <w:jc w:val="both"/>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14,201,662 shares and 2,799,552 shares, respectively. Pursuant to the Amended and Restated</w:t>
      </w:r>
    </w:p>
    <w:p>
      <w:pPr>
        <w:sectPr>
          <w:pgSz w:w="11900" w:h="16928" w:orient="portrait"/>
          <w:cols w:equalWidth="0" w:num="1">
            <w:col w:w="11420"/>
          </w:cols>
          <w:pgMar w:left="240" w:top="226" w:right="2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0"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$328.78 to $329.58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$330.02 to $330.86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$331.07 to $331.88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$332.98 to $333.65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$334.69 to $335.67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$335.71 to $336.66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$336.73 to $337.72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$337.76 to $338.75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$338.76 to $339.75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$339.76 to $340.00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03/05/2014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2019-12-17T06:05:22Z</dcterms:created>
  <dcterms:modified xsi:type="dcterms:W3CDTF">2019-12-17T06:05:22Z</dcterms:modified>
</cp:coreProperties>
</file>