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20, 2024 (June 14,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REGENERON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920" w:firstLine="324"/>
        <w:spacing w:after="0" w:line="282" w:lineRule="auto"/>
        <w:rPr>
          <w:sz w:val="20"/>
          <w:szCs w:val="20"/>
          <w:color w:val="auto"/>
        </w:rPr>
      </w:pPr>
      <w:r>
        <w:rPr>
          <w:rFonts w:ascii="Times New Roman" w:cs="Times New Roman" w:eastAsia="Times New Roman" w:hAnsi="Times New Roman"/>
          <w:sz w:val="18"/>
          <w:szCs w:val="18"/>
          <w:color w:val="auto"/>
        </w:rPr>
        <w:t>At the 2024 Annual Meeting of Shareholders of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on June 14, 2024, Regeneron’s shareholders voted on the matters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nominees for Class III directors were elected to serve until the 2027 Annual Meeting of Shareholders and until their successors are duly elected and qualified based upon the following votes: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 Anthony Coles, M.D.</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110,481,731</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1,873,397</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99,413</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Kathryn Guarini, Ph.D.</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111,988,738</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359,659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106,144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4,213,730</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F. Ryan</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81,009,658</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31,288,101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156,782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4,213,730</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L. Sing</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102,751,205</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9,574,839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128,497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4,213,730</w:t>
            </w:r>
          </w:p>
        </w:tc>
      </w:tr>
    </w:tbl>
    <w:p>
      <w:pPr>
        <w:spacing w:after="0" w:line="17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nominee for Class II director was elected to serve until the 2026 Annual Meeting of Shareholders and until his successor is duly elected and qualified based upon the following votes: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Schenkein, M.D.</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106,839,998</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5,501,139</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113,404</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4,213,730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Ratification of Appointment of Independent Registered Public Accounting Firm</w:t>
      </w:r>
    </w:p>
    <w:p>
      <w:pPr>
        <w:spacing w:after="0" w:line="229"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proposal to ratify the appointment of PricewaterhouseCoopers LLP as the Company’s independent registered public accounting firm for the fiscal year ending December 31, 2024, was approved based upon the following votes: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111,350,016</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5,257,636</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Advisory Vote on Executive Compensation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resolution to approve, on an advisory basis, the compensation of the Company’s named executive officers as disclosed in the Company’s definitive proxy statement on Schedule 14A filed April 25, 2024 was approved based 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106,667,264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5,579,814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207,463</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4,213,730</w:t>
            </w:r>
          </w:p>
        </w:tc>
        <w:tc>
          <w:tcPr>
            <w:tcW w:w="1680" w:type="dxa"/>
            <w:vAlign w:val="bottom"/>
          </w:tcPr>
          <w:p>
            <w:pPr>
              <w:spacing w:after="0"/>
              <w:rPr>
                <w:sz w:val="20"/>
                <w:szCs w:val="20"/>
                <w:color w:val="auto"/>
              </w:rPr>
            </w:pPr>
          </w:p>
        </w:tc>
      </w:tr>
      <w:tr>
        <w:trPr>
          <w:trHeight w:val="657"/>
        </w:trPr>
        <w:tc>
          <w:tcPr>
            <w:tcW w:w="17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4 – Non-Binding Shareholder Proposal Requesting Simple Majority Voting Requirements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non-binding shareholder proposal requesting simple majority voting requirements was approved based upon the following votes: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85,900,254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26,365,621</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188,666</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4,213,730</w:t>
            </w:r>
          </w:p>
        </w:tc>
        <w:tc>
          <w:tcPr>
            <w:tcW w:w="1680" w:type="dxa"/>
            <w:vAlign w:val="bottom"/>
          </w:tcPr>
          <w:p>
            <w:pPr>
              <w:spacing w:after="0"/>
              <w:rPr>
                <w:sz w:val="20"/>
                <w:szCs w:val="20"/>
                <w:color w:val="auto"/>
              </w:rPr>
            </w:pPr>
          </w:p>
        </w:tc>
      </w:tr>
      <w:tr>
        <w:trPr>
          <w:trHeight w:val="657"/>
        </w:trPr>
        <w:tc>
          <w:tcPr>
            <w:tcW w:w="17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2024-06-20T15:07:59Z</dcterms:created>
  <dcterms:modified xsi:type="dcterms:W3CDTF">2024-06-20T15:07:59Z</dcterms:modified>
</cp:coreProperties>
</file>