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(Amendment No. 1)</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29,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880110</wp:posOffset>
            </wp:positionV>
            <wp:extent cx="24479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4"/>
          <w:szCs w:val="24"/>
          <w:color w:val="auto"/>
        </w:rPr>
      </w:pPr>
    </w:p>
    <w:p>
      <w:pPr>
        <w:ind w:left="680" w:hanging="449"/>
        <w:spacing w:after="0"/>
        <w:tabs>
          <w:tab w:leader="none" w:pos="6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Andrew H. Tisch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1986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98691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ectPr>
          <w:pgSz w:w="11900" w:h="16838" w:orient="portrait"/>
          <w:cols w:equalWidth="0" w:num="1">
            <w:col w:w="11420"/>
          </w:cols>
          <w:pgMar w:left="240" w:top="1440"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tcPr>
          <w:p>
            <w:pPr>
              <w:jc w:val="center"/>
              <w:ind w:right="120"/>
              <w:spacing w:after="0" w:line="225" w:lineRule="exact"/>
              <w:rPr>
                <w:sz w:val="20"/>
                <w:szCs w:val="20"/>
                <w:color w:val="auto"/>
              </w:rPr>
            </w:pPr>
            <w:r>
              <w:rPr>
                <w:rFonts w:ascii="Arial" w:cs="Arial" w:eastAsia="Arial" w:hAnsi="Arial"/>
                <w:sz w:val="22"/>
                <w:szCs w:val="22"/>
                <w:color w:val="auto"/>
                <w:w w:val="92"/>
              </w:rPr>
              <w:t>SHARES</w:t>
            </w: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gridSpan w:val="2"/>
            <w:vMerge w:val="restart"/>
          </w:tcPr>
          <w:p>
            <w:pPr>
              <w:jc w:val="center"/>
              <w:ind w:right="620"/>
              <w:spacing w:after="0" w:line="251" w:lineRule="exact"/>
              <w:rPr>
                <w:sz w:val="20"/>
                <w:szCs w:val="20"/>
                <w:color w:val="auto"/>
              </w:rPr>
            </w:pPr>
            <w:r>
              <w:rPr>
                <w:rFonts w:ascii="Arial" w:cs="Arial" w:eastAsia="Arial" w:hAnsi="Arial"/>
                <w:sz w:val="22"/>
                <w:szCs w:val="22"/>
                <w:color w:val="auto"/>
                <w:w w:val="98"/>
              </w:rPr>
              <w:t>EACH</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gridSpan w:val="2"/>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0"/>
              </w:rPr>
              <w:t>PERSON</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vMerge w:val="restart"/>
          </w:tcPr>
          <w:p>
            <w:pPr>
              <w:jc w:val="center"/>
              <w:ind w:right="392"/>
              <w:spacing w:after="0"/>
              <w:rPr>
                <w:sz w:val="20"/>
                <w:szCs w:val="20"/>
                <w:color w:val="auto"/>
              </w:rPr>
            </w:pPr>
            <w:r>
              <w:rPr>
                <w:rFonts w:ascii="Arial" w:cs="Arial" w:eastAsia="Arial" w:hAnsi="Arial"/>
                <w:sz w:val="22"/>
                <w:szCs w:val="22"/>
                <w:color w:val="auto"/>
                <w:w w:val="99"/>
              </w:rPr>
              <w:t>WITH</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1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2,661,157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-3318510</wp:posOffset>
            </wp:positionV>
            <wp:extent cx="42545" cy="1607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1607820"/>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-3318510</wp:posOffset>
            </wp:positionV>
            <wp:extent cx="42545" cy="1607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160782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-1289685</wp:posOffset>
            </wp:positionV>
            <wp:extent cx="42545"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68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-3318510</wp:posOffset>
            </wp:positionV>
            <wp:extent cx="42545" cy="333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33184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-3318510</wp:posOffset>
            </wp:positionV>
            <wp:extent cx="42545" cy="333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331845"/>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-1718945</wp:posOffset>
            </wp:positionV>
            <wp:extent cx="42545" cy="1723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17233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4971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97141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88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88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8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5"/>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2,661,157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1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81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 w:right="239" w:bottom="0" w:gutter="0" w:footer="0" w:header="0"/>
        </w:sectPr>
      </w:pPr>
    </w:p>
    <w:bookmarkStart w:id="2" w:name="page3"/>
    <w:bookmarkEnd w:id="2"/>
    <w:p>
      <w:pPr>
        <w:spacing w:after="0" w:line="237" w:lineRule="auto"/>
        <w:rPr>
          <w:sz w:val="20"/>
          <w:szCs w:val="20"/>
          <w:color w:val="auto"/>
        </w:rPr>
      </w:pPr>
      <w:r>
        <w:rPr>
          <w:sz w:val="1"/>
          <w:szCs w:val="1"/>
          <w:color w:val="auto"/>
        </w:rPr>
        <w:drawing>
          <wp:inline distT="0" distB="0" distL="0" distR="0">
            <wp:extent cx="42545" cy="3816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381635"/>
                    </a:xfrm>
                    <a:prstGeom prst="rect">
                      <a:avLst/>
                    </a:prstGeom>
                    <a:noFill/>
                    <a:ln>
                      <a:noFill/>
                    </a:ln>
                  </pic:spPr>
                </pic:pic>
              </a:graphicData>
            </a:graphic>
          </wp:inline>
        </w:drawing>
      </w:r>
      <w:r>
        <w:rPr>
          <w:rFonts w:ascii="Arial" w:cs="Arial" w:eastAsia="Arial" w:hAnsi="Arial"/>
          <w:sz w:val="65"/>
          <w:szCs w:val="65"/>
          <w:b w:val="1"/>
          <w:bCs w:val="1"/>
          <w:color w:val="auto"/>
          <w:vertAlign w:val="subscript"/>
        </w:rPr>
        <w:t xml:space="preserve"> 12 </w:t>
      </w:r>
      <w:r>
        <w:rPr>
          <w:sz w:val="1"/>
          <w:szCs w:val="1"/>
          <w:color w:val="auto"/>
        </w:rPr>
        <w:drawing>
          <wp:inline distT="0" distB="0" distL="0" distR="0">
            <wp:extent cx="42545" cy="37274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372745"/>
                    </a:xfrm>
                    <a:prstGeom prst="rect">
                      <a:avLst/>
                    </a:prstGeom>
                    <a:noFill/>
                    <a:ln>
                      <a:noFill/>
                    </a:ln>
                  </pic:spPr>
                </pic:pic>
              </a:graphicData>
            </a:graphic>
          </wp:inline>
        </w:drawing>
      </w:r>
      <w:r>
        <w:rPr>
          <w:rFonts w:ascii="Arial" w:cs="Arial" w:eastAsia="Arial" w:hAnsi="Arial"/>
          <w:sz w:val="22"/>
          <w:szCs w:val="22"/>
          <w:color w:val="auto"/>
        </w:rPr>
        <w:t xml:space="preserve"> TYPE</w:t>
      </w:r>
      <w:r>
        <w:rPr>
          <w:rFonts w:ascii="Arial" w:cs="Arial" w:eastAsia="Arial" w:hAnsi="Arial"/>
          <w:sz w:val="43"/>
          <w:szCs w:val="43"/>
          <w:b w:val="1"/>
          <w:bCs w:val="1"/>
          <w:color w:val="auto"/>
          <w:vertAlign w:val="subscript"/>
        </w:rPr>
        <w:t>IN</w:t>
      </w:r>
      <w:r>
        <w:rPr>
          <w:rFonts w:ascii="Arial" w:cs="Arial" w:eastAsia="Arial" w:hAnsi="Arial"/>
          <w:sz w:val="22"/>
          <w:szCs w:val="22"/>
          <w:color w:val="auto"/>
        </w:rPr>
        <w:t xml:space="preserv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-379095</wp:posOffset>
            </wp:positionV>
            <wp:extent cx="7259320" cy="381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81635"/>
                    </a:xfrm>
                    <a:prstGeom prst="rect">
                      <a:avLst/>
                    </a:prstGeom>
                    <a:noFill/>
                  </pic:spPr>
                </pic:pic>
              </a:graphicData>
            </a:graphic>
          </wp:anchor>
        </w:drawing>
      </w:r>
    </w:p>
    <w:p>
      <w:pPr>
        <w:spacing w:after="0" w:line="15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520065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1188720</wp:posOffset>
            </wp:positionV>
            <wp:extent cx="244792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163195</wp:posOffset>
            </wp:positionV>
            <wp:extent cx="244792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700" w:hanging="449"/>
        <w:spacing w:after="0"/>
        <w:tabs>
          <w:tab w:leader="none" w:pos="700" w:val="left"/>
        </w:tabs>
        <w:numPr>
          <w:ilvl w:val="0"/>
          <w:numId w:val="6"/>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70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70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James S.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72020" cy="527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700" w:hanging="449"/>
        <w:spacing w:after="0" w:line="180" w:lineRule="auto"/>
        <w:tabs>
          <w:tab w:leader="none" w:pos="700" w:val="left"/>
        </w:tabs>
        <w:numPr>
          <w:ilvl w:val="0"/>
          <w:numId w:val="7"/>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70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2,661,157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520065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1188720</wp:posOffset>
            </wp:positionV>
            <wp:extent cx="244792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163195</wp:posOffset>
            </wp:positionV>
            <wp:extent cx="244792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700" w:hanging="449"/>
        <w:spacing w:after="0"/>
        <w:tabs>
          <w:tab w:leader="none" w:pos="700" w:val="left"/>
        </w:tabs>
        <w:numPr>
          <w:ilvl w:val="0"/>
          <w:numId w:val="8"/>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700"/>
        <w:spacing w:after="0"/>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72020" cy="434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34340"/>
                    </a:xfrm>
                    <a:prstGeom prst="rect">
                      <a:avLst/>
                    </a:prstGeom>
                    <a:noFill/>
                  </pic:spPr>
                </pic:pic>
              </a:graphicData>
            </a:graphic>
          </wp:anchor>
        </w:drawing>
      </w:r>
    </w:p>
    <w:p>
      <w:pPr>
        <w:sectPr>
          <w:pgSz w:w="11900" w:h="16838" w:orient="portrait"/>
          <w:cols w:equalWidth="0" w:num="1">
            <w:col w:w="11440"/>
          </w:cols>
          <w:pgMar w:left="220" w:top="0" w:right="239" w:bottom="0" w:gutter="0" w:footer="0" w:header="0"/>
        </w:sectPr>
      </w:pPr>
    </w:p>
    <w:bookmarkStart w:id="3" w:name="page4"/>
    <w:bookmarkEnd w:id="3"/>
    <w:p>
      <w:pPr>
        <w:spacing w:after="0" w:line="74" w:lineRule="exact"/>
        <w:rPr>
          <w:sz w:val="20"/>
          <w:szCs w:val="20"/>
          <w:color w:val="auto"/>
        </w:rPr>
      </w:pPr>
    </w:p>
    <w:p>
      <w:pPr>
        <w:ind w:left="560"/>
        <w:spacing w:after="0"/>
        <w:rPr>
          <w:sz w:val="20"/>
          <w:szCs w:val="20"/>
          <w:color w:val="auto"/>
        </w:rPr>
      </w:pPr>
      <w:r>
        <w:rPr>
          <w:sz w:val="1"/>
          <w:szCs w:val="1"/>
          <w:color w:val="auto"/>
        </w:rPr>
        <w:drawing>
          <wp:inline distT="0" distB="0" distL="0" distR="0">
            <wp:extent cx="42545" cy="2184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4892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892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40" w:type="dxa"/>
            <w:vAlign w:val="bottom"/>
            <w:gridSpan w:val="2"/>
          </w:tcPr>
          <w:p>
            <w:pPr>
              <w:jc w:val="right"/>
              <w:spacing w:after="0" w:line="327" w:lineRule="exact"/>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9"/>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2,661,157</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2,661,157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0"/>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4105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34105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1"/>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3,400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4,145,035</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3,400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370"/>
        </w:trPr>
        <w:tc>
          <w:tcPr>
            <w:tcW w:w="16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93" w:right="239" w:bottom="0" w:gutter="0" w:footer="0" w:header="0"/>
        </w:sectPr>
      </w:pPr>
    </w:p>
    <w:bookmarkStart w:id="4" w:name="page5"/>
    <w:bookmarkEnd w:id="4"/>
    <w:p>
      <w:pPr>
        <w:ind w:left="2280"/>
        <w:spacing w:after="0"/>
        <w:rPr>
          <w:sz w:val="20"/>
          <w:szCs w:val="20"/>
          <w:color w:val="auto"/>
        </w:rPr>
      </w:pPr>
      <w:r>
        <w:rPr>
          <w:sz w:val="1"/>
          <w:szCs w:val="1"/>
          <w:color w:val="auto"/>
        </w:rPr>
        <w:drawing>
          <wp:inline distT="0" distB="0" distL="0" distR="0">
            <wp:extent cx="42545" cy="2184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4,145,035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1942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1942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80" w:type="dxa"/>
            <w:vAlign w:val="bottom"/>
            <w:gridSpan w:val="2"/>
          </w:tcPr>
          <w:p>
            <w:pPr>
              <w:jc w:val="center"/>
              <w:spacing w:after="0" w:line="327" w:lineRule="exact"/>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4,148,435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9.9%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250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4,145,035</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250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4,145,035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4,145,285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9.9%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93" w:right="239" w:bottom="858"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Regeneron Pharmaceuticals,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777 Old Saw Mill River Road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Tarrytown, New York 10591-6707</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Schedule 13G is being filed jointly by Andrew H. Tisch, Daniel R. Tisch, James S. Tisch, Thomas J. Tisch, Julian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Baker and Felix J. Baker.</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color w:val="auto"/>
        </w:rPr>
        <w:t>Address of Principal Business Office or, if none, Residence:</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addresses of the reporting persons are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w w:val="85"/>
              </w:rPr>
              <w:t>Name</w:t>
            </w: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Business Address</w:t>
            </w:r>
          </w:p>
        </w:tc>
      </w:tr>
      <w:tr>
        <w:trPr>
          <w:trHeight w:val="20"/>
        </w:trPr>
        <w:tc>
          <w:tcPr>
            <w:tcW w:w="5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28"/>
        </w:trPr>
        <w:tc>
          <w:tcPr>
            <w:tcW w:w="2620" w:type="dxa"/>
            <w:vAlign w:val="bottom"/>
            <w:gridSpan w:val="2"/>
          </w:tcPr>
          <w:p>
            <w:pPr>
              <w:spacing w:after="0"/>
              <w:rPr>
                <w:sz w:val="20"/>
                <w:szCs w:val="20"/>
                <w:color w:val="auto"/>
              </w:rPr>
            </w:pPr>
            <w:r>
              <w:rPr>
                <w:rFonts w:ascii="Arial" w:cs="Arial" w:eastAsia="Arial" w:hAnsi="Arial"/>
                <w:sz w:val="22"/>
                <w:szCs w:val="22"/>
                <w:color w:val="auto"/>
              </w:rPr>
              <w:t>Andrew H.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Daniel R.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Mentor Partners, L.P.</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500 Park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James S.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Thomas J.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Julian C. Baker</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c/o Tisch Family Interests</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Felix J. Baker</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c/o Tisch Family Interests</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945"/>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40" w:type="dxa"/>
            <w:vAlign w:val="bottom"/>
            <w:gridSpan w:val="3"/>
          </w:tcPr>
          <w:p>
            <w:pPr>
              <w:ind w:left="1120"/>
              <w:spacing w:after="0"/>
              <w:rPr>
                <w:sz w:val="20"/>
                <w:szCs w:val="20"/>
                <w:color w:val="auto"/>
              </w:rPr>
            </w:pPr>
            <w:r>
              <w:rPr>
                <w:rFonts w:ascii="Arial" w:cs="Arial" w:eastAsia="Arial" w:hAnsi="Arial"/>
                <w:sz w:val="22"/>
                <w:szCs w:val="22"/>
                <w:color w:val="auto"/>
              </w:rPr>
              <w:t>Page 8 of 13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color w:val="auto"/>
        </w:rPr>
        <w:t>Citizenship:</w:t>
      </w:r>
    </w:p>
    <w:p>
      <w:pPr>
        <w:spacing w:after="0" w:line="212" w:lineRule="exact"/>
        <w:rPr>
          <w:sz w:val="20"/>
          <w:szCs w:val="20"/>
          <w:color w:val="auto"/>
        </w:rPr>
      </w:pPr>
    </w:p>
    <w:p>
      <w:pPr>
        <w:ind w:right="500" w:firstLine="864"/>
        <w:spacing w:after="0" w:line="251" w:lineRule="auto"/>
        <w:rPr>
          <w:sz w:val="20"/>
          <w:szCs w:val="20"/>
          <w:color w:val="auto"/>
        </w:rPr>
      </w:pPr>
      <w:r>
        <w:rPr>
          <w:rFonts w:ascii="Arial" w:cs="Arial" w:eastAsia="Arial" w:hAnsi="Arial"/>
          <w:sz w:val="22"/>
          <w:szCs w:val="22"/>
          <w:color w:val="auto"/>
        </w:rPr>
        <w:t>Each of Andrew H. Tisch, Daniel R. Tisch, James S. Tisch, Thomas J. Tisch, Julian C. Baker and Felix J. Baker is a United States citizen.</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color w:val="auto"/>
        </w:rPr>
        <w:t>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par value $0.001 par value (the “Common Stock”)</w:t>
      </w:r>
    </w:p>
    <w:p>
      <w:pPr>
        <w:sectPr>
          <w:pgSz w:w="11900" w:h="16838" w:orient="portrait"/>
          <w:cols w:equalWidth="0" w:num="1">
            <w:col w:w="11380"/>
          </w:cols>
          <w:pgMar w:left="240" w:top="598" w:right="279" w:bottom="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color w:val="auto"/>
        </w:rPr>
        <w:t>CUSIP Number:</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75886F 10 7</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 xml:space="preserve">If this statement is filed pursuant to §§240.13d-1(b) or (c), check whether the person filing is a: </w:t>
      </w:r>
      <w:r>
        <w:rPr>
          <w:rFonts w:ascii="Arial" w:cs="Arial" w:eastAsia="Arial" w:hAnsi="Arial"/>
          <w:sz w:val="19"/>
          <w:szCs w:val="19"/>
          <w:color w:val="auto"/>
        </w:rPr>
        <w:t>N/A</w:t>
      </w:r>
    </w:p>
    <w:p>
      <w:pPr>
        <w:spacing w:after="0" w:line="239" w:lineRule="exact"/>
        <w:rPr>
          <w:sz w:val="20"/>
          <w:szCs w:val="20"/>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67" w:lineRule="exact"/>
        <w:rPr>
          <w:rFonts w:ascii="Arial" w:cs="Arial" w:eastAsia="Arial" w:hAnsi="Arial"/>
          <w:sz w:val="19"/>
          <w:szCs w:val="19"/>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260" w:hanging="1143"/>
        <w:spacing w:after="0" w:line="251" w:lineRule="auto"/>
        <w:tabs>
          <w:tab w:leader="none" w:pos="127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Page 9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Because of certain business and family relationships among the Reporting Persons, they are filing as if they constitute a group solely for informational purposes. By signing this statement, each Reporting Person agrees that this Statement is filed on his behalf. The filing of this statement is not an admission by any Reporting Person that such Reporting Person and any other Reporting Person or Reporting Persons constitute a “group” for purposes of Section 13(d)(3) of the Securities Exchange Act of 1934, as amended, or Rule 13d-5 thereunder. Each Reporting Person disclaims beneficial ownership of any shares of Common Stock owned by any other Reporting Person, except to the extent that beneficial ownership is expressly reported herein.</w:t>
      </w:r>
    </w:p>
    <w:p>
      <w:pPr>
        <w:spacing w:after="0" w:line="151" w:lineRule="exact"/>
        <w:rPr>
          <w:sz w:val="20"/>
          <w:szCs w:val="20"/>
          <w:color w:val="auto"/>
        </w:rPr>
      </w:pPr>
    </w:p>
    <w:p>
      <w:pPr>
        <w:ind w:right="180" w:firstLine="864"/>
        <w:spacing w:after="0" w:line="282" w:lineRule="auto"/>
        <w:rPr>
          <w:sz w:val="20"/>
          <w:szCs w:val="20"/>
          <w:color w:val="auto"/>
        </w:rPr>
      </w:pPr>
      <w:r>
        <w:rPr>
          <w:rFonts w:ascii="Arial" w:cs="Arial" w:eastAsia="Arial" w:hAnsi="Arial"/>
          <w:sz w:val="19"/>
          <w:szCs w:val="19"/>
          <w:color w:val="auto"/>
        </w:rPr>
        <w:t>Set forth in the table below is the aggregate number of shares of Common Stock, including shares of Common Stock issuable upon conversion of 5.50% Convertible Senior Subordinated Notes due 2008, owned as of the date hereof by each of the following persons and entities, together with the percentage of the outstanding shares of Common Stock owned by each such person or entity assuming conversion by such person or entity but not by any other person or entity of the Convertible Senior Subordinated Notes owned by such person or entity, and by all of such persons and entities as a group.</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540" w:type="dxa"/>
            <w:vAlign w:val="bottom"/>
            <w:gridSpan w:val="3"/>
          </w:tcPr>
          <w:p>
            <w:pPr>
              <w:ind w:left="1140"/>
              <w:spacing w:after="0"/>
              <w:rPr>
                <w:sz w:val="20"/>
                <w:szCs w:val="20"/>
                <w:color w:val="auto"/>
              </w:rPr>
            </w:pPr>
            <w:r>
              <w:rPr>
                <w:rFonts w:ascii="Arial" w:cs="Arial" w:eastAsia="Arial" w:hAnsi="Arial"/>
                <w:sz w:val="22"/>
                <w:szCs w:val="22"/>
                <w:color w:val="auto"/>
                <w:w w:val="85"/>
              </w:rPr>
              <w:t>Percent of Class</w:t>
            </w:r>
          </w:p>
        </w:tc>
      </w:tr>
      <w:tr>
        <w:trPr>
          <w:trHeight w:val="224"/>
        </w:trPr>
        <w:tc>
          <w:tcPr>
            <w:tcW w:w="1700" w:type="dxa"/>
            <w:vAlign w:val="bottom"/>
          </w:tcPr>
          <w:p>
            <w:pPr>
              <w:spacing w:after="0"/>
              <w:rPr>
                <w:sz w:val="19"/>
                <w:szCs w:val="19"/>
                <w:color w:val="auto"/>
              </w:rPr>
            </w:pPr>
          </w:p>
        </w:tc>
        <w:tc>
          <w:tcPr>
            <w:tcW w:w="520" w:type="dxa"/>
            <w:vAlign w:val="bottom"/>
          </w:tcPr>
          <w:p>
            <w:pPr>
              <w:spacing w:after="0" w:line="224" w:lineRule="exact"/>
              <w:rPr>
                <w:sz w:val="20"/>
                <w:szCs w:val="20"/>
                <w:color w:val="auto"/>
              </w:rPr>
            </w:pPr>
            <w:r>
              <w:rPr>
                <w:rFonts w:ascii="Arial" w:cs="Arial" w:eastAsia="Arial" w:hAnsi="Arial"/>
                <w:sz w:val="22"/>
                <w:szCs w:val="22"/>
                <w:color w:val="auto"/>
                <w:w w:val="85"/>
              </w:rPr>
              <w:t>Name</w:t>
            </w:r>
          </w:p>
        </w:tc>
        <w:tc>
          <w:tcPr>
            <w:tcW w:w="1700" w:type="dxa"/>
            <w:vAlign w:val="bottom"/>
          </w:tcPr>
          <w:p>
            <w:pPr>
              <w:spacing w:after="0"/>
              <w:rPr>
                <w:sz w:val="19"/>
                <w:szCs w:val="19"/>
                <w:color w:val="auto"/>
              </w:rPr>
            </w:pPr>
          </w:p>
        </w:tc>
        <w:tc>
          <w:tcPr>
            <w:tcW w:w="3780" w:type="dxa"/>
            <w:vAlign w:val="bottom"/>
            <w:gridSpan w:val="3"/>
          </w:tcPr>
          <w:p>
            <w:pPr>
              <w:ind w:left="1080"/>
              <w:spacing w:after="0" w:line="224" w:lineRule="exact"/>
              <w:rPr>
                <w:sz w:val="20"/>
                <w:szCs w:val="20"/>
                <w:color w:val="auto"/>
              </w:rPr>
            </w:pPr>
            <w:r>
              <w:rPr>
                <w:rFonts w:ascii="Arial" w:cs="Arial" w:eastAsia="Arial" w:hAnsi="Arial"/>
                <w:sz w:val="22"/>
                <w:szCs w:val="22"/>
                <w:color w:val="auto"/>
              </w:rPr>
              <w:t>Number of Shares</w:t>
            </w:r>
          </w:p>
        </w:tc>
        <w:tc>
          <w:tcPr>
            <w:tcW w:w="1160" w:type="dxa"/>
            <w:vAlign w:val="bottom"/>
          </w:tcPr>
          <w:p>
            <w:pPr>
              <w:spacing w:after="0"/>
              <w:rPr>
                <w:sz w:val="19"/>
                <w:szCs w:val="19"/>
                <w:color w:val="auto"/>
              </w:rPr>
            </w:pPr>
          </w:p>
        </w:tc>
        <w:tc>
          <w:tcPr>
            <w:tcW w:w="1380" w:type="dxa"/>
            <w:vAlign w:val="bottom"/>
            <w:gridSpan w:val="2"/>
          </w:tcPr>
          <w:p>
            <w:pPr>
              <w:spacing w:after="0" w:line="224" w:lineRule="exact"/>
              <w:rPr>
                <w:sz w:val="20"/>
                <w:szCs w:val="20"/>
                <w:color w:val="auto"/>
              </w:rPr>
            </w:pPr>
            <w:r>
              <w:rPr>
                <w:rFonts w:ascii="Arial" w:cs="Arial" w:eastAsia="Arial" w:hAnsi="Arial"/>
                <w:sz w:val="22"/>
                <w:szCs w:val="22"/>
                <w:color w:val="auto"/>
                <w:w w:val="93"/>
              </w:rPr>
              <w:t>Outstanding(1)</w:t>
            </w:r>
          </w:p>
        </w:tc>
      </w:tr>
      <w:tr>
        <w:trPr>
          <w:trHeight w:val="485"/>
        </w:trPr>
        <w:tc>
          <w:tcPr>
            <w:tcW w:w="1700" w:type="dxa"/>
            <w:vAlign w:val="bottom"/>
          </w:tcPr>
          <w:p>
            <w:pPr>
              <w:spacing w:after="0"/>
              <w:rPr>
                <w:sz w:val="20"/>
                <w:szCs w:val="20"/>
                <w:color w:val="auto"/>
              </w:rPr>
            </w:pPr>
            <w:r>
              <w:rPr>
                <w:rFonts w:ascii="Arial" w:cs="Arial" w:eastAsia="Arial" w:hAnsi="Arial"/>
                <w:sz w:val="22"/>
                <w:szCs w:val="22"/>
                <w:color w:val="auto"/>
              </w:rPr>
              <w:t>Four Partners</w:t>
            </w:r>
          </w:p>
        </w:tc>
        <w:tc>
          <w:tcPr>
            <w:tcW w:w="5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Borders>
              <w:top w:val="single" w:sz="8" w:color="auto"/>
            </w:tcBorders>
          </w:tcPr>
          <w:p>
            <w:pPr>
              <w:jc w:val="right"/>
              <w:ind w:right="232"/>
              <w:spacing w:after="0"/>
              <w:rPr>
                <w:sz w:val="20"/>
                <w:szCs w:val="20"/>
                <w:color w:val="auto"/>
              </w:rPr>
            </w:pPr>
            <w:r>
              <w:rPr>
                <w:rFonts w:ascii="Arial" w:cs="Arial" w:eastAsia="Arial" w:hAnsi="Arial"/>
                <w:sz w:val="22"/>
                <w:szCs w:val="22"/>
                <w:color w:val="auto"/>
              </w:rPr>
              <w:t>2,661,157</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7"/>
              </w:rPr>
              <w:t>6.4%</w:t>
            </w:r>
          </w:p>
        </w:tc>
        <w:tc>
          <w:tcPr>
            <w:tcW w:w="80" w:type="dxa"/>
            <w:vAlign w:val="bottom"/>
          </w:tcPr>
          <w:p>
            <w:pPr>
              <w:spacing w:after="0"/>
              <w:rPr>
                <w:sz w:val="24"/>
                <w:szCs w:val="24"/>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Baker/Tisch Investments, LLC</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395,323</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1.0%</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LLC</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250,423</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0.6%</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II, LLC</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179,173</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0.4%</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 L.P.</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1,340,120</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9"/>
              </w:rPr>
              <w:t>3.22%</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II, L.P.</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1,953,496</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4.7%</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FBB Associates</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26,500</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0.1%</w:t>
            </w:r>
          </w:p>
        </w:tc>
        <w:tc>
          <w:tcPr>
            <w:tcW w:w="80" w:type="dxa"/>
            <w:vAlign w:val="bottom"/>
          </w:tcPr>
          <w:p>
            <w:pPr>
              <w:spacing w:after="0"/>
              <w:rPr>
                <w:sz w:val="21"/>
                <w:szCs w:val="21"/>
                <w:color w:val="auto"/>
              </w:rPr>
            </w:pPr>
          </w:p>
        </w:tc>
      </w:tr>
      <w:tr>
        <w:trPr>
          <w:trHeight w:val="243"/>
        </w:trPr>
        <w:tc>
          <w:tcPr>
            <w:tcW w:w="3920" w:type="dxa"/>
            <w:vAlign w:val="bottom"/>
            <w:gridSpan w:val="3"/>
          </w:tcPr>
          <w:p>
            <w:pPr>
              <w:spacing w:after="0" w:line="243" w:lineRule="exact"/>
              <w:rPr>
                <w:sz w:val="20"/>
                <w:szCs w:val="20"/>
                <w:color w:val="auto"/>
              </w:rPr>
            </w:pPr>
            <w:r>
              <w:rPr>
                <w:rFonts w:ascii="Arial" w:cs="Arial" w:eastAsia="Arial" w:hAnsi="Arial"/>
                <w:sz w:val="22"/>
                <w:szCs w:val="22"/>
                <w:color w:val="auto"/>
              </w:rPr>
              <w:t>Julian C. Baker</w:t>
            </w:r>
          </w:p>
        </w:tc>
        <w:tc>
          <w:tcPr>
            <w:tcW w:w="2640" w:type="dxa"/>
            <w:vAlign w:val="bottom"/>
            <w:gridSpan w:val="2"/>
          </w:tcPr>
          <w:p>
            <w:pPr>
              <w:jc w:val="right"/>
              <w:ind w:right="232"/>
              <w:spacing w:after="0" w:line="243" w:lineRule="exact"/>
              <w:rPr>
                <w:sz w:val="20"/>
                <w:szCs w:val="20"/>
                <w:color w:val="auto"/>
              </w:rPr>
            </w:pPr>
            <w:r>
              <w:rPr>
                <w:rFonts w:ascii="Arial" w:cs="Arial" w:eastAsia="Arial" w:hAnsi="Arial"/>
                <w:sz w:val="22"/>
                <w:szCs w:val="22"/>
                <w:color w:val="auto"/>
              </w:rPr>
              <w:t>3,400</w:t>
            </w:r>
          </w:p>
        </w:tc>
        <w:tc>
          <w:tcPr>
            <w:tcW w:w="1140" w:type="dxa"/>
            <w:vAlign w:val="bottom"/>
          </w:tcPr>
          <w:p>
            <w:pPr>
              <w:spacing w:after="0"/>
              <w:rPr>
                <w:sz w:val="21"/>
                <w:szCs w:val="21"/>
                <w:color w:val="auto"/>
              </w:rPr>
            </w:pPr>
          </w:p>
        </w:tc>
        <w:tc>
          <w:tcPr>
            <w:tcW w:w="2460" w:type="dxa"/>
            <w:vAlign w:val="bottom"/>
            <w:gridSpan w:val="2"/>
          </w:tcPr>
          <w:p>
            <w:pPr>
              <w:jc w:val="center"/>
              <w:ind w:left="1112"/>
              <w:spacing w:after="0" w:line="243" w:lineRule="exact"/>
              <w:rPr>
                <w:sz w:val="20"/>
                <w:szCs w:val="20"/>
                <w:color w:val="auto"/>
              </w:rPr>
            </w:pPr>
            <w:r>
              <w:rPr>
                <w:rFonts w:ascii="Arial" w:cs="Arial" w:eastAsia="Arial" w:hAnsi="Arial"/>
                <w:sz w:val="22"/>
                <w:szCs w:val="22"/>
                <w:color w:val="auto"/>
                <w:w w:val="87"/>
              </w:rPr>
              <w:t>0.0%</w:t>
            </w:r>
          </w:p>
        </w:tc>
        <w:tc>
          <w:tcPr>
            <w:tcW w:w="80" w:type="dxa"/>
            <w:vAlign w:val="bottom"/>
          </w:tcPr>
          <w:p>
            <w:pPr>
              <w:spacing w:after="0"/>
              <w:rPr>
                <w:sz w:val="21"/>
                <w:szCs w:val="21"/>
                <w:color w:val="auto"/>
              </w:rPr>
            </w:pPr>
          </w:p>
        </w:tc>
      </w:tr>
      <w:tr>
        <w:trPr>
          <w:trHeight w:val="275"/>
        </w:trPr>
        <w:tc>
          <w:tcPr>
            <w:tcW w:w="3920" w:type="dxa"/>
            <w:vAlign w:val="bottom"/>
            <w:gridSpan w:val="3"/>
          </w:tcPr>
          <w:p>
            <w:pPr>
              <w:spacing w:after="0"/>
              <w:rPr>
                <w:sz w:val="20"/>
                <w:szCs w:val="20"/>
                <w:color w:val="auto"/>
              </w:rPr>
            </w:pPr>
            <w:r>
              <w:rPr>
                <w:rFonts w:ascii="Arial" w:cs="Arial" w:eastAsia="Arial" w:hAnsi="Arial"/>
                <w:sz w:val="22"/>
                <w:szCs w:val="22"/>
                <w:color w:val="auto"/>
              </w:rPr>
              <w:t>Felix J. Baker</w:t>
            </w:r>
          </w:p>
        </w:tc>
        <w:tc>
          <w:tcPr>
            <w:tcW w:w="2640" w:type="dxa"/>
            <w:vAlign w:val="bottom"/>
            <w:gridSpan w:val="2"/>
          </w:tcPr>
          <w:p>
            <w:pPr>
              <w:jc w:val="right"/>
              <w:ind w:right="272"/>
              <w:spacing w:after="0"/>
              <w:rPr>
                <w:sz w:val="20"/>
                <w:szCs w:val="20"/>
                <w:color w:val="auto"/>
              </w:rPr>
            </w:pPr>
            <w:r>
              <w:rPr>
                <w:rFonts w:ascii="Arial" w:cs="Arial" w:eastAsia="Arial" w:hAnsi="Arial"/>
                <w:sz w:val="22"/>
                <w:szCs w:val="22"/>
                <w:color w:val="auto"/>
              </w:rPr>
              <w:t>250</w:t>
            </w:r>
          </w:p>
        </w:tc>
        <w:tc>
          <w:tcPr>
            <w:tcW w:w="1140" w:type="dxa"/>
            <w:vAlign w:val="bottom"/>
          </w:tcPr>
          <w:p>
            <w:pPr>
              <w:spacing w:after="0"/>
              <w:rPr>
                <w:sz w:val="23"/>
                <w:szCs w:val="23"/>
                <w:color w:val="auto"/>
              </w:rPr>
            </w:pPr>
          </w:p>
        </w:tc>
        <w:tc>
          <w:tcPr>
            <w:tcW w:w="2460" w:type="dxa"/>
            <w:vAlign w:val="bottom"/>
            <w:gridSpan w:val="2"/>
          </w:tcPr>
          <w:p>
            <w:pPr>
              <w:jc w:val="center"/>
              <w:ind w:left="1112"/>
              <w:spacing w:after="0"/>
              <w:rPr>
                <w:sz w:val="20"/>
                <w:szCs w:val="20"/>
                <w:color w:val="auto"/>
              </w:rPr>
            </w:pPr>
            <w:r>
              <w:rPr>
                <w:rFonts w:ascii="Arial" w:cs="Arial" w:eastAsia="Arial" w:hAnsi="Arial"/>
                <w:sz w:val="22"/>
                <w:szCs w:val="22"/>
                <w:color w:val="auto"/>
                <w:w w:val="87"/>
              </w:rPr>
              <w:t>0.0%</w:t>
            </w:r>
          </w:p>
        </w:tc>
        <w:tc>
          <w:tcPr>
            <w:tcW w:w="80" w:type="dxa"/>
            <w:vAlign w:val="bottom"/>
          </w:tcPr>
          <w:p>
            <w:pPr>
              <w:spacing w:after="0"/>
              <w:rPr>
                <w:sz w:val="23"/>
                <w:szCs w:val="23"/>
                <w:color w:val="auto"/>
              </w:rPr>
            </w:pPr>
          </w:p>
        </w:tc>
      </w:tr>
      <w:tr>
        <w:trPr>
          <w:trHeight w:val="486"/>
        </w:trPr>
        <w:tc>
          <w:tcPr>
            <w:tcW w:w="3920" w:type="dxa"/>
            <w:vAlign w:val="bottom"/>
            <w:gridSpan w:val="3"/>
          </w:tcPr>
          <w:p>
            <w:pPr>
              <w:ind w:left="440"/>
              <w:spacing w:after="0"/>
              <w:rPr>
                <w:sz w:val="20"/>
                <w:szCs w:val="20"/>
                <w:color w:val="auto"/>
              </w:rPr>
            </w:pPr>
            <w:r>
              <w:rPr>
                <w:rFonts w:ascii="Arial" w:cs="Arial" w:eastAsia="Arial" w:hAnsi="Arial"/>
                <w:sz w:val="22"/>
                <w:szCs w:val="22"/>
                <w:color w:val="auto"/>
              </w:rPr>
              <w:t>Total</w:t>
            </w:r>
          </w:p>
        </w:tc>
        <w:tc>
          <w:tcPr>
            <w:tcW w:w="2640" w:type="dxa"/>
            <w:vAlign w:val="bottom"/>
            <w:gridSpan w:val="2"/>
          </w:tcPr>
          <w:p>
            <w:pPr>
              <w:jc w:val="right"/>
              <w:ind w:right="232"/>
              <w:spacing w:after="0"/>
              <w:rPr>
                <w:sz w:val="20"/>
                <w:szCs w:val="20"/>
                <w:color w:val="auto"/>
              </w:rPr>
            </w:pPr>
            <w:r>
              <w:rPr>
                <w:rFonts w:ascii="Arial" w:cs="Arial" w:eastAsia="Arial" w:hAnsi="Arial"/>
                <w:sz w:val="22"/>
                <w:szCs w:val="22"/>
                <w:color w:val="auto"/>
              </w:rPr>
              <w:t>6,809,842</w:t>
            </w:r>
          </w:p>
        </w:tc>
        <w:tc>
          <w:tcPr>
            <w:tcW w:w="1140" w:type="dxa"/>
            <w:vAlign w:val="bottom"/>
          </w:tcPr>
          <w:p>
            <w:pPr>
              <w:spacing w:after="0"/>
              <w:rPr>
                <w:sz w:val="24"/>
                <w:szCs w:val="24"/>
                <w:color w:val="auto"/>
              </w:rPr>
            </w:pPr>
          </w:p>
        </w:tc>
        <w:tc>
          <w:tcPr>
            <w:tcW w:w="2460" w:type="dxa"/>
            <w:vAlign w:val="bottom"/>
            <w:gridSpan w:val="2"/>
          </w:tcPr>
          <w:p>
            <w:pPr>
              <w:jc w:val="center"/>
              <w:ind w:left="1112"/>
              <w:spacing w:after="0"/>
              <w:rPr>
                <w:sz w:val="20"/>
                <w:szCs w:val="20"/>
                <w:color w:val="auto"/>
              </w:rPr>
            </w:pPr>
            <w:r>
              <w:rPr>
                <w:rFonts w:ascii="Arial" w:cs="Arial" w:eastAsia="Arial" w:hAnsi="Arial"/>
                <w:sz w:val="22"/>
                <w:szCs w:val="22"/>
                <w:color w:val="auto"/>
                <w:w w:val="89"/>
              </w:rPr>
              <w:t>16.0%</w:t>
            </w:r>
          </w:p>
        </w:tc>
        <w:tc>
          <w:tcPr>
            <w:tcW w:w="80" w:type="dxa"/>
            <w:vAlign w:val="bottom"/>
          </w:tcPr>
          <w:p>
            <w:pPr>
              <w:spacing w:after="0"/>
              <w:rPr>
                <w:sz w:val="24"/>
                <w:szCs w:val="24"/>
                <w:color w:val="auto"/>
              </w:rPr>
            </w:pPr>
          </w:p>
        </w:tc>
      </w:tr>
    </w:tbl>
    <w:p>
      <w:pPr>
        <w:spacing w:after="0" w:line="212" w:lineRule="exact"/>
        <w:rPr>
          <w:sz w:val="20"/>
          <w:szCs w:val="20"/>
          <w:color w:val="auto"/>
        </w:rPr>
      </w:pPr>
    </w:p>
    <w:p>
      <w:pPr>
        <w:ind w:left="620" w:right="20" w:hanging="558"/>
        <w:spacing w:after="0" w:line="328"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percentages set forth in the table above are based on 41,163,133 shares of Common Stock outstanding at October 31,2001, as reported in the Form 10-Q of the Issuer for the quarter ended September 30, 2001, and on a conversion price of</w:t>
      </w:r>
    </w:p>
    <w:p>
      <w:pPr>
        <w:sectPr>
          <w:pgSz w:w="11900" w:h="16838" w:orient="portrait"/>
          <w:cols w:equalWidth="0" w:num="1">
            <w:col w:w="11300"/>
          </w:cols>
          <w:pgMar w:left="240" w:top="111" w:right="359" w:bottom="0" w:gutter="0" w:footer="0" w:header="0"/>
        </w:sectPr>
      </w:pPr>
    </w:p>
    <w:bookmarkStart w:id="7" w:name="page8"/>
    <w:bookmarkEnd w:id="7"/>
    <w:p>
      <w:pPr>
        <w:ind w:left="620"/>
        <w:spacing w:after="0"/>
        <w:rPr>
          <w:sz w:val="20"/>
          <w:szCs w:val="20"/>
          <w:color w:val="auto"/>
        </w:rPr>
      </w:pPr>
      <w:r>
        <w:rPr>
          <w:rFonts w:ascii="Arial" w:cs="Arial" w:eastAsia="Arial" w:hAnsi="Arial"/>
          <w:sz w:val="22"/>
          <w:szCs w:val="22"/>
          <w:color w:val="auto"/>
        </w:rPr>
        <w:t>$30.25 for the Convertible Senior Subordinated Notes.</w:t>
      </w:r>
    </w:p>
    <w:p>
      <w:pPr>
        <w:spacing w:after="0" w:line="200" w:lineRule="exact"/>
        <w:rPr>
          <w:sz w:val="20"/>
          <w:szCs w:val="20"/>
          <w:color w:val="auto"/>
        </w:rPr>
      </w:pPr>
    </w:p>
    <w:p>
      <w:pPr>
        <w:spacing w:after="0" w:line="250" w:lineRule="exact"/>
        <w:rPr>
          <w:sz w:val="20"/>
          <w:szCs w:val="20"/>
          <w:color w:val="auto"/>
        </w:rPr>
      </w:pPr>
    </w:p>
    <w:p>
      <w:pPr>
        <w:jc w:val="center"/>
        <w:ind w:left="300"/>
        <w:spacing w:after="0"/>
        <w:rPr>
          <w:sz w:val="20"/>
          <w:szCs w:val="20"/>
          <w:color w:val="auto"/>
        </w:rPr>
      </w:pPr>
      <w:r>
        <w:rPr>
          <w:rFonts w:ascii="Arial" w:cs="Arial" w:eastAsia="Arial" w:hAnsi="Arial"/>
          <w:sz w:val="21"/>
          <w:szCs w:val="21"/>
          <w:color w:val="auto"/>
        </w:rPr>
        <w:t>The following persons may be regarded as beneficial owners of the shares listed above for the reasons listed below:</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40" w:hanging="576"/>
        <w:spacing w:after="0" w:line="287" w:lineRule="auto"/>
        <w:tabs>
          <w:tab w:leader="none" w:pos="1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virtue of their status as managing trustees of the trusts which are the general partners of Four Partners, a New York general partnership, Andrew H. Tisch, Daniel R. Tisch, James S. Tisch and Thomas J. Tisch may be deemed to have shared beneficial ownership of securities owned by Four Partners and shared power to vote or direct the vote of and to dispose or direct the disposition of such securities.</w:t>
      </w:r>
    </w:p>
    <w:p>
      <w:pPr>
        <w:spacing w:after="0" w:line="170" w:lineRule="exact"/>
        <w:rPr>
          <w:rFonts w:ascii="Arial" w:cs="Arial" w:eastAsia="Arial" w:hAnsi="Arial"/>
          <w:sz w:val="19"/>
          <w:szCs w:val="19"/>
          <w:color w:val="auto"/>
        </w:rPr>
      </w:pPr>
    </w:p>
    <w:p>
      <w:pPr>
        <w:ind w:left="1840" w:hanging="576"/>
        <w:spacing w:after="0"/>
        <w:tabs>
          <w:tab w:leader="none" w:pos="18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By virtue of his status as manager of Four Partners, Thomas J. Tisch may be deemed to have power to vote or direct the vote of securities owned by Four Partners and power to dispose or direct the disposition of securities owned by Four Partners.</w:t>
      </w:r>
    </w:p>
    <w:p>
      <w:pPr>
        <w:spacing w:after="0" w:line="213" w:lineRule="exact"/>
        <w:rPr>
          <w:rFonts w:ascii="Arial" w:cs="Arial" w:eastAsia="Arial" w:hAnsi="Arial"/>
          <w:sz w:val="22"/>
          <w:szCs w:val="22"/>
          <w:color w:val="auto"/>
        </w:rPr>
      </w:pPr>
    </w:p>
    <w:p>
      <w:pPr>
        <w:ind w:left="1840" w:right="60" w:hanging="576"/>
        <w:spacing w:after="0" w:line="275" w:lineRule="auto"/>
        <w:tabs>
          <w:tab w:leader="none" w:pos="1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Julian C. Baker and Felix J. Baker, by virtue of their ownership of entities that have the power to control the investment decisions of Baker/Tisch Investments, LLC, Baker Bros. Investments, LLC, Baker Bros. Investments II, LLC, Baker Biotech Fund I, L.P., and Baker Biotech Fund II, L.P., may each be deemed to be beneficial owners of securities owned by such entities and may each be deemed to have shared power to vote or direct the vote and to dispose or direct the disposition of such securities. Julian C. Baker and Felix J. Baker are also the sole partners of FBB Associates, a general partnership, and as such may each be deemed to be beneficial owners of securities owned by FBB Associates and to have shared power to vote or direct the vote and to dispose or direct the disposition of such securities.</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right="720" w:firstLine="864"/>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 N/A</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1160" w:right="2340" w:hanging="1147"/>
        <w:spacing w:after="0" w:line="280" w:lineRule="auto"/>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11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2" w:lineRule="exact"/>
        <w:rPr>
          <w:sz w:val="20"/>
          <w:szCs w:val="20"/>
          <w:color w:val="auto"/>
        </w:rPr>
      </w:pPr>
    </w:p>
    <w:p>
      <w:pPr>
        <w:ind w:right="40" w:firstLine="864"/>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700" w:firstLine="864"/>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400"/>
          </w:cols>
          <w:pgMar w:left="240" w:top="118" w:right="259" w:bottom="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December 4, 2001</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64770</wp:posOffset>
            </wp:positionV>
            <wp:extent cx="3087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9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Page 12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color w:val="auto"/>
        </w:rPr>
        <w:t>In accordance with Rule 13d-1(k)(1) under the Securities Exchange Act of 1934, as amended, the undersigned hereby agree that this Statement on Schedule 13G relating to the Common Stock, $0.001 par value per share, of Regeneron Pharmaceuticals, Inc., is being filed with the Securities and Exchange Commission on behalf of each of them.</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December 4, 2001</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64770</wp:posOffset>
            </wp:positionV>
            <wp:extent cx="30873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9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ectPr>
          <w:pgSz w:w="11900" w:h="16838" w:orient="portrait"/>
          <w:cols w:equalWidth="0" w:num="1">
            <w:col w:w="11040"/>
          </w:cols>
          <w:pgMar w:left="240" w:top="118" w:right="619" w:bottom="0" w:gutter="0" w:footer="0" w:header="0"/>
        </w:sectPr>
      </w:pP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19"/>
          <w:szCs w:val="19"/>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97790</wp:posOffset>
            </wp:positionV>
            <wp:extent cx="3087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ectPr>
          <w:pgSz w:w="11900" w:h="16838" w:orient="portrait"/>
          <w:cols w:equalWidth="0" w:num="1">
            <w:col w:w="11040"/>
          </w:cols>
          <w:pgMar w:left="240" w:top="118" w:right="619" w:bottom="0" w:gutter="0" w:footer="0" w:header="0"/>
          <w:type w:val="continuous"/>
        </w:sectPr>
      </w:pPr>
    </w:p>
    <w:bookmarkStart w:id="9" w:name="page10"/>
    <w:bookmarkEnd w:id="9"/>
    <w:p>
      <w:pPr>
        <w:ind w:left="4780"/>
        <w:spacing w:after="0"/>
        <w:rPr>
          <w:sz w:val="20"/>
          <w:szCs w:val="20"/>
          <w:color w:val="auto"/>
        </w:rPr>
      </w:pPr>
      <w:r>
        <w:rPr>
          <w:rFonts w:ascii="Arial" w:cs="Arial" w:eastAsia="Arial" w:hAnsi="Arial"/>
          <w:sz w:val="21"/>
          <w:szCs w:val="21"/>
          <w:color w:val="auto"/>
        </w:rPr>
        <w:t>Julian C. Baker</w:t>
      </w:r>
    </w:p>
    <w:p>
      <w:pPr>
        <w:spacing w:after="0" w:line="200" w:lineRule="exact"/>
        <w:rPr>
          <w:sz w:val="20"/>
          <w:szCs w:val="20"/>
          <w:color w:val="auto"/>
        </w:rPr>
      </w:pPr>
    </w:p>
    <w:p>
      <w:pPr>
        <w:spacing w:after="0" w:line="288" w:lineRule="exact"/>
        <w:rPr>
          <w:sz w:val="20"/>
          <w:szCs w:val="20"/>
          <w:color w:val="auto"/>
        </w:rPr>
      </w:pPr>
    </w:p>
    <w:p>
      <w:pPr>
        <w:ind w:left="4780"/>
        <w:spacing w:after="0"/>
        <w:rPr>
          <w:sz w:val="20"/>
          <w:szCs w:val="20"/>
          <w:color w:val="auto"/>
        </w:rPr>
      </w:pPr>
      <w:r>
        <w:rPr>
          <w:rFonts w:ascii="Arial" w:cs="Arial" w:eastAsia="Arial" w:hAnsi="Arial"/>
          <w:sz w:val="19"/>
          <w:szCs w:val="19"/>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97790</wp:posOffset>
            </wp:positionV>
            <wp:extent cx="30873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4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 pages</w:t>
      </w:r>
    </w:p>
    <w:sectPr>
      <w:pgSz w:w="11900" w:h="16838" w:orient="portrait"/>
      <w:cols w:equalWidth="0" w:num="1">
        <w:col w:w="9019"/>
      </w:cols>
      <w:pgMar w:left="14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4"/>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4"/>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2019-12-11T20:54:51Z</dcterms:created>
  <dcterms:modified xsi:type="dcterms:W3CDTF">2019-12-11T20:54:51Z</dcterms:modified>
</cp:coreProperties>
</file>