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32" w:lineRule="exact"/>
        <w:rPr>
          <w:sz w:val="24"/>
          <w:szCs w:val="24"/>
          <w:color w:val="auto"/>
        </w:rPr>
      </w:pPr>
    </w:p>
    <w:p>
      <w:pPr>
        <w:sectPr>
          <w:pgSz w:w="11900" w:h="16849"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07/15/2014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3"/>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4"/>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1,865</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310.1843</w:t>
            </w:r>
            <w:r>
              <w:rPr>
                <w:rFonts w:ascii="Arial" w:cs="Arial" w:eastAsia="Arial" w:hAnsi="Arial"/>
                <w:sz w:val="22"/>
                <w:szCs w:val="22"/>
                <w:color w:val="008000"/>
                <w:w w:val="84"/>
                <w:vertAlign w:val="superscript"/>
              </w:rPr>
              <w:t>(1)(3)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22,077,606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4,144</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311.0431</w:t>
            </w:r>
            <w:r>
              <w:rPr>
                <w:rFonts w:ascii="Arial" w:cs="Arial" w:eastAsia="Arial" w:hAnsi="Arial"/>
                <w:sz w:val="22"/>
                <w:szCs w:val="22"/>
                <w:color w:val="008000"/>
                <w:w w:val="82"/>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22,081,750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9,669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312.2346</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22,091,419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27,048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313.064</w:t>
            </w:r>
            <w:r>
              <w:rPr>
                <w:rFonts w:ascii="Arial" w:cs="Arial" w:eastAsia="Arial" w:hAnsi="Arial"/>
                <w:sz w:val="22"/>
                <w:szCs w:val="22"/>
                <w:color w:val="008000"/>
                <w:w w:val="82"/>
                <w:vertAlign w:val="superscript"/>
              </w:rPr>
              <w:t>(1)(7)</w:t>
            </w: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22,118,467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24,749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314.1123</w:t>
            </w:r>
            <w:r>
              <w:rPr>
                <w:rFonts w:ascii="Arial" w:cs="Arial" w:eastAsia="Arial" w:hAnsi="Arial"/>
                <w:sz w:val="22"/>
                <w:szCs w:val="22"/>
                <w:color w:val="008000"/>
                <w:w w:val="82"/>
                <w:vertAlign w:val="superscript"/>
              </w:rPr>
              <w:t>(1)(8)</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22,143,216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12,830</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314.9629</w:t>
            </w:r>
            <w:r>
              <w:rPr>
                <w:rFonts w:ascii="Arial" w:cs="Arial" w:eastAsia="Arial" w:hAnsi="Arial"/>
                <w:sz w:val="22"/>
                <w:szCs w:val="22"/>
                <w:color w:val="008000"/>
                <w:w w:val="84"/>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22,156,046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12,683</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316.022</w:t>
            </w:r>
            <w:r>
              <w:rPr>
                <w:rFonts w:ascii="Arial" w:cs="Arial" w:eastAsia="Arial" w:hAnsi="Arial"/>
                <w:sz w:val="22"/>
                <w:szCs w:val="22"/>
                <w:color w:val="008000"/>
                <w:w w:val="83"/>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22,168,729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18,772</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317.1444</w:t>
            </w:r>
            <w:r>
              <w:rPr>
                <w:rFonts w:ascii="Arial" w:cs="Arial" w:eastAsia="Arial" w:hAnsi="Arial"/>
                <w:sz w:val="22"/>
                <w:szCs w:val="22"/>
                <w:color w:val="008000"/>
                <w:w w:val="83"/>
                <w:vertAlign w:val="superscript"/>
              </w:rPr>
              <w:t>(1)(11)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22,187,501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8,131</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318.1141</w:t>
            </w:r>
            <w:r>
              <w:rPr>
                <w:rFonts w:ascii="Arial" w:cs="Arial" w:eastAsia="Arial" w:hAnsi="Arial"/>
                <w:sz w:val="22"/>
                <w:szCs w:val="22"/>
                <w:color w:val="008000"/>
                <w:w w:val="83"/>
                <w:vertAlign w:val="superscript"/>
              </w:rPr>
              <w:t>(1)(12)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22,195,632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8,409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319.0803</w:t>
            </w:r>
            <w:r>
              <w:rPr>
                <w:rFonts w:ascii="Arial" w:cs="Arial" w:eastAsia="Arial" w:hAnsi="Arial"/>
                <w:sz w:val="22"/>
                <w:szCs w:val="22"/>
                <w:color w:val="008000"/>
                <w:w w:val="83"/>
                <w:vertAlign w:val="superscript"/>
              </w:rPr>
              <w:t>(1)(13)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22,204,041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07/15/2014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800</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319.6944</w:t>
            </w:r>
            <w:r>
              <w:rPr>
                <w:rFonts w:ascii="Arial" w:cs="Arial" w:eastAsia="Arial" w:hAnsi="Arial"/>
                <w:sz w:val="22"/>
                <w:szCs w:val="22"/>
                <w:color w:val="008000"/>
                <w:w w:val="83"/>
                <w:vertAlign w:val="superscript"/>
              </w:rPr>
              <w:t>(1)(14)</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22,204,841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60" w:type="dxa"/>
            <w:vAlign w:val="bottom"/>
            <w:gridSpan w:val="18"/>
          </w:tcPr>
          <w:p>
            <w:pPr>
              <w:jc w:val="center"/>
              <w:ind w:left="18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 The shares were purchased pursuant to a plan intended to comply with Rule 10b5-1(c)(1)(i) under the Exchange Act, entered into with a broker on June 27, 2014.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$309.52 to $310.50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w:t>
      </w:r>
    </w:p>
    <w:p>
      <w:pPr>
        <w:sectPr>
          <w:pgSz w:w="11900" w:h="16849" w:orient="portrait"/>
          <w:cols w:equalWidth="0" w:num="1">
            <w:col w:w="11420"/>
          </w:cols>
          <w:pgMar w:left="240" w:top="226" w:right="239" w:bottom="0" w:gutter="0" w:footer="0" w:header="0"/>
          <w:type w:val="continuous"/>
        </w:sectPr>
      </w:pPr>
    </w:p>
    <w:bookmarkStart w:id="1" w:name="page2"/>
    <w:bookmarkEnd w:id="1"/>
    <w:p>
      <w:pPr>
        <w:jc w:val="both"/>
        <w:spacing w:after="0" w:line="288" w:lineRule="auto"/>
        <w:rPr>
          <w:sz w:val="20"/>
          <w:szCs w:val="20"/>
          <w:color w:val="auto"/>
        </w:rPr>
      </w:pPr>
      <w:r>
        <w:rPr>
          <w:rFonts w:ascii="Arial" w:cs="Arial" w:eastAsia="Arial" w:hAnsi="Arial"/>
          <w:sz w:val="12"/>
          <w:szCs w:val="12"/>
          <w:color w:val="008000"/>
        </w:rPr>
        <w:t>acquisitions reported on this Form 4, the number of shares beneficially owned directly by SAAN and Aventis was 19,405,289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$310.55 to $311.52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$311.56 to $312.54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$312.58 to $313.57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$313.58 to $314.57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$314.58 to $315.56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$315.62 to $316.61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$316.62 to $317.60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$317.62 to $318.59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$318.62 to $319.55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$319.64 to $319.92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07/17/2014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2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2019-12-17T06:01:59Z</dcterms:created>
  <dcterms:modified xsi:type="dcterms:W3CDTF">2019-12-17T06:01:59Z</dcterms:modified>
</cp:coreProperties>
</file>