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4"/>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Sanofi</w:t>
              </w:r>
            </w:hyperlink>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220"/>
              <w:spacing w:after="0"/>
              <w:rPr>
                <w:sz w:val="20"/>
                <w:szCs w:val="20"/>
                <w:color w:val="auto"/>
              </w:rPr>
            </w:pPr>
            <w:r>
              <w:rPr>
                <w:rFonts w:ascii="Arial" w:cs="Arial" w:eastAsia="Arial" w:hAnsi="Arial"/>
                <w:sz w:val="18"/>
                <w:szCs w:val="18"/>
                <w:color w:val="0000FF"/>
              </w:rPr>
              <w:t>X</w:t>
            </w: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60" w:type="dxa"/>
            <w:vAlign w:val="bottom"/>
            <w:gridSpan w:val="3"/>
            <w:vMerge w:val="restart"/>
          </w:tcPr>
          <w:p>
            <w:pPr>
              <w:ind w:left="1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8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800" w:type="dxa"/>
            <w:vAlign w:val="bottom"/>
          </w:tcPr>
          <w:p>
            <w:pPr>
              <w:ind w:left="100"/>
              <w:spacing w:after="0" w:line="155" w:lineRule="exact"/>
              <w:rPr>
                <w:sz w:val="20"/>
                <w:szCs w:val="20"/>
                <w:color w:val="auto"/>
              </w:rPr>
            </w:pPr>
            <w:r>
              <w:rPr>
                <w:rFonts w:ascii="Arial" w:cs="Arial" w:eastAsia="Arial" w:hAnsi="Arial"/>
                <w:sz w:val="14"/>
                <w:szCs w:val="14"/>
                <w:color w:val="auto"/>
              </w:rPr>
              <w:t>(First)</w:t>
            </w:r>
          </w:p>
        </w:tc>
        <w:tc>
          <w:tcPr>
            <w:tcW w:w="1900" w:type="dxa"/>
            <w:vAlign w:val="bottom"/>
            <w:gridSpan w:val="2"/>
          </w:tcPr>
          <w:p>
            <w:pPr>
              <w:ind w:left="560"/>
              <w:spacing w:after="0" w:line="155" w:lineRule="exact"/>
              <w:rPr>
                <w:sz w:val="20"/>
                <w:szCs w:val="20"/>
                <w:color w:val="auto"/>
              </w:rPr>
            </w:pPr>
            <w:r>
              <w:rPr>
                <w:rFonts w:ascii="Arial" w:cs="Arial" w:eastAsia="Arial" w:hAnsi="Arial"/>
                <w:sz w:val="14"/>
                <w:szCs w:val="14"/>
                <w:color w:val="auto"/>
              </w:rPr>
              <w:t>(Middle)</w:t>
            </w:r>
          </w:p>
        </w:tc>
        <w:tc>
          <w:tcPr>
            <w:tcW w:w="80" w:type="dxa"/>
            <w:vAlign w:val="bottom"/>
            <w:tcBorders>
              <w:top w:val="single" w:sz="8" w:color="2C2C2C"/>
            </w:tcBorders>
          </w:tcPr>
          <w:p>
            <w:pPr>
              <w:spacing w:after="0"/>
              <w:rPr>
                <w:sz w:val="13"/>
                <w:szCs w:val="13"/>
                <w:color w:val="auto"/>
              </w:rPr>
            </w:pPr>
          </w:p>
        </w:tc>
        <w:tc>
          <w:tcPr>
            <w:tcW w:w="322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600" w:type="dxa"/>
            <w:vAlign w:val="bottom"/>
          </w:tcPr>
          <w:p>
            <w:pPr>
              <w:ind w:left="1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0000FF"/>
              </w:rPr>
              <w:t>54 RUE LA BOETIE</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color w:val="0000FF"/>
              </w:rPr>
              <w:t>08/23/2017</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2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9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7"/>
            <w:vMerge w:val="continue"/>
          </w:tcPr>
          <w:p>
            <w:pPr>
              <w:spacing w:after="0"/>
              <w:rPr>
                <w:sz w:val="8"/>
                <w:szCs w:val="8"/>
                <w:color w:val="auto"/>
              </w:rPr>
            </w:pPr>
          </w:p>
        </w:tc>
        <w:tc>
          <w:tcPr>
            <w:tcW w:w="34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00" w:type="dxa"/>
            <w:vAlign w:val="bottom"/>
          </w:tcPr>
          <w:p>
            <w:pPr>
              <w:ind w:left="100"/>
              <w:spacing w:after="0"/>
              <w:rPr>
                <w:sz w:val="20"/>
                <w:szCs w:val="20"/>
                <w:color w:val="auto"/>
              </w:rPr>
            </w:pPr>
            <w:r>
              <w:rPr>
                <w:rFonts w:ascii="Arial" w:cs="Arial" w:eastAsia="Arial" w:hAnsi="Arial"/>
                <w:sz w:val="18"/>
                <w:szCs w:val="18"/>
                <w:color w:val="0000FF"/>
              </w:rPr>
              <w:t>I0</w:t>
            </w:r>
          </w:p>
        </w:tc>
        <w:tc>
          <w:tcPr>
            <w:tcW w:w="1820" w:type="dxa"/>
            <w:vAlign w:val="bottom"/>
          </w:tcPr>
          <w:p>
            <w:pPr>
              <w:ind w:left="560"/>
              <w:spacing w:after="0"/>
              <w:rPr>
                <w:sz w:val="20"/>
                <w:szCs w:val="20"/>
                <w:color w:val="auto"/>
              </w:rPr>
            </w:pPr>
            <w:r>
              <w:rPr>
                <w:rFonts w:ascii="Arial" w:cs="Arial" w:eastAsia="Arial" w:hAnsi="Arial"/>
                <w:sz w:val="18"/>
                <w:szCs w:val="18"/>
                <w:color w:val="0000FF"/>
              </w:rPr>
              <w:t>75008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00" w:type="dxa"/>
            <w:vAlign w:val="bottom"/>
            <w:gridSpan w:val="5"/>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2"/>
          </w:tcPr>
          <w:p>
            <w:pPr>
              <w:jc w:val="right"/>
              <w:ind w:right="562"/>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2"/>
          </w:tcPr>
          <w:p>
            <w:pPr>
              <w:jc w:val="center"/>
              <w:ind w:left="657"/>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5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08/23/2017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1,900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475.9732</w:t>
            </w:r>
            <w:r>
              <w:rPr>
                <w:rFonts w:ascii="Arial" w:cs="Arial" w:eastAsia="Arial" w:hAnsi="Arial"/>
                <w:sz w:val="22"/>
                <w:szCs w:val="22"/>
                <w:color w:val="008000"/>
                <w:w w:val="84"/>
                <w:vertAlign w:val="superscript"/>
              </w:rPr>
              <w:t>(1)(3)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23,643,644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08/23/2017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9,600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477.3484</w:t>
            </w:r>
            <w:r>
              <w:rPr>
                <w:rFonts w:ascii="Arial" w:cs="Arial" w:eastAsia="Arial" w:hAnsi="Arial"/>
                <w:sz w:val="22"/>
                <w:szCs w:val="22"/>
                <w:color w:val="008000"/>
                <w:w w:val="84"/>
                <w:vertAlign w:val="superscript"/>
              </w:rPr>
              <w:t>(1)(5)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23,653,244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08/23/2017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12,186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478.3422</w:t>
            </w:r>
            <w:r>
              <w:rPr>
                <w:rFonts w:ascii="Arial" w:cs="Arial" w:eastAsia="Arial" w:hAnsi="Arial"/>
                <w:sz w:val="22"/>
                <w:szCs w:val="22"/>
                <w:color w:val="008000"/>
                <w:w w:val="84"/>
                <w:vertAlign w:val="superscript"/>
              </w:rPr>
              <w:t>(1)(6)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23,665,430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08/23/2017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23,872</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479.451</w:t>
            </w:r>
            <w:r>
              <w:rPr>
                <w:rFonts w:ascii="Arial" w:cs="Arial" w:eastAsia="Arial" w:hAnsi="Arial"/>
                <w:sz w:val="22"/>
                <w:szCs w:val="22"/>
                <w:color w:val="008000"/>
                <w:w w:val="82"/>
                <w:vertAlign w:val="superscript"/>
              </w:rPr>
              <w:t>(1)(7)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23,689,302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08/23/2017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13,037</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480.3731</w:t>
            </w:r>
            <w:r>
              <w:rPr>
                <w:rFonts w:ascii="Arial" w:cs="Arial" w:eastAsia="Arial" w:hAnsi="Arial"/>
                <w:sz w:val="22"/>
                <w:szCs w:val="22"/>
                <w:color w:val="008000"/>
                <w:w w:val="84"/>
                <w:vertAlign w:val="superscript"/>
              </w:rPr>
              <w:t>(1)(8)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23,702,339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2,633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474.8578</w:t>
            </w:r>
            <w:r>
              <w:rPr>
                <w:rFonts w:ascii="Arial" w:cs="Arial" w:eastAsia="Arial" w:hAnsi="Arial"/>
                <w:sz w:val="22"/>
                <w:szCs w:val="22"/>
                <w:color w:val="008000"/>
                <w:w w:val="84"/>
                <w:vertAlign w:val="superscript"/>
              </w:rPr>
              <w:t>(1)(9)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23,704,972</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5,103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475.9319</w:t>
            </w:r>
            <w:r>
              <w:rPr>
                <w:rFonts w:ascii="Arial" w:cs="Arial" w:eastAsia="Arial" w:hAnsi="Arial"/>
                <w:sz w:val="22"/>
                <w:szCs w:val="22"/>
                <w:color w:val="008000"/>
                <w:w w:val="83"/>
                <w:vertAlign w:val="superscript"/>
              </w:rPr>
              <w:t>(1)(10)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23,710,075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10,929</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477.4224</w:t>
            </w:r>
            <w:r>
              <w:rPr>
                <w:rFonts w:ascii="Arial" w:cs="Arial" w:eastAsia="Arial" w:hAnsi="Arial"/>
                <w:sz w:val="22"/>
                <w:szCs w:val="22"/>
                <w:color w:val="008000"/>
                <w:w w:val="83"/>
                <w:vertAlign w:val="superscript"/>
              </w:rPr>
              <w:t>(1)(11)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23,721,004</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3,326</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478.1171</w:t>
            </w:r>
            <w:r>
              <w:rPr>
                <w:rFonts w:ascii="Arial" w:cs="Arial" w:eastAsia="Arial" w:hAnsi="Arial"/>
                <w:sz w:val="22"/>
                <w:szCs w:val="22"/>
                <w:color w:val="008000"/>
                <w:w w:val="83"/>
                <w:vertAlign w:val="superscript"/>
              </w:rPr>
              <w:t>(1)(12)</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23,724,330</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8,273</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479.2349</w:t>
            </w:r>
            <w:r>
              <w:rPr>
                <w:rFonts w:ascii="Arial" w:cs="Arial" w:eastAsia="Arial" w:hAnsi="Arial"/>
                <w:sz w:val="22"/>
                <w:szCs w:val="22"/>
                <w:color w:val="008000"/>
                <w:w w:val="83"/>
                <w:vertAlign w:val="superscript"/>
              </w:rPr>
              <w:t>(1)(13)</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23,732,603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13,638</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480.3643</w:t>
            </w:r>
            <w:r>
              <w:rPr>
                <w:rFonts w:ascii="Arial" w:cs="Arial" w:eastAsia="Arial" w:hAnsi="Arial"/>
                <w:sz w:val="22"/>
                <w:szCs w:val="22"/>
                <w:color w:val="008000"/>
                <w:w w:val="83"/>
                <w:vertAlign w:val="superscript"/>
              </w:rPr>
              <w:t>(1)(14)</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23,746,241</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17,756</w:t>
            </w:r>
            <w:r>
              <w:rPr>
                <w:rFonts w:ascii="Arial" w:cs="Arial" w:eastAsia="Arial" w:hAnsi="Arial"/>
                <w:sz w:val="22"/>
                <w:szCs w:val="22"/>
                <w:color w:val="008000"/>
                <w:w w:val="81"/>
                <w:vertAlign w:val="superscript"/>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481.3267</w:t>
            </w:r>
            <w:r>
              <w:rPr>
                <w:rFonts w:ascii="Arial" w:cs="Arial" w:eastAsia="Arial" w:hAnsi="Arial"/>
                <w:sz w:val="22"/>
                <w:szCs w:val="22"/>
                <w:color w:val="008000"/>
                <w:w w:val="83"/>
                <w:vertAlign w:val="superscript"/>
              </w:rPr>
              <w:t>(1)(15)</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23,763,997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1,700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481.9565</w:t>
            </w:r>
            <w:r>
              <w:rPr>
                <w:rFonts w:ascii="Arial" w:cs="Arial" w:eastAsia="Arial" w:hAnsi="Arial"/>
                <w:sz w:val="22"/>
                <w:szCs w:val="22"/>
                <w:color w:val="008000"/>
                <w:w w:val="83"/>
                <w:vertAlign w:val="superscript"/>
              </w:rPr>
              <w:t>(1)(16)</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23,765,697</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5,016</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483.3125</w:t>
            </w:r>
            <w:r>
              <w:rPr>
                <w:rFonts w:ascii="Arial" w:cs="Arial" w:eastAsia="Arial" w:hAnsi="Arial"/>
                <w:sz w:val="22"/>
                <w:szCs w:val="22"/>
                <w:color w:val="008000"/>
                <w:w w:val="83"/>
                <w:vertAlign w:val="superscript"/>
              </w:rPr>
              <w:t>(1)(17)</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23,770,713</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8,982</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484.2671</w:t>
            </w:r>
            <w:r>
              <w:rPr>
                <w:rFonts w:ascii="Arial" w:cs="Arial" w:eastAsia="Arial" w:hAnsi="Arial"/>
                <w:sz w:val="22"/>
                <w:szCs w:val="22"/>
                <w:color w:val="008000"/>
                <w:w w:val="83"/>
                <w:vertAlign w:val="superscript"/>
              </w:rPr>
              <w:t>(1)(18)</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23,779,695</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5,724</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485.5536</w:t>
            </w:r>
            <w:r>
              <w:rPr>
                <w:rFonts w:ascii="Arial" w:cs="Arial" w:eastAsia="Arial" w:hAnsi="Arial"/>
                <w:sz w:val="22"/>
                <w:szCs w:val="22"/>
                <w:color w:val="008000"/>
                <w:w w:val="83"/>
                <w:vertAlign w:val="superscript"/>
              </w:rPr>
              <w:t>(1)(19)</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23,785,419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6,920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486.6264</w:t>
            </w:r>
            <w:r>
              <w:rPr>
                <w:rFonts w:ascii="Arial" w:cs="Arial" w:eastAsia="Arial" w:hAnsi="Arial"/>
                <w:sz w:val="22"/>
                <w:szCs w:val="22"/>
                <w:color w:val="008000"/>
                <w:w w:val="83"/>
                <w:vertAlign w:val="superscript"/>
              </w:rPr>
              <w:t>(1)(20)</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23,792,339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vMerge w:val="restart"/>
          </w:tcPr>
          <w:p>
            <w:pPr>
              <w:jc w:val="center"/>
              <w:ind w:left="737"/>
              <w:spacing w:after="0"/>
              <w:rPr>
                <w:sz w:val="20"/>
                <w:szCs w:val="20"/>
                <w:color w:val="auto"/>
              </w:rPr>
            </w:pPr>
            <w:r>
              <w:rPr>
                <w:rFonts w:ascii="Arial" w:cs="Arial" w:eastAsia="Arial" w:hAnsi="Arial"/>
                <w:sz w:val="18"/>
                <w:szCs w:val="18"/>
                <w:color w:val="0000FF"/>
                <w:w w:val="88"/>
              </w:rPr>
              <w:t>08/24/2017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8,860</w:t>
            </w:r>
            <w:r>
              <w:rPr>
                <w:rFonts w:ascii="Arial" w:cs="Arial" w:eastAsia="Arial" w:hAnsi="Arial"/>
                <w:sz w:val="11"/>
                <w:szCs w:val="11"/>
                <w:color w:val="008000"/>
                <w:w w:val="77"/>
              </w:rPr>
              <w:t>(1)(2)</w:t>
            </w:r>
          </w:p>
        </w:tc>
        <w:tc>
          <w:tcPr>
            <w:tcW w:w="44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1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487.5532</w:t>
            </w:r>
            <w:r>
              <w:rPr>
                <w:rFonts w:ascii="Arial" w:cs="Arial" w:eastAsia="Arial" w:hAnsi="Arial"/>
                <w:sz w:val="22"/>
                <w:szCs w:val="22"/>
                <w:color w:val="008000"/>
                <w:w w:val="83"/>
                <w:vertAlign w:val="superscript"/>
              </w:rPr>
              <w:t>(1)(21)</w:t>
            </w:r>
          </w:p>
        </w:tc>
        <w:tc>
          <w:tcPr>
            <w:tcW w:w="1160" w:type="dxa"/>
            <w:vAlign w:val="bottom"/>
            <w:vMerge w:val="restart"/>
          </w:tcPr>
          <w:p>
            <w:pPr>
              <w:jc w:val="right"/>
              <w:ind w:right="102"/>
              <w:spacing w:after="0"/>
              <w:rPr>
                <w:sz w:val="20"/>
                <w:szCs w:val="20"/>
                <w:color w:val="auto"/>
              </w:rPr>
            </w:pPr>
            <w:r>
              <w:rPr>
                <w:rFonts w:ascii="Arial" w:cs="Arial" w:eastAsia="Arial" w:hAnsi="Arial"/>
                <w:sz w:val="18"/>
                <w:szCs w:val="18"/>
                <w:color w:val="0000FF"/>
              </w:rPr>
              <w:t>23,801,199</w:t>
            </w:r>
          </w:p>
        </w:tc>
        <w:tc>
          <w:tcPr>
            <w:tcW w:w="380" w:type="dxa"/>
            <w:vAlign w:val="bottom"/>
          </w:tcPr>
          <w:p>
            <w:pPr>
              <w:spacing w:after="0"/>
              <w:rPr>
                <w:sz w:val="22"/>
                <w:szCs w:val="22"/>
                <w:color w:val="auto"/>
              </w:rPr>
            </w:pPr>
          </w:p>
        </w:tc>
        <w:tc>
          <w:tcPr>
            <w:tcW w:w="60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100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310007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w w:val="90"/>
              </w:rPr>
              <w:t>08/24/2017</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880" w:type="dxa"/>
            <w:vAlign w:val="bottom"/>
            <w:vMerge w:val="restart"/>
          </w:tcPr>
          <w:p>
            <w:pPr>
              <w:ind w:left="120"/>
              <w:spacing w:after="0"/>
              <w:rPr>
                <w:sz w:val="20"/>
                <w:szCs w:val="20"/>
                <w:color w:val="auto"/>
              </w:rPr>
            </w:pPr>
            <w:r>
              <w:rPr>
                <w:rFonts w:ascii="Arial" w:cs="Arial" w:eastAsia="Arial" w:hAnsi="Arial"/>
                <w:sz w:val="35"/>
                <w:szCs w:val="35"/>
                <w:color w:val="0000FF"/>
                <w:w w:val="86"/>
                <w:vertAlign w:val="subscript"/>
              </w:rPr>
              <w:t>6,960</w:t>
            </w:r>
            <w:r>
              <w:rPr>
                <w:rFonts w:ascii="Arial" w:cs="Arial" w:eastAsia="Arial" w:hAnsi="Arial"/>
                <w:sz w:val="11"/>
                <w:szCs w:val="11"/>
                <w:color w:val="008000"/>
                <w:w w:val="86"/>
              </w:rPr>
              <w:t>(1)(2)</w:t>
            </w:r>
          </w:p>
        </w:tc>
        <w:tc>
          <w:tcPr>
            <w:tcW w:w="560" w:type="dxa"/>
            <w:vAlign w:val="bottom"/>
            <w:gridSpan w:val="2"/>
            <w:vMerge w:val="restart"/>
          </w:tcPr>
          <w:p>
            <w:pPr>
              <w:ind w:left="200"/>
              <w:spacing w:after="0"/>
              <w:rPr>
                <w:sz w:val="20"/>
                <w:szCs w:val="20"/>
                <w:color w:val="auto"/>
              </w:rPr>
            </w:pPr>
            <w:r>
              <w:rPr>
                <w:rFonts w:ascii="Arial" w:cs="Arial" w:eastAsia="Arial" w:hAnsi="Arial"/>
                <w:sz w:val="18"/>
                <w:szCs w:val="18"/>
                <w:color w:val="0000FF"/>
              </w:rPr>
              <w:t>A</w:t>
            </w:r>
          </w:p>
        </w:tc>
        <w:tc>
          <w:tcPr>
            <w:tcW w:w="114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488.574</w:t>
            </w:r>
            <w:r>
              <w:rPr>
                <w:rFonts w:ascii="Arial" w:cs="Arial" w:eastAsia="Arial" w:hAnsi="Arial"/>
                <w:sz w:val="22"/>
                <w:szCs w:val="22"/>
                <w:color w:val="008000"/>
                <w:w w:val="90"/>
                <w:vertAlign w:val="superscript"/>
              </w:rPr>
              <w:t>(1)(22)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23,808,159</w:t>
            </w:r>
          </w:p>
        </w:tc>
        <w:tc>
          <w:tcPr>
            <w:tcW w:w="9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7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8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780" w:type="dxa"/>
            <w:vAlign w:val="bottom"/>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$475.51 to $476.50 per share, inclusive.</w:t>
      </w:r>
    </w:p>
    <w:p>
      <w:pPr>
        <w:spacing w:after="0" w:line="41" w:lineRule="exact"/>
        <w:rPr>
          <w:rFonts w:ascii="Arial" w:cs="Arial" w:eastAsia="Arial" w:hAnsi="Arial"/>
          <w:sz w:val="14"/>
          <w:szCs w:val="14"/>
          <w:color w:val="008000"/>
        </w:rPr>
      </w:pPr>
    </w:p>
    <w:p>
      <w:pPr>
        <w:jc w:val="both"/>
        <w:ind w:left="40" w:right="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Aventisub LLC ("Aventis"), formerly Aventis Pharmaceuticals Inc., an indirect, wholly-owned subsidiary of SAAN. After giving effect to all acquisitions reported on this Form 4, the number of shares beneficially owned directly by SAAN and Aventis was 21,008,607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$476.78 to $477.75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$477.81 to $478.80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$478.89 to $479.87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$479.91 to $480.86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$474.40 to $475.21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$475.55 to $476.43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$476.79 to $477.78 per share, inclusive.</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$477.79 to $478.76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$478.79 to $479.70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$479.80 to $480.77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$480.82 to $481.80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$481.89 to $482.59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$482.91 to $483.90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$483.93 to $484.74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$485.00 to $485.98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$486.01 to $486.95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$487.02 to $488.01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$488.04 to $488.82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 (incorporated herein by reference to Exhibit 24 to Form 4 filed by the Reporting Person with the SEC on February 3, 2016, with respect to Alnylam Pharmaceuticals, Inc.).</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Alexandra Roger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08/25/2017</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2019-12-23T21:50:58Z</dcterms:created>
  <dcterms:modified xsi:type="dcterms:W3CDTF">2019-12-23T21:50:58Z</dcterms:modified>
</cp:coreProperties>
</file>