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03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27,323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26,323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544.54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546.4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548.58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552.39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-4638675</wp:posOffset>
            </wp:positionV>
            <wp:extent cx="7031355" cy="4679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67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November 2, 2020 at prices ranging from $544.50 to $544.57. Upon request by the Commission staff, the Company, or a security holder of the Company, the reporting person will provide full information regarding the number of shares sold by the reporting person on November 2,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November 2, 2020 at prices ranging from $546.16 to $546.64. Upon request by the Commission staff, the Company, or a security holder of the Company, the reporting person will provide full information regarding the number of shares sold by the reporting person on November 2,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November 2, 2020 at prices ranging from $548.33 to $548.82. Upon request by the Commission staff, the Company, or a security holder of the Company, the reporting person will provide full information regarding the number of shares sold by the reporting person on November 2,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November 2, 2020 at prices ranging from $552.02 to $552.76. Upon request by the Commission staff, the Company, or a security holder of the Company, the reporting person will provide full information regarding the number of shares sold by the reporting person on November 2, 2020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2020-11-03T16:24:01Z</dcterms:created>
  <dcterms:modified xsi:type="dcterms:W3CDTF">2020-11-03T16:24:01Z</dcterms:modified>
</cp:coreProperties>
</file>