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2"/>
          <w:szCs w:val="22"/>
          <w:b w:val="1"/>
          <w:bCs w:val="1"/>
          <w:color w:val="auto"/>
        </w:rPr>
        <w:t>UNITED STATES</w:t>
      </w:r>
    </w:p>
    <w:p>
      <w:pPr>
        <w:spacing w:after="0" w:line="58"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SECURITIES AND EXCHANGE COMMISSION</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296"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FORM 8-K</w:t>
      </w:r>
    </w:p>
    <w:p>
      <w:pPr>
        <w:spacing w:after="0" w:line="58"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CURRENT REPORT</w:t>
      </w:r>
    </w:p>
    <w:p>
      <w:pPr>
        <w:spacing w:after="0" w:line="35"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231F20"/>
        </w:rPr>
        <w:t>Pursuant to Section 13 or 15(d) of The Securities Exchange Act of 1934</w:t>
      </w:r>
    </w:p>
    <w:p>
      <w:pPr>
        <w:spacing w:after="0" w:line="243"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Date of Report (Date of earliest event reported): August 5, 2021 (August 5, 2021)</w:t>
      </w:r>
    </w:p>
    <w:p>
      <w:pPr>
        <w:spacing w:after="0" w:line="281" w:lineRule="exact"/>
        <w:rPr>
          <w:sz w:val="24"/>
          <w:szCs w:val="24"/>
          <w:color w:val="auto"/>
        </w:rPr>
      </w:pPr>
    </w:p>
    <w:p>
      <w:pPr>
        <w:jc w:val="center"/>
        <w:ind w:right="-179"/>
        <w:spacing w:after="0"/>
        <w:rPr>
          <w:sz w:val="20"/>
          <w:szCs w:val="20"/>
          <w:color w:val="auto"/>
        </w:rPr>
      </w:pPr>
      <w:r>
        <w:rPr>
          <w:rFonts w:ascii="Arial" w:cs="Arial" w:eastAsia="Arial" w:hAnsi="Arial"/>
          <w:sz w:val="36"/>
          <w:szCs w:val="36"/>
          <w:b w:val="1"/>
          <w:bCs w:val="1"/>
          <w:color w:val="auto"/>
        </w:rPr>
        <w:t>REGENERON PHARMACEUTICALS, INC.</w:t>
      </w:r>
    </w:p>
    <w:p>
      <w:pPr>
        <w:spacing w:after="0" w:line="88"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94" w:lineRule="exact"/>
        <w:rPr>
          <w:sz w:val="24"/>
          <w:szCs w:val="24"/>
          <w:color w:val="auto"/>
        </w:rPr>
      </w:pPr>
    </w:p>
    <w:tbl>
      <w:tblPr>
        <w:tblLayout w:type="fixed"/>
        <w:tblInd w:w="1000" w:type="dxa"/>
        <w:tblCellMar>
          <w:top w:w="0" w:type="dxa"/>
          <w:left w:w="0" w:type="dxa"/>
          <w:bottom w:w="0" w:type="dxa"/>
          <w:right w:w="0" w:type="dxa"/>
        </w:tblCellMar>
      </w:tblPr>
      <w:tr>
        <w:trPr>
          <w:trHeight w:val="261"/>
        </w:trPr>
        <w:tc>
          <w:tcPr>
            <w:tcW w:w="3160" w:type="dxa"/>
            <w:vAlign w:val="bottom"/>
          </w:tcPr>
          <w:p>
            <w:pPr>
              <w:jc w:val="center"/>
              <w:ind w:right="559"/>
              <w:spacing w:after="0"/>
              <w:rPr>
                <w:sz w:val="20"/>
                <w:szCs w:val="20"/>
                <w:color w:val="auto"/>
              </w:rPr>
            </w:pPr>
            <w:r>
              <w:rPr>
                <w:rFonts w:ascii="Arial" w:cs="Arial" w:eastAsia="Arial" w:hAnsi="Arial"/>
                <w:sz w:val="18"/>
                <w:szCs w:val="18"/>
                <w:b w:val="1"/>
                <w:bCs w:val="1"/>
                <w:color w:val="auto"/>
                <w:w w:val="92"/>
              </w:rPr>
              <w:t>New York</w:t>
            </w:r>
          </w:p>
        </w:tc>
        <w:tc>
          <w:tcPr>
            <w:tcW w:w="3000" w:type="dxa"/>
            <w:vAlign w:val="bottom"/>
          </w:tcPr>
          <w:p>
            <w:pPr>
              <w:jc w:val="right"/>
              <w:ind w:right="1079"/>
              <w:spacing w:after="0"/>
              <w:rPr>
                <w:sz w:val="20"/>
                <w:szCs w:val="20"/>
                <w:color w:val="auto"/>
              </w:rPr>
            </w:pPr>
            <w:r>
              <w:rPr>
                <w:rFonts w:ascii="Arial" w:cs="Arial" w:eastAsia="Arial" w:hAnsi="Arial"/>
                <w:sz w:val="18"/>
                <w:szCs w:val="18"/>
                <w:b w:val="1"/>
                <w:bCs w:val="1"/>
                <w:color w:val="auto"/>
              </w:rPr>
              <w:t>000-19034</w:t>
            </w:r>
          </w:p>
        </w:tc>
        <w:tc>
          <w:tcPr>
            <w:tcW w:w="2860" w:type="dxa"/>
            <w:vAlign w:val="bottom"/>
          </w:tcPr>
          <w:p>
            <w:pPr>
              <w:jc w:val="right"/>
              <w:ind w:right="519"/>
              <w:spacing w:after="0"/>
              <w:rPr>
                <w:sz w:val="20"/>
                <w:szCs w:val="20"/>
                <w:color w:val="auto"/>
              </w:rPr>
            </w:pPr>
            <w:r>
              <w:rPr>
                <w:rFonts w:ascii="Arial" w:cs="Arial" w:eastAsia="Arial" w:hAnsi="Arial"/>
                <w:sz w:val="18"/>
                <w:szCs w:val="18"/>
                <w:b w:val="1"/>
                <w:bCs w:val="1"/>
                <w:color w:val="auto"/>
              </w:rPr>
              <w:t>13-3444607</w:t>
            </w:r>
          </w:p>
        </w:tc>
      </w:tr>
      <w:tr>
        <w:trPr>
          <w:trHeight w:val="190"/>
        </w:trPr>
        <w:tc>
          <w:tcPr>
            <w:tcW w:w="3160" w:type="dxa"/>
            <w:vAlign w:val="bottom"/>
          </w:tcPr>
          <w:p>
            <w:pPr>
              <w:jc w:val="center"/>
              <w:ind w:right="559"/>
              <w:spacing w:after="0"/>
              <w:rPr>
                <w:sz w:val="20"/>
                <w:szCs w:val="20"/>
                <w:color w:val="auto"/>
              </w:rPr>
            </w:pPr>
            <w:r>
              <w:rPr>
                <w:rFonts w:ascii="Arial" w:cs="Arial" w:eastAsia="Arial" w:hAnsi="Arial"/>
                <w:sz w:val="14"/>
                <w:szCs w:val="14"/>
                <w:color w:val="auto"/>
                <w:w w:val="95"/>
              </w:rPr>
              <w:t>(State or other jurisdiction of incorporation)</w:t>
            </w:r>
          </w:p>
        </w:tc>
        <w:tc>
          <w:tcPr>
            <w:tcW w:w="3000" w:type="dxa"/>
            <w:vAlign w:val="bottom"/>
          </w:tcPr>
          <w:p>
            <w:pPr>
              <w:jc w:val="center"/>
              <w:ind w:right="19"/>
              <w:spacing w:after="0"/>
              <w:rPr>
                <w:sz w:val="20"/>
                <w:szCs w:val="20"/>
                <w:color w:val="auto"/>
              </w:rPr>
            </w:pPr>
            <w:r>
              <w:rPr>
                <w:rFonts w:ascii="Arial" w:cs="Arial" w:eastAsia="Arial" w:hAnsi="Arial"/>
                <w:sz w:val="14"/>
                <w:szCs w:val="14"/>
                <w:color w:val="auto"/>
                <w:w w:val="94"/>
              </w:rPr>
              <w:t>(Commission File Number)</w:t>
            </w:r>
          </w:p>
        </w:tc>
        <w:tc>
          <w:tcPr>
            <w:tcW w:w="2860" w:type="dxa"/>
            <w:vAlign w:val="bottom"/>
          </w:tcPr>
          <w:p>
            <w:pPr>
              <w:jc w:val="center"/>
              <w:ind w:left="699"/>
              <w:spacing w:after="0"/>
              <w:rPr>
                <w:sz w:val="20"/>
                <w:szCs w:val="20"/>
                <w:color w:val="auto"/>
              </w:rPr>
            </w:pPr>
            <w:r>
              <w:rPr>
                <w:rFonts w:ascii="Arial" w:cs="Arial" w:eastAsia="Arial" w:hAnsi="Arial"/>
                <w:sz w:val="14"/>
                <w:szCs w:val="14"/>
                <w:color w:val="auto"/>
                <w:w w:val="96"/>
              </w:rPr>
              <w:t>(I.R.S. Employer Identification No.)</w:t>
            </w:r>
          </w:p>
        </w:tc>
      </w:tr>
    </w:tbl>
    <w:p>
      <w:pPr>
        <w:spacing w:after="0" w:line="142"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777 Old Saw Mill River Road, Tarrytown, New York 10591-6707</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374"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(914) 847-7000</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4"/>
          <w:szCs w:val="14"/>
          <w:color w:val="auto"/>
        </w:rPr>
        <w:t>Registrant's telephone number, including area code</w:t>
      </w:r>
    </w:p>
    <w:p>
      <w:pPr>
        <w:spacing w:after="0" w:line="200" w:lineRule="exact"/>
        <w:rPr>
          <w:sz w:val="24"/>
          <w:szCs w:val="24"/>
          <w:color w:val="auto"/>
        </w:rPr>
      </w:pPr>
    </w:p>
    <w:p>
      <w:pPr>
        <w:spacing w:after="0" w:line="273"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13e-4(c) under the Exchange Act (17 CFR 240.13e-4(c))</w:t>
      </w:r>
    </w:p>
    <w:p>
      <w:pPr>
        <w:spacing w:after="0" w:line="266"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7" w:lineRule="exact"/>
        <w:rPr>
          <w:sz w:val="24"/>
          <w:szCs w:val="24"/>
          <w:color w:val="auto"/>
        </w:rPr>
      </w:pPr>
    </w:p>
    <w:tbl>
      <w:tblPr>
        <w:tblLayout w:type="fixed"/>
        <w:tblInd w:w="520" w:type="dxa"/>
        <w:tblCellMar>
          <w:top w:w="0" w:type="dxa"/>
          <w:left w:w="0" w:type="dxa"/>
          <w:bottom w:w="0" w:type="dxa"/>
          <w:right w:w="0" w:type="dxa"/>
        </w:tblCellMar>
      </w:tblPr>
      <w:tr>
        <w:trPr>
          <w:trHeight w:val="207"/>
        </w:trPr>
        <w:tc>
          <w:tcPr>
            <w:tcW w:w="980" w:type="dxa"/>
            <w:vAlign w:val="bottom"/>
          </w:tcPr>
          <w:p>
            <w:pPr>
              <w:spacing w:after="0"/>
              <w:rPr>
                <w:sz w:val="18"/>
                <w:szCs w:val="18"/>
                <w:color w:val="auto"/>
              </w:rPr>
            </w:pPr>
          </w:p>
        </w:tc>
        <w:tc>
          <w:tcPr>
            <w:tcW w:w="2880" w:type="dxa"/>
            <w:vAlign w:val="bottom"/>
            <w:gridSpan w:val="2"/>
          </w:tcPr>
          <w:p>
            <w:pPr>
              <w:jc w:val="center"/>
              <w:ind w:right="1580"/>
              <w:spacing w:after="0"/>
              <w:rPr>
                <w:sz w:val="20"/>
                <w:szCs w:val="20"/>
                <w:color w:val="auto"/>
              </w:rPr>
            </w:pPr>
            <w:r>
              <w:rPr>
                <w:rFonts w:ascii="Arial" w:cs="Arial" w:eastAsia="Arial" w:hAnsi="Arial"/>
                <w:sz w:val="18"/>
                <w:szCs w:val="18"/>
                <w:i w:val="1"/>
                <w:iCs w:val="1"/>
                <w:color w:val="auto"/>
                <w:w w:val="90"/>
              </w:rPr>
              <w:t>Title of each class</w:t>
            </w:r>
          </w:p>
        </w:tc>
        <w:tc>
          <w:tcPr>
            <w:tcW w:w="3120" w:type="dxa"/>
            <w:vAlign w:val="bottom"/>
            <w:gridSpan w:val="3"/>
          </w:tcPr>
          <w:p>
            <w:pPr>
              <w:jc w:val="center"/>
              <w:ind w:right="620"/>
              <w:spacing w:after="0"/>
              <w:rPr>
                <w:sz w:val="20"/>
                <w:szCs w:val="20"/>
                <w:color w:val="auto"/>
              </w:rPr>
            </w:pPr>
            <w:r>
              <w:rPr>
                <w:rFonts w:ascii="Arial" w:cs="Arial" w:eastAsia="Arial" w:hAnsi="Arial"/>
                <w:sz w:val="18"/>
                <w:szCs w:val="18"/>
                <w:i w:val="1"/>
                <w:iCs w:val="1"/>
                <w:color w:val="auto"/>
                <w:w w:val="91"/>
              </w:rPr>
              <w:t>Trading Symbol(s)</w:t>
            </w:r>
          </w:p>
        </w:tc>
        <w:tc>
          <w:tcPr>
            <w:tcW w:w="3180" w:type="dxa"/>
            <w:vAlign w:val="bottom"/>
          </w:tcPr>
          <w:p>
            <w:pPr>
              <w:jc w:val="center"/>
              <w:spacing w:after="0"/>
              <w:rPr>
                <w:sz w:val="20"/>
                <w:szCs w:val="20"/>
                <w:color w:val="auto"/>
              </w:rPr>
            </w:pPr>
            <w:r>
              <w:rPr>
                <w:rFonts w:ascii="Arial" w:cs="Arial" w:eastAsia="Arial" w:hAnsi="Arial"/>
                <w:sz w:val="18"/>
                <w:szCs w:val="18"/>
                <w:i w:val="1"/>
                <w:iCs w:val="1"/>
                <w:color w:val="auto"/>
                <w:w w:val="89"/>
              </w:rPr>
              <w:t>Name of each exchange on which registered</w:t>
            </w:r>
          </w:p>
        </w:tc>
      </w:tr>
      <w:tr>
        <w:trPr>
          <w:trHeight w:val="20"/>
        </w:trPr>
        <w:tc>
          <w:tcPr>
            <w:tcW w:w="9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50"/>
        </w:trPr>
        <w:tc>
          <w:tcPr>
            <w:tcW w:w="3860" w:type="dxa"/>
            <w:vAlign w:val="bottom"/>
            <w:gridSpan w:val="3"/>
          </w:tcPr>
          <w:p>
            <w:pPr>
              <w:jc w:val="center"/>
              <w:ind w:right="580"/>
              <w:spacing w:after="0"/>
              <w:rPr>
                <w:sz w:val="20"/>
                <w:szCs w:val="20"/>
                <w:color w:val="auto"/>
              </w:rPr>
            </w:pPr>
            <w:r>
              <w:rPr>
                <w:rFonts w:ascii="Arial" w:cs="Arial" w:eastAsia="Arial" w:hAnsi="Arial"/>
                <w:sz w:val="18"/>
                <w:szCs w:val="18"/>
                <w:b w:val="1"/>
                <w:bCs w:val="1"/>
                <w:color w:val="auto"/>
                <w:w w:val="90"/>
              </w:rPr>
              <w:t>Common Stock - par value $.001 per share</w:t>
            </w:r>
          </w:p>
        </w:tc>
        <w:tc>
          <w:tcPr>
            <w:tcW w:w="580" w:type="dxa"/>
            <w:vAlign w:val="bottom"/>
          </w:tcPr>
          <w:p>
            <w:pPr>
              <w:spacing w:after="0"/>
              <w:rPr>
                <w:sz w:val="21"/>
                <w:szCs w:val="21"/>
                <w:color w:val="auto"/>
              </w:rPr>
            </w:pPr>
          </w:p>
        </w:tc>
        <w:tc>
          <w:tcPr>
            <w:tcW w:w="2540" w:type="dxa"/>
            <w:vAlign w:val="bottom"/>
            <w:gridSpan w:val="2"/>
          </w:tcPr>
          <w:p>
            <w:pPr>
              <w:jc w:val="center"/>
              <w:ind w:right="1220"/>
              <w:spacing w:after="0"/>
              <w:rPr>
                <w:sz w:val="20"/>
                <w:szCs w:val="20"/>
                <w:color w:val="auto"/>
              </w:rPr>
            </w:pPr>
            <w:r>
              <w:rPr>
                <w:rFonts w:ascii="Arial" w:cs="Arial" w:eastAsia="Arial" w:hAnsi="Arial"/>
                <w:sz w:val="18"/>
                <w:szCs w:val="18"/>
                <w:b w:val="1"/>
                <w:bCs w:val="1"/>
                <w:color w:val="auto"/>
                <w:w w:val="99"/>
              </w:rPr>
              <w:t>REGN</w:t>
            </w:r>
          </w:p>
        </w:tc>
        <w:tc>
          <w:tcPr>
            <w:tcW w:w="3180" w:type="dxa"/>
            <w:vAlign w:val="bottom"/>
          </w:tcPr>
          <w:p>
            <w:pPr>
              <w:jc w:val="center"/>
              <w:spacing w:after="0"/>
              <w:rPr>
                <w:sz w:val="20"/>
                <w:szCs w:val="20"/>
                <w:color w:val="auto"/>
              </w:rPr>
            </w:pPr>
            <w:r>
              <w:rPr>
                <w:rFonts w:ascii="Arial" w:cs="Arial" w:eastAsia="Arial" w:hAnsi="Arial"/>
                <w:sz w:val="18"/>
                <w:szCs w:val="18"/>
                <w:b w:val="1"/>
                <w:bCs w:val="1"/>
                <w:color w:val="auto"/>
                <w:w w:val="93"/>
              </w:rPr>
              <w:t>NASDAQ Global Select Market</w:t>
            </w:r>
          </w:p>
        </w:tc>
      </w:tr>
    </w:tbl>
    <w:p>
      <w:pPr>
        <w:spacing w:after="0" w:line="310" w:lineRule="exact"/>
        <w:rPr>
          <w:sz w:val="24"/>
          <w:szCs w:val="24"/>
          <w:color w:val="auto"/>
        </w:rPr>
      </w:pPr>
    </w:p>
    <w:p>
      <w:pPr>
        <w:ind w:right="3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231F20"/>
        </w:rPr>
        <w:t xml:space="preserve">Emerging growth company </w:t>
      </w:r>
      <w:r>
        <w:rPr>
          <w:rFonts w:ascii="MS PGothic" w:cs="MS PGothic" w:eastAsia="MS PGothic" w:hAnsi="MS PGothic"/>
          <w:sz w:val="18"/>
          <w:szCs w:val="18"/>
          <w:color w:val="000000"/>
        </w:rPr>
        <w:t>☐</w:t>
      </w:r>
    </w:p>
    <w:p>
      <w:pPr>
        <w:spacing w:after="0" w:line="28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1149350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57" w:right="49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On August 5, 2021, Regeneron Pharmaceuticals, Inc. issued a press release announcing its financial and operating results for the quarter ended June 30, 2021. A copy of the press release is being furnished to the Securities and Exchange Commission as Exhibit 99.1 to this Current Report on Form 8-K and is incorporated by reference to this Item 2.02.</w:t>
      </w:r>
    </w:p>
    <w:p>
      <w:pPr>
        <w:spacing w:after="0" w:line="211" w:lineRule="exact"/>
        <w:rPr>
          <w:sz w:val="20"/>
          <w:szCs w:val="20"/>
          <w:color w:val="auto"/>
        </w:rPr>
      </w:pPr>
    </w:p>
    <w:p>
      <w:pPr>
        <w:ind w:right="540" w:firstLine="243"/>
        <w:spacing w:after="0" w:line="286" w:lineRule="auto"/>
        <w:rPr>
          <w:sz w:val="20"/>
          <w:szCs w:val="20"/>
          <w:color w:val="auto"/>
        </w:rPr>
      </w:pPr>
      <w:r>
        <w:rPr>
          <w:rFonts w:ascii="Arial" w:cs="Arial" w:eastAsia="Arial" w:hAnsi="Arial"/>
          <w:sz w:val="17"/>
          <w:szCs w:val="17"/>
          <w:color w:val="auto"/>
        </w:rPr>
        <w:t>The information included or incorporated in this Item 2.02, including Exhibit 99.1, shall not be deemed "filed" for purposes of Section 18 of the Securities Exchange Act of 1934, as amended, nor shall such information and exhibit be deemed incorporated by reference in any filing under the Securities Act of 1933, as amended, except as shall be expressly set forth by specific reference in such a filing.</w:t>
      </w:r>
    </w:p>
    <w:p>
      <w:pPr>
        <w:spacing w:after="0" w:line="200" w:lineRule="exact"/>
        <w:rPr>
          <w:sz w:val="20"/>
          <w:szCs w:val="20"/>
          <w:color w:val="auto"/>
        </w:rPr>
      </w:pPr>
    </w:p>
    <w:p>
      <w:pPr>
        <w:spacing w:after="0" w:line="23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99.1 </w:t>
      </w:r>
      <w:hyperlink w:anchor="page4">
        <w:r>
          <w:rPr>
            <w:rFonts w:ascii="Arial" w:cs="Arial" w:eastAsia="Arial" w:hAnsi="Arial"/>
            <w:sz w:val="18"/>
            <w:szCs w:val="18"/>
            <w:u w:val="single" w:color="auto"/>
            <w:color w:val="0000FF"/>
          </w:rPr>
          <w:t>Press Release, dated August 5, 2021, Reporting Second Quarter 2021 Financial and Operating Results.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104 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868045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34" w:right="419" w:bottom="1440" w:gutter="0" w:footer="0" w:header="0"/>
        </w:sectPr>
      </w:pPr>
    </w:p>
    <w:bookmarkStart w:id="2" w:name="page3"/>
    <w:bookmarkEnd w:id="2"/>
    <w:p>
      <w:pPr>
        <w:jc w:val="center"/>
        <w:ind w:right="-719"/>
        <w:spacing w:after="0"/>
        <w:rPr>
          <w:sz w:val="20"/>
          <w:szCs w:val="20"/>
          <w:color w:val="auto"/>
        </w:rPr>
      </w:pPr>
      <w:r>
        <w:rPr>
          <w:rFonts w:ascii="Arial" w:cs="Arial" w:eastAsia="Arial" w:hAnsi="Arial"/>
          <w:sz w:val="18"/>
          <w:szCs w:val="18"/>
          <w:color w:val="auto"/>
        </w:rPr>
        <w:t>SIGNATURES</w:t>
      </w:r>
    </w:p>
    <w:p>
      <w:pPr>
        <w:spacing w:after="0" w:line="252" w:lineRule="exact"/>
        <w:rPr>
          <w:sz w:val="20"/>
          <w:szCs w:val="20"/>
          <w:color w:val="auto"/>
        </w:rPr>
      </w:pPr>
    </w:p>
    <w:p>
      <w:pPr>
        <w:ind w:firstLine="243"/>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 w:lineRule="exact"/>
        <w:rPr>
          <w:sz w:val="20"/>
          <w:szCs w:val="20"/>
          <w:color w:val="auto"/>
        </w:rPr>
      </w:pPr>
    </w:p>
    <w:tbl>
      <w:tblPr>
        <w:tblLayout w:type="fixed"/>
        <w:tblInd w:w="2520" w:type="dxa"/>
        <w:tblCellMar>
          <w:top w:w="0" w:type="dxa"/>
          <w:left w:w="0" w:type="dxa"/>
          <w:bottom w:w="0" w:type="dxa"/>
          <w:right w:w="0" w:type="dxa"/>
        </w:tblCellMar>
      </w:tblPr>
      <w:tr>
        <w:trPr>
          <w:trHeight w:val="230"/>
        </w:trPr>
        <w:tc>
          <w:tcPr>
            <w:tcW w:w="1940" w:type="dxa"/>
            <w:vAlign w:val="bottom"/>
          </w:tcPr>
          <w:p>
            <w:pPr>
              <w:spacing w:after="0"/>
              <w:rPr>
                <w:sz w:val="20"/>
                <w:szCs w:val="20"/>
                <w:color w:val="auto"/>
              </w:rPr>
            </w:pPr>
            <w:r>
              <w:rPr>
                <w:rFonts w:ascii="Arial" w:cs="Arial" w:eastAsia="Arial" w:hAnsi="Arial"/>
                <w:sz w:val="18"/>
                <w:szCs w:val="18"/>
                <w:color w:val="auto"/>
              </w:rPr>
              <w:t>Date: August 5, 2021</w:t>
            </w:r>
          </w:p>
        </w:tc>
        <w:tc>
          <w:tcPr>
            <w:tcW w:w="6040" w:type="dxa"/>
            <w:vAlign w:val="bottom"/>
            <w:gridSpan w:val="2"/>
          </w:tcPr>
          <w:p>
            <w:pPr>
              <w:ind w:left="420"/>
              <w:spacing w:after="0"/>
              <w:rPr>
                <w:sz w:val="20"/>
                <w:szCs w:val="20"/>
                <w:color w:val="auto"/>
              </w:rPr>
            </w:pPr>
            <w:r>
              <w:rPr>
                <w:rFonts w:ascii="Arial" w:cs="Arial" w:eastAsia="Arial" w:hAnsi="Arial"/>
                <w:sz w:val="18"/>
                <w:szCs w:val="18"/>
                <w:color w:val="auto"/>
              </w:rPr>
              <w:t>REGENERON PHARMACEUTICALS, INC.</w:t>
            </w:r>
          </w:p>
        </w:tc>
      </w:tr>
      <w:tr>
        <w:trPr>
          <w:trHeight w:val="499"/>
        </w:trPr>
        <w:tc>
          <w:tcPr>
            <w:tcW w:w="1940" w:type="dxa"/>
            <w:vAlign w:val="bottom"/>
          </w:tcPr>
          <w:p>
            <w:pPr>
              <w:spacing w:after="0"/>
              <w:rPr>
                <w:sz w:val="24"/>
                <w:szCs w:val="24"/>
                <w:color w:val="auto"/>
              </w:rPr>
            </w:pPr>
          </w:p>
        </w:tc>
        <w:tc>
          <w:tcPr>
            <w:tcW w:w="1200" w:type="dxa"/>
            <w:vAlign w:val="bottom"/>
          </w:tcPr>
          <w:p>
            <w:pPr>
              <w:ind w:left="42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J. LaRosa</w:t>
            </w:r>
          </w:p>
        </w:tc>
      </w:tr>
      <w:tr>
        <w:trPr>
          <w:trHeight w:val="222"/>
        </w:trPr>
        <w:tc>
          <w:tcPr>
            <w:tcW w:w="1940" w:type="dxa"/>
            <w:vAlign w:val="bottom"/>
          </w:tcPr>
          <w:p>
            <w:pPr>
              <w:spacing w:after="0"/>
              <w:rPr>
                <w:sz w:val="19"/>
                <w:szCs w:val="19"/>
                <w:color w:val="auto"/>
              </w:rPr>
            </w:pPr>
          </w:p>
        </w:tc>
        <w:tc>
          <w:tcPr>
            <w:tcW w:w="1200" w:type="dxa"/>
            <w:vAlign w:val="bottom"/>
          </w:tcPr>
          <w:p>
            <w:pPr>
              <w:ind w:left="420"/>
              <w:spacing w:after="0"/>
              <w:rPr>
                <w:sz w:val="20"/>
                <w:szCs w:val="20"/>
                <w:color w:val="auto"/>
              </w:rPr>
            </w:pPr>
            <w:r>
              <w:rPr>
                <w:rFonts w:ascii="Arial" w:cs="Arial" w:eastAsia="Arial" w:hAnsi="Arial"/>
                <w:sz w:val="18"/>
                <w:szCs w:val="18"/>
                <w:color w:val="auto"/>
              </w:rPr>
              <w:t>Name:</w:t>
            </w:r>
          </w:p>
        </w:tc>
        <w:tc>
          <w:tcPr>
            <w:tcW w:w="4840" w:type="dxa"/>
            <w:vAlign w:val="bottom"/>
          </w:tcPr>
          <w:p>
            <w:pPr>
              <w:spacing w:after="0"/>
              <w:rPr>
                <w:sz w:val="20"/>
                <w:szCs w:val="20"/>
                <w:color w:val="auto"/>
              </w:rPr>
            </w:pPr>
            <w:r>
              <w:rPr>
                <w:rFonts w:ascii="Arial" w:cs="Arial" w:eastAsia="Arial" w:hAnsi="Arial"/>
                <w:sz w:val="18"/>
                <w:szCs w:val="18"/>
                <w:color w:val="auto"/>
              </w:rPr>
              <w:t>Joseph J. LaRosa</w:t>
            </w:r>
          </w:p>
        </w:tc>
      </w:tr>
      <w:tr>
        <w:trPr>
          <w:trHeight w:val="230"/>
        </w:trPr>
        <w:tc>
          <w:tcPr>
            <w:tcW w:w="1940" w:type="dxa"/>
            <w:vAlign w:val="bottom"/>
          </w:tcPr>
          <w:p>
            <w:pPr>
              <w:spacing w:after="0"/>
              <w:rPr>
                <w:sz w:val="20"/>
                <w:szCs w:val="20"/>
                <w:color w:val="auto"/>
              </w:rPr>
            </w:pPr>
          </w:p>
        </w:tc>
        <w:tc>
          <w:tcPr>
            <w:tcW w:w="1200" w:type="dxa"/>
            <w:vAlign w:val="bottom"/>
          </w:tcPr>
          <w:p>
            <w:pPr>
              <w:ind w:left="420"/>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Executive Vice President, General Counsel and Secretary</w:t>
            </w:r>
          </w:p>
        </w:tc>
      </w:tr>
    </w:tbl>
    <w:p>
      <w:pPr>
        <w:sectPr>
          <w:pgSz w:w="11900" w:h="16838" w:orient="portrait"/>
          <w:cols w:equalWidth="0" w:num="1">
            <w:col w:w="10520"/>
          </w:cols>
          <w:pgMar w:left="320" w:top="895" w:right="10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1303020" cy="2057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3020" cy="20574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2"/>
          <w:szCs w:val="22"/>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71755</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9"/>
          <w:szCs w:val="29"/>
          <w:b w:val="1"/>
          <w:bCs w:val="1"/>
          <w:color w:val="0F4DBC"/>
        </w:rPr>
        <w:t>Regeneron Reports Second Quarter 2021 Financial and Operating Results</w:t>
      </w:r>
    </w:p>
    <w:p>
      <w:pPr>
        <w:spacing w:after="0" w:line="178" w:lineRule="exact"/>
        <w:rPr>
          <w:sz w:val="20"/>
          <w:szCs w:val="20"/>
          <w:color w:val="auto"/>
        </w:rPr>
      </w:pPr>
    </w:p>
    <w:p>
      <w:pPr>
        <w:ind w:left="340" w:right="20" w:hanging="332"/>
        <w:spacing w:after="0" w:line="253" w:lineRule="auto"/>
        <w:tabs>
          <w:tab w:leader="none" w:pos="335"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Second quarter 2021 revenues increased 163% to $5.14 billion versus second quarter 2020 including $2.76 billion attributable to REGEN-COV</w:t>
      </w:r>
      <w:r>
        <w:rPr>
          <w:rFonts w:ascii="Arial" w:cs="Arial" w:eastAsia="Arial" w:hAnsi="Arial"/>
          <w:sz w:val="12"/>
          <w:szCs w:val="12"/>
          <w:i w:val="1"/>
          <w:iCs w:val="1"/>
          <w:color w:val="auto"/>
        </w:rPr>
        <w:t>TM(2)</w:t>
      </w:r>
      <w:r>
        <w:rPr>
          <w:rFonts w:ascii="Arial" w:cs="Arial" w:eastAsia="Arial" w:hAnsi="Arial"/>
          <w:sz w:val="22"/>
          <w:szCs w:val="22"/>
          <w:i w:val="1"/>
          <w:iCs w:val="1"/>
          <w:color w:val="auto"/>
        </w:rPr>
        <w:t>; revenues excluding REGEN-COV</w:t>
      </w:r>
      <w:r>
        <w:rPr>
          <w:rFonts w:ascii="Arial" w:cs="Arial" w:eastAsia="Arial" w:hAnsi="Arial"/>
          <w:sz w:val="12"/>
          <w:szCs w:val="12"/>
          <w:i w:val="1"/>
          <w:iCs w:val="1"/>
          <w:color w:val="auto"/>
        </w:rPr>
        <w:t>(1)(2)</w:t>
      </w:r>
      <w:r>
        <w:rPr>
          <w:rFonts w:ascii="Arial" w:cs="Arial" w:eastAsia="Arial" w:hAnsi="Arial"/>
          <w:sz w:val="22"/>
          <w:szCs w:val="22"/>
          <w:i w:val="1"/>
          <w:iCs w:val="1"/>
          <w:color w:val="auto"/>
        </w:rPr>
        <w:t xml:space="preserve"> increased 22%</w:t>
      </w:r>
    </w:p>
    <w:p>
      <w:pPr>
        <w:spacing w:after="0" w:line="1" w:lineRule="exact"/>
        <w:rPr>
          <w:rFonts w:ascii="Arial" w:cs="Arial" w:eastAsia="Arial" w:hAnsi="Arial"/>
          <w:sz w:val="22"/>
          <w:szCs w:val="22"/>
          <w:i w:val="1"/>
          <w:iCs w:val="1"/>
          <w:color w:val="auto"/>
        </w:rPr>
      </w:pPr>
    </w:p>
    <w:p>
      <w:pPr>
        <w:ind w:left="320" w:hanging="312"/>
        <w:spacing w:after="0" w:line="198" w:lineRule="auto"/>
        <w:tabs>
          <w:tab w:leader="none" w:pos="320" w:val="left"/>
        </w:tabs>
        <w:numPr>
          <w:ilvl w:val="0"/>
          <w:numId w:val="2"/>
        </w:numPr>
        <w:rPr>
          <w:rFonts w:ascii="Arial" w:cs="Arial" w:eastAsia="Arial" w:hAnsi="Arial"/>
          <w:sz w:val="21"/>
          <w:szCs w:val="21"/>
          <w:i w:val="1"/>
          <w:iCs w:val="1"/>
          <w:color w:val="auto"/>
        </w:rPr>
      </w:pPr>
      <w:r>
        <w:rPr>
          <w:rFonts w:ascii="Arial" w:cs="Arial" w:eastAsia="Arial" w:hAnsi="Arial"/>
          <w:sz w:val="21"/>
          <w:szCs w:val="21"/>
          <w:i w:val="1"/>
          <w:iCs w:val="1"/>
          <w:color w:val="auto"/>
        </w:rPr>
        <w:t>Second quarter 2021 EYLEA</w:t>
      </w:r>
      <w:r>
        <w:rPr>
          <w:rFonts w:ascii="Arial" w:cs="Arial" w:eastAsia="Arial" w:hAnsi="Arial"/>
          <w:sz w:val="27"/>
          <w:szCs w:val="27"/>
          <w:i w:val="1"/>
          <w:iCs w:val="1"/>
          <w:color w:val="auto"/>
          <w:vertAlign w:val="superscript"/>
        </w:rPr>
        <w:t>®</w:t>
      </w:r>
      <w:r>
        <w:rPr>
          <w:rFonts w:ascii="Arial" w:cs="Arial" w:eastAsia="Arial" w:hAnsi="Arial"/>
          <w:sz w:val="21"/>
          <w:szCs w:val="21"/>
          <w:i w:val="1"/>
          <w:iCs w:val="1"/>
          <w:color w:val="auto"/>
        </w:rPr>
        <w:t xml:space="preserve"> U.S. net sales increased 28% versus second quarter 2020 to a record $1.42 billion</w:t>
      </w:r>
    </w:p>
    <w:p>
      <w:pPr>
        <w:ind w:left="340" w:right="240" w:hanging="332"/>
        <w:spacing w:after="0" w:line="214" w:lineRule="auto"/>
        <w:tabs>
          <w:tab w:leader="none" w:pos="335"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Second quarter 2021 Dupixent</w:t>
      </w:r>
      <w:r>
        <w:rPr>
          <w:rFonts w:ascii="Arial" w:cs="Arial" w:eastAsia="Arial" w:hAnsi="Arial"/>
          <w:sz w:val="28"/>
          <w:szCs w:val="28"/>
          <w:i w:val="1"/>
          <w:iCs w:val="1"/>
          <w:color w:val="auto"/>
          <w:vertAlign w:val="superscript"/>
        </w:rPr>
        <w:t>®</w:t>
      </w:r>
      <w:r>
        <w:rPr>
          <w:rFonts w:ascii="Arial" w:cs="Arial" w:eastAsia="Arial" w:hAnsi="Arial"/>
          <w:sz w:val="22"/>
          <w:szCs w:val="22"/>
          <w:i w:val="1"/>
          <w:iCs w:val="1"/>
          <w:color w:val="auto"/>
        </w:rPr>
        <w:t xml:space="preserve"> global net sales</w:t>
      </w:r>
      <w:r>
        <w:rPr>
          <w:rFonts w:ascii="Arial" w:cs="Arial" w:eastAsia="Arial" w:hAnsi="Arial"/>
          <w:sz w:val="12"/>
          <w:szCs w:val="12"/>
          <w:i w:val="1"/>
          <w:iCs w:val="1"/>
          <w:color w:val="auto"/>
        </w:rPr>
        <w:t>(3)</w:t>
      </w:r>
      <w:r>
        <w:rPr>
          <w:rFonts w:ascii="Arial" w:cs="Arial" w:eastAsia="Arial" w:hAnsi="Arial"/>
          <w:sz w:val="22"/>
          <w:szCs w:val="22"/>
          <w:i w:val="1"/>
          <w:iCs w:val="1"/>
          <w:color w:val="auto"/>
        </w:rPr>
        <w:t>, which are recorded by Sanofi, increased 59% to $1.50 billion versus second quarter 2020</w:t>
      </w:r>
    </w:p>
    <w:p>
      <w:pPr>
        <w:ind w:left="320" w:hanging="312"/>
        <w:spacing w:after="0"/>
        <w:tabs>
          <w:tab w:leader="none" w:pos="32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Second quarter 2021 GAAP diluted EPS was $27.97 and non-GAAP diluted EPS</w:t>
      </w:r>
      <w:r>
        <w:rPr>
          <w:rFonts w:ascii="Arial" w:cs="Arial" w:eastAsia="Arial" w:hAnsi="Arial"/>
          <w:sz w:val="12"/>
          <w:szCs w:val="12"/>
          <w:i w:val="1"/>
          <w:iCs w:val="1"/>
          <w:color w:val="auto"/>
        </w:rPr>
        <w:t>(1)</w:t>
      </w:r>
      <w:r>
        <w:rPr>
          <w:rFonts w:ascii="Arial" w:cs="Arial" w:eastAsia="Arial" w:hAnsi="Arial"/>
          <w:sz w:val="22"/>
          <w:szCs w:val="22"/>
          <w:i w:val="1"/>
          <w:iCs w:val="1"/>
          <w:color w:val="auto"/>
        </w:rPr>
        <w:t xml:space="preserve"> was $25.80</w:t>
      </w:r>
    </w:p>
    <w:p>
      <w:pPr>
        <w:spacing w:after="0" w:line="3" w:lineRule="exact"/>
        <w:rPr>
          <w:rFonts w:ascii="Arial" w:cs="Arial" w:eastAsia="Arial" w:hAnsi="Arial"/>
          <w:sz w:val="22"/>
          <w:szCs w:val="22"/>
          <w:i w:val="1"/>
          <w:iCs w:val="1"/>
          <w:color w:val="auto"/>
        </w:rPr>
      </w:pPr>
    </w:p>
    <w:p>
      <w:pPr>
        <w:ind w:left="340" w:right="220" w:hanging="332"/>
        <w:spacing w:after="0" w:line="243" w:lineRule="auto"/>
        <w:tabs>
          <w:tab w:leader="none" w:pos="335"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FDA updated REGEN-COV Emergency Use Authorization (EUA) with lower dose, subcutaneous administration, and post-exposure prophylaxis</w:t>
      </w:r>
    </w:p>
    <w:p>
      <w:pPr>
        <w:ind w:left="320" w:hanging="312"/>
        <w:spacing w:after="0"/>
        <w:tabs>
          <w:tab w:leader="none" w:pos="32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REGEN-COV Phase 3 RECOVERY trial in hospitalized patients with severe COVID-19 met primary outcome</w:t>
      </w:r>
    </w:p>
    <w:p>
      <w:pPr>
        <w:spacing w:after="0" w:line="3" w:lineRule="exact"/>
        <w:rPr>
          <w:rFonts w:ascii="Arial" w:cs="Arial" w:eastAsia="Arial" w:hAnsi="Arial"/>
          <w:sz w:val="22"/>
          <w:szCs w:val="22"/>
          <w:i w:val="1"/>
          <w:iCs w:val="1"/>
          <w:color w:val="auto"/>
        </w:rPr>
      </w:pPr>
    </w:p>
    <w:p>
      <w:pPr>
        <w:ind w:left="340" w:right="760" w:hanging="332"/>
        <w:spacing w:after="0" w:line="243" w:lineRule="auto"/>
        <w:tabs>
          <w:tab w:leader="none" w:pos="335"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Reported that Dupixent significantly improved itch and hives in patients with chronic spontaneous urticaria, marking the fifth disease to show positive pivotal results</w:t>
      </w:r>
    </w:p>
    <w:p>
      <w:pPr>
        <w:ind w:left="340" w:right="480" w:hanging="332"/>
        <w:spacing w:after="0" w:line="215" w:lineRule="auto"/>
        <w:tabs>
          <w:tab w:leader="none" w:pos="335"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Phase 3 trial of Libtayo</w:t>
      </w:r>
      <w:r>
        <w:rPr>
          <w:rFonts w:ascii="Arial" w:cs="Arial" w:eastAsia="Arial" w:hAnsi="Arial"/>
          <w:sz w:val="28"/>
          <w:szCs w:val="28"/>
          <w:i w:val="1"/>
          <w:iCs w:val="1"/>
          <w:color w:val="auto"/>
          <w:vertAlign w:val="superscript"/>
        </w:rPr>
        <w:t>®</w:t>
      </w:r>
      <w:r>
        <w:rPr>
          <w:rFonts w:ascii="Arial" w:cs="Arial" w:eastAsia="Arial" w:hAnsi="Arial"/>
          <w:sz w:val="22"/>
          <w:szCs w:val="22"/>
          <w:i w:val="1"/>
          <w:iCs w:val="1"/>
          <w:color w:val="auto"/>
        </w:rPr>
        <w:t xml:space="preserve"> combined with chemotherapy stopped early due to significant improvement in overall survival in patients with first-line advanced non-small cell lung cancer</w:t>
      </w:r>
    </w:p>
    <w:p>
      <w:pPr>
        <w:spacing w:after="0" w:line="215" w:lineRule="exact"/>
        <w:rPr>
          <w:sz w:val="20"/>
          <w:szCs w:val="20"/>
          <w:color w:val="auto"/>
        </w:rPr>
      </w:pPr>
    </w:p>
    <w:p>
      <w:pPr>
        <w:ind w:right="360"/>
        <w:spacing w:after="0" w:line="274" w:lineRule="auto"/>
        <w:rPr>
          <w:sz w:val="20"/>
          <w:szCs w:val="20"/>
          <w:color w:val="auto"/>
        </w:rPr>
      </w:pPr>
      <w:r>
        <w:rPr>
          <w:rFonts w:ascii="Arial" w:cs="Arial" w:eastAsia="Arial" w:hAnsi="Arial"/>
          <w:sz w:val="22"/>
          <w:szCs w:val="22"/>
          <w:b w:val="1"/>
          <w:bCs w:val="1"/>
          <w:color w:val="auto"/>
        </w:rPr>
        <w:t xml:space="preserve">Tarrytown, New York (August 5, 2021) -- </w:t>
      </w:r>
      <w:r>
        <w:rPr>
          <w:rFonts w:ascii="Arial" w:cs="Arial" w:eastAsia="Arial" w:hAnsi="Arial"/>
          <w:sz w:val="22"/>
          <w:szCs w:val="22"/>
          <w:color w:val="auto"/>
        </w:rPr>
        <w:t>Regeneron Pharmaceuticals, Inc. (NASDAQ:</w:t>
      </w:r>
      <w:r>
        <w:rPr>
          <w:rFonts w:ascii="Arial" w:cs="Arial" w:eastAsia="Arial" w:hAnsi="Arial"/>
          <w:sz w:val="22"/>
          <w:szCs w:val="22"/>
          <w:b w:val="1"/>
          <w:bCs w:val="1"/>
          <w:color w:val="auto"/>
        </w:rPr>
        <w:t xml:space="preserve"> REGN</w:t>
      </w:r>
      <w:r>
        <w:rPr>
          <w:rFonts w:ascii="Arial" w:cs="Arial" w:eastAsia="Arial" w:hAnsi="Arial"/>
          <w:sz w:val="22"/>
          <w:szCs w:val="22"/>
          <w:color w:val="auto"/>
        </w:rPr>
        <w:t>) today announced</w:t>
      </w:r>
      <w:r>
        <w:rPr>
          <w:rFonts w:ascii="Arial" w:cs="Arial" w:eastAsia="Arial" w:hAnsi="Arial"/>
          <w:sz w:val="22"/>
          <w:szCs w:val="22"/>
          <w:b w:val="1"/>
          <w:bCs w:val="1"/>
          <w:color w:val="auto"/>
        </w:rPr>
        <w:t xml:space="preserve"> </w:t>
      </w:r>
      <w:r>
        <w:rPr>
          <w:rFonts w:ascii="Arial" w:cs="Arial" w:eastAsia="Arial" w:hAnsi="Arial"/>
          <w:sz w:val="22"/>
          <w:szCs w:val="22"/>
          <w:color w:val="auto"/>
        </w:rPr>
        <w:t>financial results for the second quarter of 2021 and provided a business update.</w:t>
      </w:r>
    </w:p>
    <w:p>
      <w:pPr>
        <w:spacing w:after="0" w:line="191" w:lineRule="exact"/>
        <w:rPr>
          <w:sz w:val="20"/>
          <w:szCs w:val="20"/>
          <w:color w:val="auto"/>
        </w:rPr>
      </w:pPr>
    </w:p>
    <w:p>
      <w:pPr>
        <w:spacing w:after="0" w:line="231" w:lineRule="auto"/>
        <w:rPr>
          <w:sz w:val="20"/>
          <w:szCs w:val="20"/>
          <w:color w:val="auto"/>
        </w:rPr>
      </w:pPr>
      <w:r>
        <w:rPr>
          <w:rFonts w:ascii="Arial" w:cs="Arial" w:eastAsia="Arial" w:hAnsi="Arial"/>
          <w:sz w:val="21"/>
          <w:szCs w:val="21"/>
          <w:color w:val="auto"/>
        </w:rPr>
        <w:t>"Regeneron had outstanding performance in the second quarter during which we delivered to the U.S. government the entire order for our COVID-19 antibody cocktail and recognized record global sales from our EYLEA and Dupixent franchises," said Leonard S. Schleifer, M.D., Ph.D., President and Chief Executive Officer of Regeneron. "We continue to advance Dupixent’s potential to help new patient groups, with recent positive Phase 3 data in chronic spontaneous urticaria and additional late-stage read-outs expected later this year in prurigo nodularis, eosinophilic esophagitis, and pediatric atopic dermatitis. With today’s positive Phase 3 results in combination with chemotherapy in non-small cell lung cancer, Libtayo yet again demonstrates its potential to be a leading checkpoint inhibitor. We also progressed our genetics medicines platform, with landmark clinical data alongside our collaborator Intellia using a CRISPR therapeutic and the discovery of a promising new obesity target from the Regeneron Genetics Center."</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891"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i w:val="1"/>
          <w:iCs w:val="1"/>
          <w:color w:val="auto"/>
        </w:rPr>
        <w:t>Financial Highlights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240" w:type="dxa"/>
            <w:vAlign w:val="bottom"/>
          </w:tcPr>
          <w:p>
            <w:pPr>
              <w:ind w:left="20"/>
              <w:spacing w:after="0"/>
              <w:rPr>
                <w:sz w:val="20"/>
                <w:szCs w:val="20"/>
                <w:color w:val="auto"/>
              </w:rPr>
            </w:pPr>
            <w:r>
              <w:rPr>
                <w:rFonts w:ascii="Arial" w:cs="Arial" w:eastAsia="Arial" w:hAnsi="Arial"/>
                <w:sz w:val="14"/>
                <w:szCs w:val="14"/>
                <w:i w:val="1"/>
                <w:iCs w:val="1"/>
                <w:color w:val="auto"/>
              </w:rPr>
              <w:t>($ in millions, except per share data)</w:t>
            </w:r>
          </w:p>
        </w:tc>
        <w:tc>
          <w:tcPr>
            <w:tcW w:w="200" w:type="dxa"/>
            <w:vAlign w:val="bottom"/>
          </w:tcPr>
          <w:p>
            <w:pPr>
              <w:spacing w:after="0"/>
              <w:rPr>
                <w:sz w:val="22"/>
                <w:szCs w:val="22"/>
                <w:color w:val="auto"/>
              </w:rPr>
            </w:pPr>
          </w:p>
        </w:tc>
        <w:tc>
          <w:tcPr>
            <w:tcW w:w="1200" w:type="dxa"/>
            <w:vAlign w:val="bottom"/>
            <w:gridSpan w:val="2"/>
          </w:tcPr>
          <w:p>
            <w:pPr>
              <w:ind w:left="60"/>
              <w:spacing w:after="0"/>
              <w:rPr>
                <w:sz w:val="20"/>
                <w:szCs w:val="20"/>
                <w:color w:val="auto"/>
              </w:rPr>
            </w:pPr>
            <w:r>
              <w:rPr>
                <w:rFonts w:ascii="Arial" w:cs="Arial" w:eastAsia="Arial" w:hAnsi="Arial"/>
                <w:sz w:val="20"/>
                <w:szCs w:val="20"/>
                <w:b w:val="1"/>
                <w:bCs w:val="1"/>
                <w:color w:val="auto"/>
              </w:rPr>
              <w:t>Q2 2021</w:t>
            </w:r>
          </w:p>
        </w:tc>
        <w:tc>
          <w:tcPr>
            <w:tcW w:w="200" w:type="dxa"/>
            <w:vAlign w:val="bottom"/>
          </w:tcPr>
          <w:p>
            <w:pPr>
              <w:spacing w:after="0"/>
              <w:rPr>
                <w:sz w:val="22"/>
                <w:szCs w:val="22"/>
                <w:color w:val="auto"/>
              </w:rPr>
            </w:pPr>
          </w:p>
        </w:tc>
        <w:tc>
          <w:tcPr>
            <w:tcW w:w="1200" w:type="dxa"/>
            <w:vAlign w:val="bottom"/>
            <w:gridSpan w:val="2"/>
          </w:tcPr>
          <w:p>
            <w:pPr>
              <w:ind w:left="60"/>
              <w:spacing w:after="0"/>
              <w:rPr>
                <w:sz w:val="20"/>
                <w:szCs w:val="20"/>
                <w:color w:val="auto"/>
              </w:rPr>
            </w:pPr>
            <w:r>
              <w:rPr>
                <w:rFonts w:ascii="Arial" w:cs="Arial" w:eastAsia="Arial" w:hAnsi="Arial"/>
                <w:sz w:val="20"/>
                <w:szCs w:val="20"/>
                <w:b w:val="1"/>
                <w:bCs w:val="1"/>
                <w:color w:val="auto"/>
              </w:rPr>
              <w:t>Q2 2020</w:t>
            </w:r>
          </w:p>
        </w:tc>
        <w:tc>
          <w:tcPr>
            <w:tcW w:w="1300" w:type="dxa"/>
            <w:vAlign w:val="bottom"/>
          </w:tcPr>
          <w:p>
            <w:pPr>
              <w:jc w:val="right"/>
              <w:ind w:right="81"/>
              <w:spacing w:after="0"/>
              <w:rPr>
                <w:sz w:val="20"/>
                <w:szCs w:val="20"/>
                <w:color w:val="auto"/>
              </w:rPr>
            </w:pPr>
            <w:r>
              <w:rPr>
                <w:rFonts w:ascii="Arial" w:cs="Arial" w:eastAsia="Arial" w:hAnsi="Arial"/>
                <w:sz w:val="20"/>
                <w:szCs w:val="20"/>
                <w:b w:val="1"/>
                <w:bCs w:val="1"/>
                <w:color w:val="auto"/>
              </w:rPr>
              <w:t>% Change</w:t>
            </w:r>
          </w:p>
        </w:tc>
        <w:tc>
          <w:tcPr>
            <w:tcW w:w="0" w:type="dxa"/>
            <w:vAlign w:val="bottom"/>
          </w:tcPr>
          <w:p>
            <w:pPr>
              <w:spacing w:after="0"/>
              <w:rPr>
                <w:sz w:val="1"/>
                <w:szCs w:val="1"/>
                <w:color w:val="auto"/>
              </w:rPr>
            </w:pPr>
          </w:p>
        </w:tc>
      </w:tr>
      <w:tr>
        <w:trPr>
          <w:trHeight w:val="236"/>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Total revenues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1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5,139</w:t>
            </w: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1,952</w:t>
            </w:r>
          </w:p>
        </w:tc>
        <w:tc>
          <w:tcPr>
            <w:tcW w:w="100" w:type="dxa"/>
            <w:vAlign w:val="bottom"/>
            <w:tcBorders>
              <w:top w:val="single" w:sz="8" w:color="CCEEFF"/>
            </w:tcBorders>
            <w:shd w:val="clear" w:color="auto" w:fill="CCEEFF"/>
          </w:tcPr>
          <w:p>
            <w:pPr>
              <w:spacing w:after="0"/>
              <w:rPr>
                <w:sz w:val="20"/>
                <w:szCs w:val="20"/>
                <w:color w:val="auto"/>
              </w:rPr>
            </w:pPr>
          </w:p>
        </w:tc>
        <w:tc>
          <w:tcPr>
            <w:tcW w:w="130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163%</w:t>
            </w:r>
          </w:p>
        </w:tc>
        <w:tc>
          <w:tcPr>
            <w:tcW w:w="0" w:type="dxa"/>
            <w:vAlign w:val="bottom"/>
          </w:tcPr>
          <w:p>
            <w:pPr>
              <w:spacing w:after="0"/>
              <w:rPr>
                <w:sz w:val="1"/>
                <w:szCs w:val="1"/>
                <w:color w:val="auto"/>
              </w:rPr>
            </w:pPr>
          </w:p>
        </w:tc>
      </w:tr>
      <w:tr>
        <w:trPr>
          <w:trHeight w:val="243"/>
        </w:trPr>
        <w:tc>
          <w:tcPr>
            <w:tcW w:w="3240" w:type="dxa"/>
            <w:vAlign w:val="bottom"/>
          </w:tcPr>
          <w:p>
            <w:pPr>
              <w:ind w:left="20"/>
              <w:spacing w:after="0"/>
              <w:rPr>
                <w:sz w:val="20"/>
                <w:szCs w:val="20"/>
                <w:color w:val="auto"/>
              </w:rPr>
            </w:pPr>
            <w:r>
              <w:rPr>
                <w:rFonts w:ascii="Arial" w:cs="Arial" w:eastAsia="Arial" w:hAnsi="Arial"/>
                <w:sz w:val="20"/>
                <w:szCs w:val="20"/>
                <w:color w:val="auto"/>
              </w:rPr>
              <w:t>GAAP net income</w:t>
            </w:r>
          </w:p>
        </w:tc>
        <w:tc>
          <w:tcPr>
            <w:tcW w:w="20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3,099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897</w:t>
            </w:r>
          </w:p>
        </w:tc>
        <w:tc>
          <w:tcPr>
            <w:tcW w:w="100" w:type="dxa"/>
            <w:vAlign w:val="bottom"/>
          </w:tcPr>
          <w:p>
            <w:pPr>
              <w:spacing w:after="0"/>
              <w:rPr>
                <w:sz w:val="21"/>
                <w:szCs w:val="21"/>
                <w:color w:val="auto"/>
              </w:rPr>
            </w:pPr>
          </w:p>
        </w:tc>
        <w:tc>
          <w:tcPr>
            <w:tcW w:w="1300" w:type="dxa"/>
            <w:vAlign w:val="bottom"/>
          </w:tcPr>
          <w:p>
            <w:pPr>
              <w:jc w:val="right"/>
              <w:ind w:right="21"/>
              <w:spacing w:after="0"/>
              <w:rPr>
                <w:sz w:val="20"/>
                <w:szCs w:val="20"/>
                <w:color w:val="auto"/>
              </w:rPr>
            </w:pPr>
            <w:r>
              <w:rPr>
                <w:rFonts w:ascii="Arial" w:cs="Arial" w:eastAsia="Arial" w:hAnsi="Arial"/>
                <w:sz w:val="20"/>
                <w:szCs w:val="20"/>
                <w:color w:val="auto"/>
              </w:rPr>
              <w:t>245%</w:t>
            </w:r>
          </w:p>
        </w:tc>
        <w:tc>
          <w:tcPr>
            <w:tcW w:w="0" w:type="dxa"/>
            <w:vAlign w:val="bottom"/>
          </w:tcPr>
          <w:p>
            <w:pPr>
              <w:spacing w:after="0"/>
              <w:rPr>
                <w:sz w:val="1"/>
                <w:szCs w:val="1"/>
                <w:color w:val="auto"/>
              </w:rPr>
            </w:pPr>
          </w:p>
        </w:tc>
      </w:tr>
      <w:tr>
        <w:trPr>
          <w:trHeight w:val="199"/>
        </w:trPr>
        <w:tc>
          <w:tcPr>
            <w:tcW w:w="3240" w:type="dxa"/>
            <w:vAlign w:val="bottom"/>
            <w:shd w:val="clear" w:color="auto" w:fill="CCEEFF"/>
          </w:tcPr>
          <w:p>
            <w:pPr>
              <w:ind w:left="20"/>
              <w:spacing w:after="0" w:line="199" w:lineRule="exact"/>
              <w:rPr>
                <w:sz w:val="20"/>
                <w:szCs w:val="20"/>
                <w:color w:val="auto"/>
              </w:rPr>
            </w:pPr>
            <w:r>
              <w:rPr>
                <w:rFonts w:ascii="Arial" w:cs="Arial" w:eastAsia="Arial" w:hAnsi="Arial"/>
                <w:sz w:val="20"/>
                <w:szCs w:val="20"/>
                <w:color w:val="auto"/>
              </w:rPr>
              <w:t>GAAP net income per share -</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100" w:type="dxa"/>
            <w:vAlign w:val="bottom"/>
            <w:vMerge w:val="restart"/>
            <w:shd w:val="clear" w:color="auto" w:fill="CCEEFF"/>
          </w:tcPr>
          <w:p>
            <w:pPr>
              <w:jc w:val="right"/>
              <w:ind w:right="1"/>
              <w:spacing w:after="0"/>
              <w:rPr>
                <w:sz w:val="20"/>
                <w:szCs w:val="20"/>
                <w:color w:val="auto"/>
              </w:rPr>
            </w:pPr>
            <w:r>
              <w:rPr>
                <w:rFonts w:ascii="Arial" w:cs="Arial" w:eastAsia="Arial" w:hAnsi="Arial"/>
                <w:sz w:val="20"/>
                <w:szCs w:val="20"/>
                <w:color w:val="auto"/>
              </w:rPr>
              <w:t>27.97</w:t>
            </w:r>
          </w:p>
        </w:tc>
        <w:tc>
          <w:tcPr>
            <w:tcW w:w="10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7.61</w:t>
            </w:r>
          </w:p>
        </w:tc>
        <w:tc>
          <w:tcPr>
            <w:tcW w:w="10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21"/>
              <w:spacing w:after="0"/>
              <w:rPr>
                <w:sz w:val="20"/>
                <w:szCs w:val="20"/>
                <w:color w:val="auto"/>
              </w:rPr>
            </w:pPr>
            <w:r>
              <w:rPr>
                <w:rFonts w:ascii="Arial" w:cs="Arial" w:eastAsia="Arial" w:hAnsi="Arial"/>
                <w:sz w:val="20"/>
                <w:szCs w:val="20"/>
                <w:color w:val="auto"/>
              </w:rPr>
              <w:t>268%</w:t>
            </w:r>
          </w:p>
        </w:tc>
        <w:tc>
          <w:tcPr>
            <w:tcW w:w="0" w:type="dxa"/>
            <w:vAlign w:val="bottom"/>
          </w:tcPr>
          <w:p>
            <w:pPr>
              <w:spacing w:after="0"/>
              <w:rPr>
                <w:sz w:val="1"/>
                <w:szCs w:val="1"/>
                <w:color w:val="auto"/>
              </w:rPr>
            </w:pPr>
          </w:p>
        </w:tc>
      </w:tr>
      <w:tr>
        <w:trPr>
          <w:trHeight w:val="233"/>
        </w:trPr>
        <w:tc>
          <w:tcPr>
            <w:tcW w:w="3240" w:type="dxa"/>
            <w:vAlign w:val="bottom"/>
            <w:shd w:val="clear" w:color="auto" w:fill="CCEEFF"/>
          </w:tcPr>
          <w:p>
            <w:pPr>
              <w:ind w:left="180"/>
              <w:spacing w:after="0"/>
              <w:rPr>
                <w:sz w:val="20"/>
                <w:szCs w:val="20"/>
                <w:color w:val="auto"/>
              </w:rPr>
            </w:pPr>
            <w:r>
              <w:rPr>
                <w:rFonts w:ascii="Arial" w:cs="Arial" w:eastAsia="Arial" w:hAnsi="Arial"/>
                <w:sz w:val="20"/>
                <w:szCs w:val="20"/>
                <w:color w:val="auto"/>
              </w:rPr>
              <w:t>diluted</w:t>
            </w:r>
          </w:p>
        </w:tc>
        <w:tc>
          <w:tcPr>
            <w:tcW w:w="200" w:type="dxa"/>
            <w:vAlign w:val="bottom"/>
            <w:vMerge w:val="continue"/>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40" w:type="dxa"/>
            <w:vAlign w:val="bottom"/>
          </w:tcPr>
          <w:p>
            <w:pPr>
              <w:ind w:left="20"/>
              <w:spacing w:after="0" w:line="242" w:lineRule="exact"/>
              <w:rPr>
                <w:sz w:val="20"/>
                <w:szCs w:val="20"/>
                <w:color w:val="auto"/>
              </w:rPr>
            </w:pPr>
            <w:r>
              <w:rPr>
                <w:rFonts w:ascii="Arial" w:cs="Arial" w:eastAsia="Arial" w:hAnsi="Arial"/>
                <w:sz w:val="20"/>
                <w:szCs w:val="20"/>
                <w:color w:val="auto"/>
              </w:rPr>
              <w:t>Non-GAAP net income</w:t>
            </w:r>
            <w:r>
              <w:rPr>
                <w:rFonts w:ascii="Arial" w:cs="Arial" w:eastAsia="Arial" w:hAnsi="Arial"/>
                <w:sz w:val="25"/>
                <w:szCs w:val="25"/>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2,895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854</w:t>
            </w:r>
          </w:p>
        </w:tc>
        <w:tc>
          <w:tcPr>
            <w:tcW w:w="100" w:type="dxa"/>
            <w:vAlign w:val="bottom"/>
          </w:tcPr>
          <w:p>
            <w:pPr>
              <w:spacing w:after="0"/>
              <w:rPr>
                <w:sz w:val="21"/>
                <w:szCs w:val="21"/>
                <w:color w:val="auto"/>
              </w:rPr>
            </w:pPr>
          </w:p>
        </w:tc>
        <w:tc>
          <w:tcPr>
            <w:tcW w:w="1300" w:type="dxa"/>
            <w:vAlign w:val="bottom"/>
          </w:tcPr>
          <w:p>
            <w:pPr>
              <w:jc w:val="right"/>
              <w:ind w:right="21"/>
              <w:spacing w:after="0"/>
              <w:rPr>
                <w:sz w:val="20"/>
                <w:szCs w:val="20"/>
                <w:color w:val="auto"/>
              </w:rPr>
            </w:pPr>
            <w:r>
              <w:rPr>
                <w:rFonts w:ascii="Arial" w:cs="Arial" w:eastAsia="Arial" w:hAnsi="Arial"/>
                <w:sz w:val="20"/>
                <w:szCs w:val="20"/>
                <w:color w:val="auto"/>
              </w:rPr>
              <w:t>239%</w:t>
            </w:r>
          </w:p>
        </w:tc>
        <w:tc>
          <w:tcPr>
            <w:tcW w:w="0" w:type="dxa"/>
            <w:vAlign w:val="bottom"/>
          </w:tcPr>
          <w:p>
            <w:pPr>
              <w:spacing w:after="0"/>
              <w:rPr>
                <w:sz w:val="1"/>
                <w:szCs w:val="1"/>
                <w:color w:val="auto"/>
              </w:rPr>
            </w:pPr>
          </w:p>
        </w:tc>
      </w:tr>
      <w:tr>
        <w:trPr>
          <w:trHeight w:val="194"/>
        </w:trPr>
        <w:tc>
          <w:tcPr>
            <w:tcW w:w="3240" w:type="dxa"/>
            <w:vAlign w:val="bottom"/>
            <w:shd w:val="clear" w:color="auto" w:fill="CCEEFF"/>
          </w:tcPr>
          <w:p>
            <w:pPr>
              <w:ind w:left="20"/>
              <w:spacing w:after="0" w:line="194" w:lineRule="exact"/>
              <w:rPr>
                <w:sz w:val="20"/>
                <w:szCs w:val="20"/>
                <w:color w:val="auto"/>
              </w:rPr>
            </w:pPr>
            <w:r>
              <w:rPr>
                <w:rFonts w:ascii="Arial" w:cs="Arial" w:eastAsia="Arial" w:hAnsi="Arial"/>
                <w:sz w:val="20"/>
                <w:szCs w:val="20"/>
                <w:color w:val="auto"/>
              </w:rPr>
              <w:t>Non-GAAP net income per share -</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100" w:type="dxa"/>
            <w:vAlign w:val="bottom"/>
            <w:vMerge w:val="restart"/>
            <w:shd w:val="clear" w:color="auto" w:fill="CCEEFF"/>
          </w:tcPr>
          <w:p>
            <w:pPr>
              <w:jc w:val="right"/>
              <w:ind w:right="1"/>
              <w:spacing w:after="0"/>
              <w:rPr>
                <w:sz w:val="20"/>
                <w:szCs w:val="20"/>
                <w:color w:val="auto"/>
              </w:rPr>
            </w:pPr>
            <w:r>
              <w:rPr>
                <w:rFonts w:ascii="Arial" w:cs="Arial" w:eastAsia="Arial" w:hAnsi="Arial"/>
                <w:sz w:val="20"/>
                <w:szCs w:val="20"/>
                <w:color w:val="auto"/>
              </w:rPr>
              <w:t>25.80</w:t>
            </w:r>
          </w:p>
        </w:tc>
        <w:tc>
          <w:tcPr>
            <w:tcW w:w="100" w:type="dxa"/>
            <w:vAlign w:val="bottom"/>
            <w:shd w:val="clear" w:color="auto" w:fill="CCEEFF"/>
          </w:tcPr>
          <w:p>
            <w:pPr>
              <w:spacing w:after="0"/>
              <w:rPr>
                <w:sz w:val="16"/>
                <w:szCs w:val="16"/>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7.16</w:t>
            </w:r>
          </w:p>
        </w:tc>
        <w:tc>
          <w:tcPr>
            <w:tcW w:w="100" w:type="dxa"/>
            <w:vAlign w:val="bottom"/>
            <w:shd w:val="clear" w:color="auto" w:fill="CCEEFF"/>
          </w:tcPr>
          <w:p>
            <w:pPr>
              <w:spacing w:after="0"/>
              <w:rPr>
                <w:sz w:val="16"/>
                <w:szCs w:val="16"/>
                <w:color w:val="auto"/>
              </w:rPr>
            </w:pPr>
          </w:p>
        </w:tc>
        <w:tc>
          <w:tcPr>
            <w:tcW w:w="1300" w:type="dxa"/>
            <w:vAlign w:val="bottom"/>
            <w:vMerge w:val="restart"/>
            <w:shd w:val="clear" w:color="auto" w:fill="CCEEFF"/>
          </w:tcPr>
          <w:p>
            <w:pPr>
              <w:jc w:val="right"/>
              <w:ind w:right="21"/>
              <w:spacing w:after="0"/>
              <w:rPr>
                <w:sz w:val="20"/>
                <w:szCs w:val="20"/>
                <w:color w:val="auto"/>
              </w:rPr>
            </w:pPr>
            <w:r>
              <w:rPr>
                <w:rFonts w:ascii="Arial" w:cs="Arial" w:eastAsia="Arial" w:hAnsi="Arial"/>
                <w:sz w:val="20"/>
                <w:szCs w:val="20"/>
                <w:color w:val="auto"/>
              </w:rPr>
              <w:t>260%</w:t>
            </w:r>
          </w:p>
        </w:tc>
        <w:tc>
          <w:tcPr>
            <w:tcW w:w="0" w:type="dxa"/>
            <w:vAlign w:val="bottom"/>
          </w:tcPr>
          <w:p>
            <w:pPr>
              <w:spacing w:after="0"/>
              <w:rPr>
                <w:sz w:val="1"/>
                <w:szCs w:val="1"/>
                <w:color w:val="auto"/>
              </w:rPr>
            </w:pPr>
          </w:p>
        </w:tc>
      </w:tr>
      <w:tr>
        <w:trPr>
          <w:trHeight w:val="238"/>
        </w:trPr>
        <w:tc>
          <w:tcPr>
            <w:tcW w:w="3240" w:type="dxa"/>
            <w:vAlign w:val="bottom"/>
            <w:shd w:val="clear" w:color="auto" w:fill="CCEEFF"/>
          </w:tcPr>
          <w:p>
            <w:pPr>
              <w:ind w:left="180"/>
              <w:spacing w:after="0" w:line="238" w:lineRule="exact"/>
              <w:rPr>
                <w:sz w:val="20"/>
                <w:szCs w:val="20"/>
                <w:color w:val="auto"/>
              </w:rPr>
            </w:pPr>
            <w:r>
              <w:rPr>
                <w:rFonts w:ascii="Arial" w:cs="Arial" w:eastAsia="Arial" w:hAnsi="Arial"/>
                <w:sz w:val="20"/>
                <w:szCs w:val="20"/>
                <w:color w:val="auto"/>
              </w:rPr>
              <w:t>diluted</w:t>
            </w:r>
            <w:r>
              <w:rPr>
                <w:rFonts w:ascii="Arial" w:cs="Arial" w:eastAsia="Arial" w:hAnsi="Arial"/>
                <w:sz w:val="25"/>
                <w:szCs w:val="25"/>
                <w:color w:val="auto"/>
                <w:vertAlign w:val="superscript"/>
              </w:rPr>
              <w:t>(1)</w:t>
            </w:r>
          </w:p>
        </w:tc>
        <w:tc>
          <w:tcPr>
            <w:tcW w:w="200" w:type="dxa"/>
            <w:vAlign w:val="bottom"/>
            <w:vMerge w:val="continue"/>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331" w:lineRule="exact"/>
        <w:rPr>
          <w:sz w:val="20"/>
          <w:szCs w:val="20"/>
          <w:color w:val="auto"/>
        </w:rPr>
      </w:pPr>
    </w:p>
    <w:p>
      <w:pPr>
        <w:jc w:val="both"/>
        <w:ind w:right="60"/>
        <w:spacing w:after="0" w:line="246" w:lineRule="auto"/>
        <w:rPr>
          <w:sz w:val="20"/>
          <w:szCs w:val="20"/>
          <w:color w:val="auto"/>
        </w:rPr>
      </w:pPr>
      <w:r>
        <w:rPr>
          <w:rFonts w:ascii="Arial" w:cs="Arial" w:eastAsia="Arial" w:hAnsi="Arial"/>
          <w:sz w:val="22"/>
          <w:szCs w:val="22"/>
          <w:color w:val="auto"/>
        </w:rPr>
        <w:t>"Regeneron performed exceptionally well in the second quarter with the core business on a strong growth trajectory as we invest in our diverse and differentiated pipeline for long-term and sustainable growth," said Robert E. Landry, Executive Vice President, Finance and Chief Financial Officer of Regeneron.</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Business Highlights</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Key Pipeline Progress</w:t>
      </w:r>
    </w:p>
    <w:p>
      <w:pPr>
        <w:spacing w:after="0" w:line="30" w:lineRule="exact"/>
        <w:rPr>
          <w:sz w:val="20"/>
          <w:szCs w:val="20"/>
          <w:color w:val="auto"/>
        </w:rPr>
      </w:pPr>
    </w:p>
    <w:p>
      <w:pPr>
        <w:ind w:right="320"/>
        <w:spacing w:after="0" w:line="249" w:lineRule="auto"/>
        <w:rPr>
          <w:sz w:val="20"/>
          <w:szCs w:val="20"/>
          <w:color w:val="auto"/>
        </w:rPr>
      </w:pPr>
      <w:r>
        <w:rPr>
          <w:rFonts w:ascii="Arial" w:cs="Arial" w:eastAsia="Arial" w:hAnsi="Arial"/>
          <w:sz w:val="22"/>
          <w:szCs w:val="22"/>
          <w:color w:val="auto"/>
        </w:rPr>
        <w:t>Regeneron has approximately 30 product candidates in clinical development, including six marketed products for which it is investigating additional indications. Updates from the clinical pipeline include:</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EYLEA</w:t>
      </w:r>
      <w:r>
        <w:rPr>
          <w:rFonts w:ascii="Arial" w:cs="Arial" w:eastAsia="Arial" w:hAnsi="Arial"/>
          <w:sz w:val="28"/>
          <w:szCs w:val="28"/>
          <w:color w:val="auto"/>
          <w:vertAlign w:val="superscript"/>
        </w:rPr>
        <w:t>®</w:t>
      </w:r>
      <w:r>
        <w:rPr>
          <w:rFonts w:ascii="Arial" w:cs="Arial" w:eastAsia="Arial" w:hAnsi="Arial"/>
          <w:sz w:val="22"/>
          <w:szCs w:val="22"/>
          <w:color w:val="auto"/>
        </w:rPr>
        <w:t xml:space="preserve"> (aflibercept) Injection</w:t>
      </w:r>
    </w:p>
    <w:p>
      <w:pPr>
        <w:ind w:left="340" w:right="180" w:hanging="332"/>
        <w:spacing w:after="0" w:line="243" w:lineRule="auto"/>
        <w:tabs>
          <w:tab w:leader="none" w:pos="335" w:val="left"/>
        </w:tabs>
        <w:numPr>
          <w:ilvl w:val="0"/>
          <w:numId w:val="3"/>
        </w:numPr>
        <w:rPr>
          <w:rFonts w:ascii="Arial" w:cs="Arial" w:eastAsia="Arial" w:hAnsi="Arial"/>
          <w:sz w:val="22"/>
          <w:szCs w:val="22"/>
          <w:color w:val="auto"/>
        </w:rPr>
      </w:pPr>
      <w:r>
        <w:rPr>
          <w:rFonts w:ascii="Arial" w:cs="Arial" w:eastAsia="Arial" w:hAnsi="Arial"/>
          <w:sz w:val="22"/>
          <w:szCs w:val="22"/>
          <w:color w:val="auto"/>
        </w:rPr>
        <w:t>Enrollment in the Phase 3 studies for high-dose formulation in diabetic macular edema (DME) and neovascular age-related macular degeneration (wet AMD) was completed.</w:t>
      </w:r>
    </w:p>
    <w:p>
      <w:pPr>
        <w:ind w:left="320" w:hanging="312"/>
        <w:spacing w:after="0"/>
        <w:tabs>
          <w:tab w:leader="none" w:pos="320" w:val="left"/>
        </w:tabs>
        <w:numPr>
          <w:ilvl w:val="0"/>
          <w:numId w:val="3"/>
        </w:numPr>
        <w:rPr>
          <w:rFonts w:ascii="Arial" w:cs="Arial" w:eastAsia="Arial" w:hAnsi="Arial"/>
          <w:sz w:val="22"/>
          <w:szCs w:val="22"/>
          <w:color w:val="auto"/>
        </w:rPr>
      </w:pPr>
      <w:r>
        <w:rPr>
          <w:rFonts w:ascii="Arial" w:cs="Arial" w:eastAsia="Arial" w:hAnsi="Arial"/>
          <w:sz w:val="22"/>
          <w:szCs w:val="22"/>
          <w:color w:val="auto"/>
        </w:rPr>
        <w:t>Enrollment in the Phase 3 study for retinopathy of prematurity (ROP) was also completed.</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Dupixent</w:t>
      </w:r>
      <w:r>
        <w:rPr>
          <w:rFonts w:ascii="Arial" w:cs="Arial" w:eastAsia="Arial" w:hAnsi="Arial"/>
          <w:sz w:val="28"/>
          <w:szCs w:val="28"/>
          <w:i w:val="1"/>
          <w:iCs w:val="1"/>
          <w:color w:val="auto"/>
          <w:vertAlign w:val="superscript"/>
        </w:rPr>
        <w:t>®</w:t>
      </w:r>
      <w:r>
        <w:rPr>
          <w:rFonts w:ascii="Arial" w:cs="Arial" w:eastAsia="Arial" w:hAnsi="Arial"/>
          <w:sz w:val="22"/>
          <w:szCs w:val="22"/>
          <w:color w:val="auto"/>
        </w:rPr>
        <w:t xml:space="preserve"> (dupilumab)</w:t>
      </w:r>
    </w:p>
    <w:p>
      <w:pPr>
        <w:ind w:left="340" w:right="240" w:hanging="332"/>
        <w:spacing w:after="0" w:line="243" w:lineRule="auto"/>
        <w:tabs>
          <w:tab w:leader="none" w:pos="335"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Company and Sanofi announced a Phase 3 trial in patients with moderate-to-severe chronic spontaneous urticaria (CSU) met its primary and all key secondary endpoints at 24 weeks. The trial showed that adding Dupixent to standard-of-care antihistamines significantly reduced itch and hives for biologic-naive patients, compared to antihistamines alone in the first of two trials of this clinical program.</w:t>
      </w:r>
    </w:p>
    <w:p>
      <w:pPr>
        <w:spacing w:after="0" w:line="1" w:lineRule="exact"/>
        <w:rPr>
          <w:rFonts w:ascii="Arial" w:cs="Arial" w:eastAsia="Arial" w:hAnsi="Arial"/>
          <w:sz w:val="22"/>
          <w:szCs w:val="22"/>
          <w:color w:val="auto"/>
        </w:rPr>
      </w:pPr>
    </w:p>
    <w:p>
      <w:pPr>
        <w:ind w:left="340" w:right="340" w:hanging="332"/>
        <w:spacing w:after="0" w:line="249" w:lineRule="auto"/>
        <w:tabs>
          <w:tab w:leader="none" w:pos="335" w:val="left"/>
        </w:tabs>
        <w:numPr>
          <w:ilvl w:val="0"/>
          <w:numId w:val="4"/>
        </w:numPr>
        <w:rPr>
          <w:rFonts w:ascii="Arial" w:cs="Arial" w:eastAsia="Arial" w:hAnsi="Arial"/>
          <w:sz w:val="22"/>
          <w:szCs w:val="22"/>
          <w:color w:val="auto"/>
        </w:rPr>
      </w:pPr>
      <w:r>
        <w:rPr>
          <w:rFonts w:ascii="Arial" w:cs="Arial" w:eastAsia="Arial" w:hAnsi="Arial"/>
          <w:sz w:val="22"/>
          <w:szCs w:val="22"/>
          <w:color w:val="auto"/>
        </w:rPr>
        <w:t>In June 2021, the U.S. Food and Drug Administration (FDA) approved a 200 mg single-dose pre-filled pen for Dupixent.</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REGEN-COV</w:t>
      </w:r>
      <w:r>
        <w:rPr>
          <w:rFonts w:ascii="Arial" w:cs="Arial" w:eastAsia="Arial" w:hAnsi="Arial"/>
          <w:sz w:val="11"/>
          <w:szCs w:val="11"/>
          <w:color w:val="auto"/>
        </w:rPr>
        <w:t>TM</w:t>
      </w:r>
      <w:r>
        <w:rPr>
          <w:rFonts w:ascii="Arial" w:cs="Arial" w:eastAsia="Arial" w:hAnsi="Arial"/>
          <w:sz w:val="22"/>
          <w:szCs w:val="22"/>
          <w:color w:val="auto"/>
        </w:rPr>
        <w:t xml:space="preserve"> (casirivimab and imdevimab)</w:t>
      </w:r>
      <w:r>
        <w:rPr>
          <w:rFonts w:ascii="Arial" w:cs="Arial" w:eastAsia="Arial" w:hAnsi="Arial"/>
          <w:sz w:val="12"/>
          <w:szCs w:val="12"/>
          <w:color w:val="auto"/>
        </w:rPr>
        <w:t>(2)</w:t>
      </w:r>
      <w:r>
        <w:rPr>
          <w:rFonts w:ascii="Arial" w:cs="Arial" w:eastAsia="Arial" w:hAnsi="Arial"/>
          <w:sz w:val="22"/>
          <w:szCs w:val="22"/>
          <w:color w:val="auto"/>
        </w:rPr>
        <w:t>, a dual antibody cocktail to SARS-CoV-2 virus</w:t>
      </w:r>
    </w:p>
    <w:p>
      <w:pPr>
        <w:spacing w:after="0" w:line="4" w:lineRule="exact"/>
        <w:rPr>
          <w:sz w:val="20"/>
          <w:szCs w:val="20"/>
          <w:color w:val="auto"/>
        </w:rPr>
      </w:pPr>
    </w:p>
    <w:p>
      <w:pPr>
        <w:ind w:left="340" w:hanging="332"/>
        <w:spacing w:after="0" w:line="243" w:lineRule="auto"/>
        <w:tabs>
          <w:tab w:leader="none" w:pos="335" w:val="left"/>
        </w:tabs>
        <w:numPr>
          <w:ilvl w:val="0"/>
          <w:numId w:val="5"/>
        </w:numPr>
        <w:rPr>
          <w:rFonts w:ascii="Arial" w:cs="Arial" w:eastAsia="Arial" w:hAnsi="Arial"/>
          <w:sz w:val="22"/>
          <w:szCs w:val="22"/>
          <w:color w:val="auto"/>
        </w:rPr>
      </w:pPr>
      <w:r>
        <w:rPr>
          <w:rFonts w:ascii="Arial" w:cs="Arial" w:eastAsia="Arial" w:hAnsi="Arial"/>
          <w:sz w:val="22"/>
          <w:szCs w:val="22"/>
          <w:color w:val="auto"/>
        </w:rPr>
        <w:t>In the second quarter of 2021, the Company fulfilled its second agreement with the U.S. government to manufacture and deliver 1.25 million doses of REGEN-COV at the lowest treatment dose authorized by the FDA, and recognized $2.59 billion of REGEN-COV sales.</w:t>
      </w:r>
    </w:p>
    <w:p>
      <w:pPr>
        <w:spacing w:after="0" w:line="1" w:lineRule="exact"/>
        <w:rPr>
          <w:rFonts w:ascii="Arial" w:cs="Arial" w:eastAsia="Arial" w:hAnsi="Arial"/>
          <w:sz w:val="22"/>
          <w:szCs w:val="22"/>
          <w:color w:val="auto"/>
        </w:rPr>
      </w:pPr>
    </w:p>
    <w:p>
      <w:pPr>
        <w:ind w:left="340" w:right="840" w:hanging="332"/>
        <w:spacing w:after="0" w:line="249" w:lineRule="auto"/>
        <w:tabs>
          <w:tab w:leader="none" w:pos="335" w:val="left"/>
        </w:tabs>
        <w:numPr>
          <w:ilvl w:val="0"/>
          <w:numId w:val="5"/>
        </w:numPr>
        <w:rPr>
          <w:rFonts w:ascii="Arial" w:cs="Arial" w:eastAsia="Arial" w:hAnsi="Arial"/>
          <w:sz w:val="22"/>
          <w:szCs w:val="22"/>
          <w:color w:val="auto"/>
        </w:rPr>
      </w:pPr>
      <w:r>
        <w:rPr>
          <w:rFonts w:ascii="Arial" w:cs="Arial" w:eastAsia="Arial" w:hAnsi="Arial"/>
          <w:sz w:val="22"/>
          <w:szCs w:val="22"/>
          <w:color w:val="auto"/>
        </w:rPr>
        <w:t>In June 2021, the FDA updated the REGEN-COV EUA by lowering the dose to 1,200 mg and permitting administration by subcutaneous injection when intravenous infusion is not feasible.</w:t>
      </w:r>
    </w:p>
    <w:p>
      <w:pPr>
        <w:spacing w:after="0" w:line="200" w:lineRule="exact"/>
        <w:rPr>
          <w:sz w:val="20"/>
          <w:szCs w:val="20"/>
          <w:color w:val="auto"/>
        </w:rPr>
      </w:pPr>
    </w:p>
    <w:p>
      <w:pPr>
        <w:spacing w:after="0" w:line="3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80"/>
          </w:cols>
          <w:pgMar w:left="320" w:top="890" w:right="499" w:bottom="1440" w:gutter="0" w:footer="0" w:header="0"/>
        </w:sectPr>
      </w:pPr>
    </w:p>
    <w:bookmarkStart w:id="5" w:name="page6"/>
    <w:bookmarkEnd w:id="5"/>
    <w:p>
      <w:pPr>
        <w:ind w:left="340" w:right="40" w:hanging="332"/>
        <w:spacing w:after="0" w:line="245" w:lineRule="auto"/>
        <w:tabs>
          <w:tab w:leader="none" w:pos="335" w:val="left"/>
        </w:tabs>
        <w:numPr>
          <w:ilvl w:val="0"/>
          <w:numId w:val="6"/>
        </w:numPr>
        <w:rPr>
          <w:rFonts w:ascii="Arial" w:cs="Arial" w:eastAsia="Arial" w:hAnsi="Arial"/>
          <w:sz w:val="22"/>
          <w:szCs w:val="22"/>
          <w:color w:val="auto"/>
        </w:rPr>
      </w:pPr>
      <w:r>
        <w:rPr>
          <w:rFonts w:ascii="Arial" w:cs="Arial" w:eastAsia="Arial" w:hAnsi="Arial"/>
          <w:sz w:val="22"/>
          <w:szCs w:val="22"/>
          <w:color w:val="auto"/>
        </w:rPr>
        <w:t xml:space="preserve">In July 2021, based on positive Phase 3 data announced in April 2021 which were recently published in the </w:t>
      </w:r>
      <w:r>
        <w:rPr>
          <w:rFonts w:ascii="Arial" w:cs="Arial" w:eastAsia="Arial" w:hAnsi="Arial"/>
          <w:sz w:val="22"/>
          <w:szCs w:val="22"/>
          <w:i w:val="1"/>
          <w:iCs w:val="1"/>
          <w:color w:val="auto"/>
        </w:rPr>
        <w:t>New</w:t>
      </w:r>
      <w:r>
        <w:rPr>
          <w:rFonts w:ascii="Arial" w:cs="Arial" w:eastAsia="Arial" w:hAnsi="Arial"/>
          <w:sz w:val="22"/>
          <w:szCs w:val="22"/>
          <w:color w:val="auto"/>
        </w:rPr>
        <w:t xml:space="preserve"> </w:t>
      </w:r>
      <w:r>
        <w:rPr>
          <w:rFonts w:ascii="Arial" w:cs="Arial" w:eastAsia="Arial" w:hAnsi="Arial"/>
          <w:sz w:val="22"/>
          <w:szCs w:val="22"/>
          <w:i w:val="1"/>
          <w:iCs w:val="1"/>
          <w:color w:val="auto"/>
        </w:rPr>
        <w:t>England Journal of Medicine</w:t>
      </w:r>
      <w:r>
        <w:rPr>
          <w:rFonts w:ascii="Arial" w:cs="Arial" w:eastAsia="Arial" w:hAnsi="Arial"/>
          <w:sz w:val="22"/>
          <w:szCs w:val="22"/>
          <w:color w:val="auto"/>
        </w:rPr>
        <w:t>, the FDA also expanded the EUA to include post-exposure prophylaxis in people at</w:t>
      </w:r>
      <w:r>
        <w:rPr>
          <w:rFonts w:ascii="Arial" w:cs="Arial" w:eastAsia="Arial" w:hAnsi="Arial"/>
          <w:sz w:val="22"/>
          <w:szCs w:val="22"/>
          <w:i w:val="1"/>
          <w:iCs w:val="1"/>
          <w:color w:val="auto"/>
        </w:rPr>
        <w:t xml:space="preserve"> </w:t>
      </w:r>
      <w:r>
        <w:rPr>
          <w:rFonts w:ascii="Arial" w:cs="Arial" w:eastAsia="Arial" w:hAnsi="Arial"/>
          <w:sz w:val="22"/>
          <w:szCs w:val="22"/>
          <w:color w:val="auto"/>
        </w:rPr>
        <w:t>high risk for progression to severe COVID-19, who are not fully vaccinated or are not expected to mount an adequate response to vaccination, and who have been exposed to a SARS-CoV-2 infected individual or are at high risk of exposure to an infected individual because of infection occurring in the same institutional setting (such as in nursing homes or prisons). For people who are not expected to mount an adequate immune response to vaccination, REGEN-COV can also now be administered monthly for the duration of ongoing exposure to SARS-CoV-2.</w:t>
      </w:r>
    </w:p>
    <w:p>
      <w:pPr>
        <w:spacing w:after="0" w:line="8" w:lineRule="exact"/>
        <w:rPr>
          <w:rFonts w:ascii="Arial" w:cs="Arial" w:eastAsia="Arial" w:hAnsi="Arial"/>
          <w:sz w:val="22"/>
          <w:szCs w:val="22"/>
          <w:color w:val="auto"/>
        </w:rPr>
      </w:pPr>
    </w:p>
    <w:p>
      <w:pPr>
        <w:jc w:val="both"/>
        <w:ind w:left="340" w:right="260" w:hanging="332"/>
        <w:spacing w:after="0" w:line="243" w:lineRule="auto"/>
        <w:tabs>
          <w:tab w:leader="none" w:pos="335" w:val="left"/>
        </w:tabs>
        <w:numPr>
          <w:ilvl w:val="0"/>
          <w:numId w:val="6"/>
        </w:numPr>
        <w:rPr>
          <w:rFonts w:ascii="Arial" w:cs="Arial" w:eastAsia="Arial" w:hAnsi="Arial"/>
          <w:sz w:val="22"/>
          <w:szCs w:val="22"/>
          <w:color w:val="auto"/>
        </w:rPr>
      </w:pPr>
      <w:r>
        <w:rPr>
          <w:rFonts w:ascii="Arial" w:cs="Arial" w:eastAsia="Arial" w:hAnsi="Arial"/>
          <w:sz w:val="22"/>
          <w:szCs w:val="22"/>
          <w:color w:val="auto"/>
        </w:rPr>
        <w:t>In July 2021, Japan's Ministry of Health, Labour and Welfare (MHLW) approved the casirivimab and imdevimab antibody cocktail to treat patients with mild to moderate COVID-19, making Japan the first country to grant a full approval for the antibody cocktail.</w:t>
      </w:r>
    </w:p>
    <w:p>
      <w:pPr>
        <w:spacing w:after="0" w:line="1" w:lineRule="exact"/>
        <w:rPr>
          <w:rFonts w:ascii="Arial" w:cs="Arial" w:eastAsia="Arial" w:hAnsi="Arial"/>
          <w:sz w:val="22"/>
          <w:szCs w:val="22"/>
          <w:color w:val="auto"/>
        </w:rPr>
      </w:pPr>
    </w:p>
    <w:p>
      <w:pPr>
        <w:ind w:left="340" w:right="20" w:hanging="332"/>
        <w:spacing w:after="0" w:line="244" w:lineRule="auto"/>
        <w:tabs>
          <w:tab w:leader="none" w:pos="335" w:val="left"/>
        </w:tabs>
        <w:numPr>
          <w:ilvl w:val="0"/>
          <w:numId w:val="6"/>
        </w:numPr>
        <w:rPr>
          <w:rFonts w:ascii="Arial" w:cs="Arial" w:eastAsia="Arial" w:hAnsi="Arial"/>
          <w:sz w:val="22"/>
          <w:szCs w:val="22"/>
          <w:color w:val="auto"/>
        </w:rPr>
      </w:pPr>
      <w:r>
        <w:rPr>
          <w:rFonts w:ascii="Arial" w:cs="Arial" w:eastAsia="Arial" w:hAnsi="Arial"/>
          <w:sz w:val="22"/>
          <w:szCs w:val="22"/>
          <w:color w:val="auto"/>
        </w:rPr>
        <w:t>Positive results were announced from the Phase 3 UK-based RECOVERY trial in hospitalized COVID-19 patients, demonstrating that adding REGEN-COV to usual care reduced the risk of death by 20% in seronegative patients (patients who had not mounted a natural antibody response on their own against SARS-CoV-2), compared to seronegative patients receiving usual care alone. The Company has requested that the EUA be further expanded to include appropriate hospitalized patients.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Libtayo</w:t>
      </w:r>
      <w:r>
        <w:rPr>
          <w:rFonts w:ascii="Arial" w:cs="Arial" w:eastAsia="Arial" w:hAnsi="Arial"/>
          <w:sz w:val="28"/>
          <w:szCs w:val="28"/>
          <w:i w:val="1"/>
          <w:iCs w:val="1"/>
          <w:color w:val="auto"/>
          <w:vertAlign w:val="superscript"/>
        </w:rPr>
        <w:t>®</w:t>
      </w:r>
      <w:r>
        <w:rPr>
          <w:rFonts w:ascii="Arial" w:cs="Arial" w:eastAsia="Arial" w:hAnsi="Arial"/>
          <w:sz w:val="22"/>
          <w:szCs w:val="22"/>
          <w:color w:val="auto"/>
        </w:rPr>
        <w:t xml:space="preserve"> (cemiplimab)</w:t>
      </w:r>
    </w:p>
    <w:p>
      <w:pPr>
        <w:ind w:left="340" w:right="800" w:hanging="332"/>
        <w:spacing w:after="0" w:line="243" w:lineRule="auto"/>
        <w:tabs>
          <w:tab w:leader="none" w:pos="335" w:val="left"/>
        </w:tabs>
        <w:numPr>
          <w:ilvl w:val="0"/>
          <w:numId w:val="7"/>
        </w:numPr>
        <w:rPr>
          <w:rFonts w:ascii="Arial" w:cs="Arial" w:eastAsia="Arial" w:hAnsi="Arial"/>
          <w:sz w:val="22"/>
          <w:szCs w:val="22"/>
          <w:color w:val="auto"/>
        </w:rPr>
      </w:pPr>
      <w:r>
        <w:rPr>
          <w:rFonts w:ascii="Arial" w:cs="Arial" w:eastAsia="Arial" w:hAnsi="Arial"/>
          <w:sz w:val="22"/>
          <w:szCs w:val="22"/>
          <w:color w:val="auto"/>
        </w:rPr>
        <w:t>In June 2021, the European Commission (EC) approved Libtayo for the first-line treatment of patients with advanced non-small cell lung cancer (NSCLC).</w:t>
      </w:r>
    </w:p>
    <w:p>
      <w:pPr>
        <w:ind w:left="340" w:right="900" w:hanging="332"/>
        <w:spacing w:after="0" w:line="243" w:lineRule="auto"/>
        <w:tabs>
          <w:tab w:leader="none" w:pos="335" w:val="left"/>
        </w:tabs>
        <w:numPr>
          <w:ilvl w:val="0"/>
          <w:numId w:val="7"/>
        </w:numPr>
        <w:rPr>
          <w:rFonts w:ascii="Arial" w:cs="Arial" w:eastAsia="Arial" w:hAnsi="Arial"/>
          <w:sz w:val="22"/>
          <w:szCs w:val="22"/>
          <w:color w:val="auto"/>
        </w:rPr>
      </w:pPr>
      <w:r>
        <w:rPr>
          <w:rFonts w:ascii="Arial" w:cs="Arial" w:eastAsia="Arial" w:hAnsi="Arial"/>
          <w:sz w:val="22"/>
          <w:szCs w:val="22"/>
          <w:color w:val="auto"/>
        </w:rPr>
        <w:t>In June 2021, the EC also approved Libtayo for the treatment of metastatic or locally advanced basal cell carcinoma (BCC).</w:t>
      </w:r>
    </w:p>
    <w:p>
      <w:pPr>
        <w:ind w:left="340" w:right="200" w:hanging="332"/>
        <w:spacing w:after="0" w:line="245" w:lineRule="auto"/>
        <w:tabs>
          <w:tab w:leader="none" w:pos="335" w:val="left"/>
        </w:tabs>
        <w:numPr>
          <w:ilvl w:val="0"/>
          <w:numId w:val="7"/>
        </w:numPr>
        <w:rPr>
          <w:rFonts w:ascii="Arial" w:cs="Arial" w:eastAsia="Arial" w:hAnsi="Arial"/>
          <w:sz w:val="22"/>
          <w:szCs w:val="22"/>
          <w:color w:val="auto"/>
        </w:rPr>
      </w:pPr>
      <w:r>
        <w:rPr>
          <w:rFonts w:ascii="Arial" w:cs="Arial" w:eastAsia="Arial" w:hAnsi="Arial"/>
          <w:sz w:val="22"/>
          <w:szCs w:val="22"/>
          <w:color w:val="auto"/>
        </w:rPr>
        <w:t>In August 2021, the Company and Sanofi announced that the Phase 3 trial of Libtayo in combination with platinum-doublet chemotherapy was stopped early after meeting its overall survival primary endpoint in patients with advanced NSCLC. These data are planned to form the basis of regulatory submissions in the United States and European Union (EU).</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Odronextamab</w:t>
      </w:r>
      <w:r>
        <w:rPr>
          <w:rFonts w:ascii="Arial" w:cs="Arial" w:eastAsia="Arial" w:hAnsi="Arial"/>
          <w:sz w:val="22"/>
          <w:szCs w:val="22"/>
          <w:color w:val="auto"/>
        </w:rPr>
        <w:t>, a CD20xCD3 bispecific antibody</w:t>
      </w:r>
    </w:p>
    <w:p>
      <w:pPr>
        <w:spacing w:after="0" w:line="4" w:lineRule="exact"/>
        <w:rPr>
          <w:sz w:val="20"/>
          <w:szCs w:val="20"/>
          <w:color w:val="auto"/>
        </w:rPr>
      </w:pPr>
    </w:p>
    <w:p>
      <w:pPr>
        <w:ind w:left="340" w:hanging="332"/>
        <w:spacing w:after="0" w:line="246" w:lineRule="auto"/>
        <w:tabs>
          <w:tab w:leader="none" w:pos="335"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Company is resuming enrollment of patients with follicular lymphoma (FL) and diffuse large B-cell lymphoma (DLBCL), following amendment of trial protocols and the FDA's lifting of the partial clinical hold, in its monotherapy trials of odronextamab.</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Fianlimab</w:t>
      </w:r>
      <w:r>
        <w:rPr>
          <w:rFonts w:ascii="Arial" w:cs="Arial" w:eastAsia="Arial" w:hAnsi="Arial"/>
          <w:sz w:val="22"/>
          <w:szCs w:val="22"/>
          <w:color w:val="auto"/>
        </w:rPr>
        <w:t>, an antibody to LAG-3</w:t>
      </w:r>
    </w:p>
    <w:p>
      <w:pPr>
        <w:spacing w:after="0" w:line="4" w:lineRule="exact"/>
        <w:rPr>
          <w:sz w:val="20"/>
          <w:szCs w:val="20"/>
          <w:color w:val="auto"/>
        </w:rPr>
      </w:pPr>
    </w:p>
    <w:p>
      <w:pPr>
        <w:ind w:left="340" w:right="160" w:hanging="332"/>
        <w:spacing w:after="0" w:line="246" w:lineRule="auto"/>
        <w:tabs>
          <w:tab w:leader="none" w:pos="335" w:val="left"/>
        </w:tabs>
        <w:numPr>
          <w:ilvl w:val="0"/>
          <w:numId w:val="9"/>
        </w:numPr>
        <w:rPr>
          <w:rFonts w:ascii="Arial" w:cs="Arial" w:eastAsia="Arial" w:hAnsi="Arial"/>
          <w:sz w:val="22"/>
          <w:szCs w:val="22"/>
          <w:color w:val="auto"/>
        </w:rPr>
      </w:pPr>
      <w:r>
        <w:rPr>
          <w:rFonts w:ascii="Arial" w:cs="Arial" w:eastAsia="Arial" w:hAnsi="Arial"/>
          <w:sz w:val="22"/>
          <w:szCs w:val="22"/>
          <w:color w:val="auto"/>
        </w:rPr>
        <w:t>Positive data from the Phase 1 trial in combination with Libtayo in advanced melanoma were presented at the American Society of Clinical Oncology (ASCO) Annual Meeting; the Company intends to initiate a Phase 3 study in 2022.</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REGN1908-1909</w:t>
      </w:r>
      <w:r>
        <w:rPr>
          <w:rFonts w:ascii="Arial" w:cs="Arial" w:eastAsia="Arial" w:hAnsi="Arial"/>
          <w:sz w:val="22"/>
          <w:szCs w:val="22"/>
          <w:color w:val="auto"/>
        </w:rPr>
        <w:t>, a multi-antibody therapy to Fel d 1</w:t>
      </w:r>
    </w:p>
    <w:p>
      <w:pPr>
        <w:spacing w:after="0" w:line="4"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The Company initiated a Phase 3 study in cat allergic asthmatics.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894" w:right="359" w:bottom="1440" w:gutter="0" w:footer="0" w:header="0"/>
        </w:sectPr>
      </w:pPr>
    </w:p>
    <w:bookmarkStart w:id="6" w:name="page7"/>
    <w:bookmarkEnd w:id="6"/>
    <w:p>
      <w:pPr>
        <w:spacing w:after="0"/>
        <w:rPr>
          <w:sz w:val="20"/>
          <w:szCs w:val="20"/>
          <w:color w:val="auto"/>
        </w:rPr>
      </w:pPr>
      <w:r>
        <w:rPr>
          <w:rFonts w:ascii="Arial" w:cs="Arial" w:eastAsia="Arial" w:hAnsi="Arial"/>
          <w:sz w:val="22"/>
          <w:szCs w:val="22"/>
          <w:u w:val="single" w:color="auto"/>
          <w:color w:val="auto"/>
        </w:rPr>
        <w:t>Genetics Medicines</w:t>
      </w:r>
    </w:p>
    <w:p>
      <w:pPr>
        <w:spacing w:after="0" w:line="4" w:lineRule="exact"/>
        <w:rPr>
          <w:sz w:val="20"/>
          <w:szCs w:val="20"/>
          <w:color w:val="auto"/>
        </w:rPr>
      </w:pPr>
    </w:p>
    <w:p>
      <w:pPr>
        <w:ind w:left="340" w:hanging="332"/>
        <w:spacing w:after="0"/>
        <w:tabs>
          <w:tab w:leader="none" w:pos="335" w:val="left"/>
        </w:tabs>
        <w:numPr>
          <w:ilvl w:val="0"/>
          <w:numId w:val="11"/>
        </w:numPr>
        <w:rPr>
          <w:rFonts w:ascii="Arial" w:cs="Arial" w:eastAsia="Arial" w:hAnsi="Arial"/>
          <w:sz w:val="22"/>
          <w:szCs w:val="22"/>
          <w:color w:val="auto"/>
        </w:rPr>
      </w:pPr>
      <w:r>
        <w:rPr>
          <w:rFonts w:ascii="Arial" w:cs="Arial" w:eastAsia="Arial" w:hAnsi="Arial"/>
          <w:sz w:val="22"/>
          <w:szCs w:val="22"/>
          <w:color w:val="auto"/>
        </w:rPr>
        <w:t xml:space="preserve">Intellia Therapeutics, Inc. and the Company announced positive interim data from the Phase 1 study of NTLA-2001, a CRISPR/Cas9 therapeutic for </w:t>
      </w:r>
      <w:r>
        <w:rPr>
          <w:rFonts w:ascii="Arial" w:cs="Arial" w:eastAsia="Arial" w:hAnsi="Arial"/>
          <w:sz w:val="22"/>
          <w:szCs w:val="22"/>
          <w:i w:val="1"/>
          <w:iCs w:val="1"/>
          <w:color w:val="auto"/>
        </w:rPr>
        <w:t>TTR</w:t>
      </w:r>
      <w:r>
        <w:rPr>
          <w:rFonts w:ascii="Arial" w:cs="Arial" w:eastAsia="Arial" w:hAnsi="Arial"/>
          <w:sz w:val="22"/>
          <w:szCs w:val="22"/>
          <w:color w:val="auto"/>
        </w:rPr>
        <w:t xml:space="preserve"> gene knockout in people living with hereditary transthyretin amyloidosis with polyneuropathy (ATTRv-PN). These are the first-ever clinical data supporting safety and efficacy of </w:t>
      </w:r>
      <w:r>
        <w:rPr>
          <w:rFonts w:ascii="Arial" w:cs="Arial" w:eastAsia="Arial" w:hAnsi="Arial"/>
          <w:sz w:val="22"/>
          <w:szCs w:val="22"/>
          <w:i w:val="1"/>
          <w:iCs w:val="1"/>
          <w:color w:val="auto"/>
        </w:rPr>
        <w:t>in vivo</w:t>
      </w:r>
      <w:r>
        <w:rPr>
          <w:rFonts w:ascii="Arial" w:cs="Arial" w:eastAsia="Arial" w:hAnsi="Arial"/>
          <w:sz w:val="22"/>
          <w:szCs w:val="22"/>
          <w:color w:val="auto"/>
        </w:rPr>
        <w:t xml:space="preserve"> CRISPR genome editing in humans and provide proof of concept for the ongoing multi-target collaboration between the companies.</w:t>
      </w:r>
    </w:p>
    <w:p>
      <w:pPr>
        <w:spacing w:after="0" w:line="4" w:lineRule="exact"/>
        <w:rPr>
          <w:rFonts w:ascii="Arial" w:cs="Arial" w:eastAsia="Arial" w:hAnsi="Arial"/>
          <w:sz w:val="22"/>
          <w:szCs w:val="22"/>
          <w:color w:val="auto"/>
        </w:rPr>
      </w:pPr>
    </w:p>
    <w:p>
      <w:pPr>
        <w:ind w:left="340" w:hanging="332"/>
        <w:spacing w:after="0" w:line="238" w:lineRule="auto"/>
        <w:tabs>
          <w:tab w:leader="none" w:pos="335" w:val="left"/>
        </w:tabs>
        <w:numPr>
          <w:ilvl w:val="0"/>
          <w:numId w:val="11"/>
        </w:numPr>
        <w:rPr>
          <w:rFonts w:ascii="Arial" w:cs="Arial" w:eastAsia="Arial" w:hAnsi="Arial"/>
          <w:sz w:val="21"/>
          <w:szCs w:val="21"/>
          <w:color w:val="auto"/>
        </w:rPr>
      </w:pPr>
      <w:r>
        <w:rPr>
          <w:rFonts w:ascii="Arial" w:cs="Arial" w:eastAsia="Arial" w:hAnsi="Arial"/>
          <w:sz w:val="21"/>
          <w:szCs w:val="21"/>
          <w:color w:val="auto"/>
        </w:rPr>
        <w:t xml:space="preserve">The Regeneron Genetics Center published their discovery of </w:t>
      </w:r>
      <w:r>
        <w:rPr>
          <w:rFonts w:ascii="Arial" w:cs="Arial" w:eastAsia="Arial" w:hAnsi="Arial"/>
          <w:sz w:val="21"/>
          <w:szCs w:val="21"/>
          <w:i w:val="1"/>
          <w:iCs w:val="1"/>
          <w:color w:val="auto"/>
        </w:rPr>
        <w:t>GPR75</w:t>
      </w:r>
      <w:r>
        <w:rPr>
          <w:rFonts w:ascii="Arial" w:cs="Arial" w:eastAsia="Arial" w:hAnsi="Arial"/>
          <w:sz w:val="21"/>
          <w:szCs w:val="21"/>
          <w:color w:val="auto"/>
        </w:rPr>
        <w:t xml:space="preserve"> gene mutations that protect against obesity. This target is the focus of a small molecule collaboration agreement with AstraZeneca announced in July 2021, under which the companies will equally share research and development costs and any potential future profits.</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Corporate Updates</w:t>
      </w:r>
    </w:p>
    <w:p>
      <w:pPr>
        <w:spacing w:after="0" w:line="30" w:lineRule="exact"/>
        <w:rPr>
          <w:sz w:val="20"/>
          <w:szCs w:val="20"/>
          <w:color w:val="auto"/>
        </w:rPr>
      </w:pPr>
    </w:p>
    <w:p>
      <w:pPr>
        <w:ind w:right="980"/>
        <w:spacing w:after="0" w:line="249" w:lineRule="auto"/>
        <w:rPr>
          <w:sz w:val="20"/>
          <w:szCs w:val="20"/>
          <w:color w:val="auto"/>
        </w:rPr>
      </w:pPr>
      <w:r>
        <w:rPr>
          <w:rFonts w:ascii="Arial" w:cs="Arial" w:eastAsia="Arial" w:hAnsi="Arial"/>
          <w:sz w:val="22"/>
          <w:szCs w:val="22"/>
          <w:color w:val="auto"/>
        </w:rPr>
        <w:t>The Company intends to invest approximately $1.8 billion over six years to expand its research, preclinical manufacturing, and support facilities at the Company's Tarrytown, New York campus.</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Second Quarter 2021 Financial Results</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Revenues</w:t>
      </w:r>
    </w:p>
    <w:p>
      <w:pPr>
        <w:spacing w:after="0" w:line="165"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Total revenues increased by 163% to $5.139 billion in the second quarter of 2021, compared to $1.952 billion in the second quarter of 2020. Total revenues excluding (i) REGEN-COV (casirivimab and imdevimab) net product sales in the United States and (ii) the Company's share of gross profits in connection with Roche's sales of casirivimab and imdevimab outside the United States, increased by 22% to $2.379 billion in the second quarter of 2021, compared to the second quarter of 2020</w:t>
      </w:r>
      <w:r>
        <w:rPr>
          <w:rFonts w:ascii="Arial" w:cs="Arial" w:eastAsia="Arial" w:hAnsi="Arial"/>
          <w:sz w:val="28"/>
          <w:szCs w:val="28"/>
          <w:color w:val="auto"/>
          <w:vertAlign w:val="superscript"/>
        </w:rPr>
        <w:t>(1)</w:t>
      </w:r>
      <w:r>
        <w:rPr>
          <w:rFonts w:ascii="Arial" w:cs="Arial" w:eastAsia="Arial" w:hAnsi="Arial"/>
          <w:sz w:val="22"/>
          <w:szCs w:val="22"/>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22"/>
          <w:szCs w:val="22"/>
          <w:color w:val="auto"/>
        </w:rPr>
        <w:t>Net product sales recorded by the Company consist of the following:</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94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240" w:type="dxa"/>
            <w:vAlign w:val="bottom"/>
          </w:tcPr>
          <w:p>
            <w:pPr>
              <w:spacing w:after="0"/>
              <w:rPr>
                <w:sz w:val="22"/>
                <w:szCs w:val="22"/>
                <w:color w:val="auto"/>
              </w:rPr>
            </w:pPr>
          </w:p>
        </w:tc>
        <w:tc>
          <w:tcPr>
            <w:tcW w:w="1300" w:type="dxa"/>
            <w:vAlign w:val="bottom"/>
            <w:gridSpan w:val="2"/>
          </w:tcPr>
          <w:p>
            <w:pPr>
              <w:ind w:left="100"/>
              <w:spacing w:after="0"/>
              <w:rPr>
                <w:sz w:val="20"/>
                <w:szCs w:val="20"/>
                <w:color w:val="auto"/>
              </w:rPr>
            </w:pPr>
            <w:r>
              <w:rPr>
                <w:rFonts w:ascii="Arial" w:cs="Arial" w:eastAsia="Arial" w:hAnsi="Arial"/>
                <w:sz w:val="20"/>
                <w:szCs w:val="20"/>
                <w:b w:val="1"/>
                <w:bCs w:val="1"/>
                <w:color w:val="auto"/>
              </w:rPr>
              <w:t>Q2 2021</w:t>
            </w:r>
          </w:p>
        </w:tc>
        <w:tc>
          <w:tcPr>
            <w:tcW w:w="200" w:type="dxa"/>
            <w:vAlign w:val="bottom"/>
          </w:tcPr>
          <w:p>
            <w:pPr>
              <w:spacing w:after="0"/>
              <w:rPr>
                <w:sz w:val="22"/>
                <w:szCs w:val="22"/>
                <w:color w:val="auto"/>
              </w:rPr>
            </w:pPr>
          </w:p>
        </w:tc>
        <w:tc>
          <w:tcPr>
            <w:tcW w:w="1140" w:type="dxa"/>
            <w:vAlign w:val="bottom"/>
          </w:tcPr>
          <w:p>
            <w:pPr>
              <w:jc w:val="right"/>
              <w:ind w:right="201"/>
              <w:spacing w:after="0"/>
              <w:rPr>
                <w:sz w:val="20"/>
                <w:szCs w:val="20"/>
                <w:color w:val="auto"/>
              </w:rPr>
            </w:pPr>
            <w:r>
              <w:rPr>
                <w:rFonts w:ascii="Arial" w:cs="Arial" w:eastAsia="Arial" w:hAnsi="Arial"/>
                <w:sz w:val="20"/>
                <w:szCs w:val="20"/>
                <w:b w:val="1"/>
                <w:bCs w:val="1"/>
                <w:color w:val="auto"/>
              </w:rPr>
              <w:t>Q2 2020</w:t>
            </w:r>
          </w:p>
        </w:tc>
      </w:tr>
      <w:tr>
        <w:trPr>
          <w:trHeight w:val="237"/>
        </w:trPr>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EYLEA</w:t>
            </w:r>
          </w:p>
        </w:tc>
        <w:tc>
          <w:tcPr>
            <w:tcW w:w="2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118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rPr>
              <w:t>1,425</w:t>
            </w:r>
          </w:p>
        </w:tc>
        <w:tc>
          <w:tcPr>
            <w:tcW w:w="1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1,114</w:t>
            </w:r>
          </w:p>
        </w:tc>
      </w:tr>
      <w:tr>
        <w:trPr>
          <w:trHeight w:val="243"/>
        </w:trPr>
        <w:tc>
          <w:tcPr>
            <w:tcW w:w="3940" w:type="dxa"/>
            <w:vAlign w:val="bottom"/>
          </w:tcPr>
          <w:p>
            <w:pPr>
              <w:ind w:left="20"/>
              <w:spacing w:after="0"/>
              <w:rPr>
                <w:sz w:val="20"/>
                <w:szCs w:val="20"/>
                <w:color w:val="auto"/>
              </w:rPr>
            </w:pPr>
            <w:r>
              <w:rPr>
                <w:rFonts w:ascii="Arial" w:cs="Arial" w:eastAsia="Arial" w:hAnsi="Arial"/>
                <w:sz w:val="20"/>
                <w:szCs w:val="20"/>
                <w:color w:val="auto"/>
              </w:rPr>
              <w:t>Libtayo</w:t>
            </w:r>
          </w:p>
        </w:tc>
        <w:tc>
          <w:tcPr>
            <w:tcW w:w="240" w:type="dxa"/>
            <w:vAlign w:val="bottom"/>
          </w:tcPr>
          <w:p>
            <w:pPr>
              <w:spacing w:after="0"/>
              <w:rPr>
                <w:sz w:val="21"/>
                <w:szCs w:val="21"/>
                <w:color w:val="auto"/>
              </w:rPr>
            </w:pPr>
          </w:p>
        </w:tc>
        <w:tc>
          <w:tcPr>
            <w:tcW w:w="1180" w:type="dxa"/>
            <w:vAlign w:val="bottom"/>
          </w:tcPr>
          <w:p>
            <w:pPr>
              <w:jc w:val="right"/>
              <w:ind w:right="61"/>
              <w:spacing w:after="0"/>
              <w:rPr>
                <w:sz w:val="20"/>
                <w:szCs w:val="20"/>
                <w:color w:val="auto"/>
              </w:rPr>
            </w:pPr>
            <w:r>
              <w:rPr>
                <w:rFonts w:ascii="Arial" w:cs="Arial" w:eastAsia="Arial" w:hAnsi="Arial"/>
                <w:sz w:val="20"/>
                <w:szCs w:val="20"/>
                <w:color w:val="auto"/>
              </w:rPr>
              <w:t>78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63</w:t>
            </w:r>
          </w:p>
        </w:tc>
      </w:tr>
      <w:tr>
        <w:trPr>
          <w:trHeight w:val="243"/>
        </w:trPr>
        <w:tc>
          <w:tcPr>
            <w:tcW w:w="3940" w:type="dxa"/>
            <w:vAlign w:val="bottom"/>
            <w:shd w:val="clear" w:color="auto" w:fill="CCEEFF"/>
          </w:tcPr>
          <w:p>
            <w:pPr>
              <w:ind w:left="20"/>
              <w:spacing w:after="0" w:line="242" w:lineRule="exact"/>
              <w:rPr>
                <w:sz w:val="20"/>
                <w:szCs w:val="20"/>
                <w:color w:val="auto"/>
              </w:rPr>
            </w:pPr>
            <w:r>
              <w:rPr>
                <w:rFonts w:ascii="Arial" w:cs="Arial" w:eastAsia="Arial" w:hAnsi="Arial"/>
                <w:sz w:val="20"/>
                <w:szCs w:val="20"/>
                <w:color w:val="auto"/>
              </w:rPr>
              <w:t>Praluent</w:t>
            </w:r>
            <w:r>
              <w:rPr>
                <w:rFonts w:ascii="Arial" w:cs="Arial" w:eastAsia="Arial" w:hAnsi="Arial"/>
                <w:sz w:val="25"/>
                <w:szCs w:val="25"/>
                <w:color w:val="auto"/>
                <w:vertAlign w:val="superscript"/>
              </w:rPr>
              <w:t>®</w:t>
            </w: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rPr>
              <w:t>42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47</w:t>
            </w:r>
          </w:p>
        </w:tc>
      </w:tr>
      <w:tr>
        <w:trPr>
          <w:trHeight w:val="243"/>
        </w:trPr>
        <w:tc>
          <w:tcPr>
            <w:tcW w:w="3940" w:type="dxa"/>
            <w:vAlign w:val="bottom"/>
          </w:tcPr>
          <w:p>
            <w:pPr>
              <w:ind w:left="20"/>
              <w:spacing w:after="0"/>
              <w:rPr>
                <w:sz w:val="20"/>
                <w:szCs w:val="20"/>
                <w:color w:val="auto"/>
              </w:rPr>
            </w:pPr>
            <w:r>
              <w:rPr>
                <w:rFonts w:ascii="Arial" w:cs="Arial" w:eastAsia="Arial" w:hAnsi="Arial"/>
                <w:sz w:val="20"/>
                <w:szCs w:val="20"/>
                <w:color w:val="auto"/>
              </w:rPr>
              <w:t>REGEN-COV</w:t>
            </w:r>
          </w:p>
        </w:tc>
        <w:tc>
          <w:tcPr>
            <w:tcW w:w="240" w:type="dxa"/>
            <w:vAlign w:val="bottom"/>
          </w:tcPr>
          <w:p>
            <w:pPr>
              <w:spacing w:after="0"/>
              <w:rPr>
                <w:sz w:val="21"/>
                <w:szCs w:val="21"/>
                <w:color w:val="auto"/>
              </w:rPr>
            </w:pPr>
          </w:p>
        </w:tc>
        <w:tc>
          <w:tcPr>
            <w:tcW w:w="1180" w:type="dxa"/>
            <w:vAlign w:val="bottom"/>
          </w:tcPr>
          <w:p>
            <w:pPr>
              <w:jc w:val="right"/>
              <w:ind w:right="61"/>
              <w:spacing w:after="0"/>
              <w:rPr>
                <w:sz w:val="20"/>
                <w:szCs w:val="20"/>
                <w:color w:val="auto"/>
              </w:rPr>
            </w:pPr>
            <w:r>
              <w:rPr>
                <w:rFonts w:ascii="Arial" w:cs="Arial" w:eastAsia="Arial" w:hAnsi="Arial"/>
                <w:sz w:val="20"/>
                <w:szCs w:val="20"/>
                <w:color w:val="auto"/>
              </w:rPr>
              <w:t>2,591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43"/>
        </w:trPr>
        <w:tc>
          <w:tcPr>
            <w:tcW w:w="3940" w:type="dxa"/>
            <w:vAlign w:val="bottom"/>
            <w:shd w:val="clear" w:color="auto" w:fill="CCEEFF"/>
          </w:tcPr>
          <w:p>
            <w:pPr>
              <w:ind w:left="20"/>
              <w:spacing w:after="0" w:line="243" w:lineRule="exact"/>
              <w:rPr>
                <w:sz w:val="20"/>
                <w:szCs w:val="20"/>
                <w:color w:val="auto"/>
              </w:rPr>
            </w:pPr>
            <w:r>
              <w:rPr>
                <w:rFonts w:ascii="Arial" w:cs="Arial" w:eastAsia="Arial" w:hAnsi="Arial"/>
                <w:sz w:val="20"/>
                <w:szCs w:val="20"/>
                <w:color w:val="auto"/>
              </w:rPr>
              <w:t>Evkeeza</w:t>
            </w:r>
            <w:r>
              <w:rPr>
                <w:rFonts w:ascii="Arial" w:cs="Arial" w:eastAsia="Arial" w:hAnsi="Arial"/>
                <w:sz w:val="28"/>
                <w:szCs w:val="28"/>
                <w:b w:val="1"/>
                <w:bCs w:val="1"/>
                <w:color w:val="auto"/>
                <w:vertAlign w:val="superscript"/>
              </w:rPr>
              <w:t>®</w:t>
            </w: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rPr>
              <w:t>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43"/>
        </w:trPr>
        <w:tc>
          <w:tcPr>
            <w:tcW w:w="3940" w:type="dxa"/>
            <w:vAlign w:val="bottom"/>
          </w:tcPr>
          <w:p>
            <w:pPr>
              <w:ind w:left="20"/>
              <w:spacing w:after="0" w:line="242" w:lineRule="exact"/>
              <w:rPr>
                <w:sz w:val="20"/>
                <w:szCs w:val="20"/>
                <w:color w:val="auto"/>
              </w:rPr>
            </w:pPr>
            <w:r>
              <w:rPr>
                <w:rFonts w:ascii="Arial" w:cs="Arial" w:eastAsia="Arial" w:hAnsi="Arial"/>
                <w:sz w:val="20"/>
                <w:szCs w:val="20"/>
                <w:color w:val="auto"/>
              </w:rPr>
              <w:t>ARCALYST</w:t>
            </w:r>
            <w:r>
              <w:rPr>
                <w:rFonts w:ascii="Arial" w:cs="Arial" w:eastAsia="Arial" w:hAnsi="Arial"/>
                <w:sz w:val="25"/>
                <w:szCs w:val="25"/>
                <w:color w:val="auto"/>
                <w:vertAlign w:val="superscript"/>
              </w:rPr>
              <w:t>®</w:t>
            </w:r>
          </w:p>
        </w:tc>
        <w:tc>
          <w:tcPr>
            <w:tcW w:w="240" w:type="dxa"/>
            <w:vAlign w:val="bottom"/>
          </w:tcPr>
          <w:p>
            <w:pPr>
              <w:spacing w:after="0"/>
              <w:rPr>
                <w:sz w:val="21"/>
                <w:szCs w:val="21"/>
                <w:color w:val="auto"/>
              </w:rPr>
            </w:pPr>
          </w:p>
        </w:tc>
        <w:tc>
          <w:tcPr>
            <w:tcW w:w="1300" w:type="dxa"/>
            <w:vAlign w:val="bottom"/>
            <w:gridSpan w:val="2"/>
          </w:tcPr>
          <w:p>
            <w:pPr>
              <w:ind w:left="820"/>
              <w:spacing w:after="0"/>
              <w:rPr>
                <w:sz w:val="20"/>
                <w:szCs w:val="20"/>
                <w:color w:val="auto"/>
              </w:rPr>
            </w:pPr>
            <w:r>
              <w:rPr>
                <w:rFonts w:ascii="Arial" w:cs="Arial" w:eastAsia="Arial" w:hAnsi="Arial"/>
                <w:sz w:val="20"/>
                <w:szCs w:val="20"/>
                <w:color w:val="auto"/>
              </w:rPr>
              <w:t>— *</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62"/>
        </w:trPr>
        <w:tc>
          <w:tcPr>
            <w:tcW w:w="39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20"/>
                <w:szCs w:val="20"/>
                <w:color w:val="auto"/>
              </w:rPr>
              <w:t>Total net product sales in the U.S.</w:t>
            </w:r>
          </w:p>
        </w:tc>
        <w:tc>
          <w:tcPr>
            <w:tcW w:w="2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118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rPr>
              <w:t>4,138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1,227</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ind w:left="240" w:right="4560" w:firstLine="2"/>
        <w:spacing w:after="0" w:line="216" w:lineRule="auto"/>
        <w:tabs>
          <w:tab w:leader="none" w:pos="355" w:val="left"/>
        </w:tabs>
        <w:numPr>
          <w:ilvl w:val="0"/>
          <w:numId w:val="12"/>
        </w:numPr>
        <w:rPr>
          <w:rFonts w:ascii="Arial" w:cs="Arial" w:eastAsia="Arial" w:hAnsi="Arial"/>
          <w:sz w:val="18"/>
          <w:szCs w:val="18"/>
          <w:color w:val="auto"/>
        </w:rPr>
      </w:pPr>
      <w:r>
        <w:rPr>
          <w:rFonts w:ascii="Arial" w:cs="Arial" w:eastAsia="Arial" w:hAnsi="Arial"/>
          <w:sz w:val="16"/>
          <w:szCs w:val="16"/>
          <w:color w:val="auto"/>
        </w:rPr>
        <w:t>Effective April 1, 2021, Kiniksa records net product sales of ARCALYST in the United States. Previously, the Company recorded net product sales of ARCALYST in the United States.</w:t>
      </w:r>
    </w:p>
    <w:p>
      <w:pPr>
        <w:spacing w:after="0" w:line="257" w:lineRule="exact"/>
        <w:rPr>
          <w:sz w:val="20"/>
          <w:szCs w:val="20"/>
          <w:color w:val="auto"/>
        </w:rPr>
      </w:pPr>
    </w:p>
    <w:p>
      <w:pPr>
        <w:ind w:right="60"/>
        <w:spacing w:after="0" w:line="246" w:lineRule="auto"/>
        <w:rPr>
          <w:sz w:val="20"/>
          <w:szCs w:val="20"/>
          <w:color w:val="auto"/>
        </w:rPr>
      </w:pPr>
      <w:r>
        <w:rPr>
          <w:rFonts w:ascii="Arial" w:cs="Arial" w:eastAsia="Arial" w:hAnsi="Arial"/>
          <w:sz w:val="22"/>
          <w:szCs w:val="22"/>
          <w:color w:val="auto"/>
        </w:rPr>
        <w:t>Net product sales of EYLEA in the United States increased in the second quarter of 2021, compared to the second quarter of 2020, primarily due to higher sales volume as well as a favorable comparison given the adverse impact of the COVID-19 pandemic on U.S. EYLEA demand during the second quarter of 2020.</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916" w:right="459" w:bottom="1440" w:gutter="0" w:footer="0" w:header="0"/>
        </w:sectPr>
      </w:pPr>
    </w:p>
    <w:bookmarkStart w:id="7" w:name="page8"/>
    <w:bookmarkEnd w:id="7"/>
    <w:p>
      <w:pPr>
        <w:ind w:right="240"/>
        <w:spacing w:after="0" w:line="244" w:lineRule="auto"/>
        <w:rPr>
          <w:sz w:val="20"/>
          <w:szCs w:val="20"/>
          <w:color w:val="auto"/>
        </w:rPr>
      </w:pPr>
      <w:r>
        <w:rPr>
          <w:rFonts w:ascii="Arial" w:cs="Arial" w:eastAsia="Arial" w:hAnsi="Arial"/>
          <w:sz w:val="22"/>
          <w:szCs w:val="22"/>
          <w:color w:val="auto"/>
        </w:rPr>
        <w:t>The Company fulfilled its second agreement with the U.S. government and delivered 1.25 million doses of REGEN-COV. Other than $34 million of expected REGEN-COV net product sales in the third quarter of 2021 related to this agreement, the Company does not anticipate recording any additional net product sales of REGEN-COV in the United States during the third quarter of 2021. U.S. net product sales of REGEN-COV in the fourth quarter of 2021 will be dependent upon acceleration of COVID-19 cases and related drug utilization.</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color w:val="auto"/>
        </w:rPr>
        <w:t>Total revenues also include collaboration revenues</w:t>
      </w:r>
      <w:r>
        <w:rPr>
          <w:rFonts w:ascii="Arial" w:cs="Arial" w:eastAsia="Arial" w:hAnsi="Arial"/>
          <w:sz w:val="12"/>
          <w:szCs w:val="12"/>
          <w:color w:val="auto"/>
        </w:rPr>
        <w:t>(3)</w:t>
      </w:r>
      <w:r>
        <w:rPr>
          <w:rFonts w:ascii="Arial" w:cs="Arial" w:eastAsia="Arial" w:hAnsi="Arial"/>
          <w:sz w:val="20"/>
          <w:szCs w:val="20"/>
          <w:color w:val="auto"/>
        </w:rPr>
        <w:t xml:space="preserve"> of $955 million in the second quarter of 2021, compared to $513</w:t>
      </w:r>
    </w:p>
    <w:p>
      <w:pPr>
        <w:spacing w:after="0" w:line="27" w:lineRule="exact"/>
        <w:rPr>
          <w:sz w:val="20"/>
          <w:szCs w:val="20"/>
          <w:color w:val="auto"/>
        </w:rPr>
      </w:pPr>
    </w:p>
    <w:p>
      <w:pPr>
        <w:spacing w:after="0"/>
        <w:rPr>
          <w:sz w:val="20"/>
          <w:szCs w:val="20"/>
          <w:color w:val="auto"/>
        </w:rPr>
      </w:pPr>
      <w:r>
        <w:rPr>
          <w:rFonts w:ascii="Arial" w:cs="Arial" w:eastAsia="Arial" w:hAnsi="Arial"/>
          <w:sz w:val="21"/>
          <w:szCs w:val="21"/>
          <w:color w:val="auto"/>
        </w:rPr>
        <w:t>million in the second quarter of 2020. Sanofi collaboration revenue increased primarily due to the Company's share of</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profits from commercialization of antibodies, which were $328 million in the second quarter of 2021, compared to</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$172 million in the second quarter of 2020. The change in the Company's share of profits from commercialization of</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antibodies was driven by higher Dupixent profits. In the second quarter of 2021, the Company also recorded Roche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collaboration revenue of $168 million in connection with the Company's share of gross profits from Roche's sales of</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the casirivimab and imdevimab antibody cocktail outside the United States</w:t>
      </w:r>
      <w:r>
        <w:rPr>
          <w:rFonts w:ascii="Arial" w:cs="Arial" w:eastAsia="Arial" w:hAnsi="Arial"/>
          <w:sz w:val="17"/>
          <w:szCs w:val="17"/>
          <w:color w:val="auto"/>
        </w:rPr>
        <w:t>.</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Refer to Table 4 for a summary of collaboration revenue.</w:t>
      </w:r>
    </w:p>
    <w:p>
      <w:pPr>
        <w:spacing w:after="0" w:line="152" w:lineRule="exact"/>
        <w:rPr>
          <w:sz w:val="20"/>
          <w:szCs w:val="20"/>
          <w:color w:val="auto"/>
        </w:rPr>
      </w:pPr>
    </w:p>
    <w:p>
      <w:pPr>
        <w:jc w:val="both"/>
        <w:ind w:right="240"/>
        <w:spacing w:after="0" w:line="245" w:lineRule="auto"/>
        <w:rPr>
          <w:sz w:val="20"/>
          <w:szCs w:val="20"/>
          <w:color w:val="auto"/>
        </w:rPr>
      </w:pPr>
      <w:r>
        <w:rPr>
          <w:rFonts w:ascii="Arial" w:cs="Arial" w:eastAsia="Arial" w:hAnsi="Arial"/>
          <w:sz w:val="22"/>
          <w:szCs w:val="22"/>
          <w:color w:val="auto"/>
        </w:rPr>
        <w:t>Other revenue decreased in the second quarter of 2021, compared to the second quarter of 2020, primarily due to lower amounts recognized in connection with the Company's agreements with the Biomedical Advanced Research Development Authority (BARDA) related to funding of certain development activities for antibodies for the treatment of COVID-19.</w:t>
      </w:r>
    </w:p>
    <w:p>
      <w:pPr>
        <w:spacing w:after="0" w:line="10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Operating Expenses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4"/>
          </w:tcPr>
          <w:p>
            <w:pPr>
              <w:jc w:val="right"/>
              <w:ind w:right="781"/>
              <w:spacing w:after="0"/>
              <w:rPr>
                <w:sz w:val="20"/>
                <w:szCs w:val="20"/>
                <w:color w:val="auto"/>
              </w:rPr>
            </w:pPr>
            <w:r>
              <w:rPr>
                <w:rFonts w:ascii="Arial" w:cs="Arial" w:eastAsia="Arial" w:hAnsi="Arial"/>
                <w:sz w:val="20"/>
                <w:szCs w:val="20"/>
                <w:b w:val="1"/>
                <w:bCs w:val="1"/>
                <w:color w:val="auto"/>
              </w:rPr>
              <w:t>GAAP</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4"/>
          </w:tcPr>
          <w:p>
            <w:pPr>
              <w:jc w:val="right"/>
              <w:ind w:right="461"/>
              <w:spacing w:after="0"/>
              <w:rPr>
                <w:sz w:val="20"/>
                <w:szCs w:val="20"/>
                <w:color w:val="auto"/>
              </w:rPr>
            </w:pPr>
            <w:r>
              <w:rPr>
                <w:rFonts w:ascii="Arial" w:cs="Arial" w:eastAsia="Arial" w:hAnsi="Arial"/>
                <w:sz w:val="20"/>
                <w:szCs w:val="20"/>
                <w:b w:val="1"/>
                <w:bCs w:val="1"/>
                <w:color w:val="auto"/>
              </w:rPr>
              <w:t>Non-GAAP</w:t>
            </w:r>
            <w:r>
              <w:rPr>
                <w:rFonts w:ascii="Arial" w:cs="Arial" w:eastAsia="Arial" w:hAnsi="Arial"/>
                <w:sz w:val="25"/>
                <w:szCs w:val="25"/>
                <w:b w:val="1"/>
                <w:bCs w:val="1"/>
                <w:color w:val="auto"/>
                <w:vertAlign w:val="superscript"/>
              </w:rPr>
              <w:t>(1)</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millions)</w:t>
            </w: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b w:val="1"/>
                <w:bCs w:val="1"/>
                <w:color w:val="auto"/>
                <w:w w:val="98"/>
              </w:rPr>
              <w:t>Q2 2021</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b w:val="1"/>
                <w:bCs w:val="1"/>
                <w:color w:val="auto"/>
                <w:w w:val="98"/>
              </w:rPr>
              <w:t>Q2 2020</w:t>
            </w:r>
          </w:p>
        </w:tc>
        <w:tc>
          <w:tcPr>
            <w:tcW w:w="10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 Change</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b w:val="1"/>
                <w:bCs w:val="1"/>
                <w:color w:val="auto"/>
                <w:w w:val="98"/>
              </w:rPr>
              <w:t>Q2 2021</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b w:val="1"/>
                <w:bCs w:val="1"/>
                <w:color w:val="auto"/>
                <w:w w:val="98"/>
              </w:rPr>
              <w:t>Q2 2020</w:t>
            </w:r>
          </w:p>
        </w:tc>
        <w:tc>
          <w:tcPr>
            <w:tcW w:w="10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 Change</w:t>
            </w:r>
          </w:p>
        </w:tc>
        <w:tc>
          <w:tcPr>
            <w:tcW w:w="0" w:type="dxa"/>
            <w:vAlign w:val="bottom"/>
          </w:tcPr>
          <w:p>
            <w:pPr>
              <w:spacing w:after="0"/>
              <w:rPr>
                <w:sz w:val="1"/>
                <w:szCs w:val="1"/>
                <w:color w:val="auto"/>
              </w:rPr>
            </w:pPr>
          </w:p>
        </w:tc>
      </w:tr>
      <w:tr>
        <w:trPr>
          <w:trHeight w:val="236"/>
        </w:trPr>
        <w:tc>
          <w:tcPr>
            <w:tcW w:w="4200" w:type="dxa"/>
            <w:vAlign w:val="bottom"/>
            <w:shd w:val="clear" w:color="auto" w:fill="CCEEFF"/>
          </w:tcPr>
          <w:p>
            <w:pPr>
              <w:ind w:left="20"/>
              <w:spacing w:after="0"/>
              <w:rPr>
                <w:sz w:val="20"/>
                <w:szCs w:val="20"/>
                <w:color w:val="auto"/>
              </w:rPr>
            </w:pPr>
            <w:r>
              <w:rPr>
                <w:rFonts w:ascii="Arial" w:cs="Arial" w:eastAsia="Arial" w:hAnsi="Arial"/>
                <w:sz w:val="20"/>
                <w:szCs w:val="20"/>
                <w:color w:val="auto"/>
              </w:rPr>
              <w:t>Research and development (R&amp;D)</w:t>
            </w: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714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722</w:t>
            </w:r>
          </w:p>
        </w:tc>
        <w:tc>
          <w:tcPr>
            <w:tcW w:w="1140" w:type="dxa"/>
            <w:vAlign w:val="bottom"/>
            <w:gridSpan w:val="2"/>
            <w:shd w:val="clear" w:color="auto" w:fill="CCEEFF"/>
          </w:tcPr>
          <w:p>
            <w:pPr>
              <w:jc w:val="right"/>
              <w:ind w:right="21"/>
              <w:spacing w:after="0"/>
              <w:rPr>
                <w:sz w:val="20"/>
                <w:szCs w:val="20"/>
                <w:color w:val="auto"/>
              </w:rPr>
            </w:pPr>
            <w:r>
              <w:rPr>
                <w:rFonts w:ascii="Arial" w:cs="Arial" w:eastAsia="Arial" w:hAnsi="Arial"/>
                <w:sz w:val="20"/>
                <w:szCs w:val="20"/>
                <w:color w:val="auto"/>
              </w:rPr>
              <w:t>(1%)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643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580</w:t>
            </w:r>
          </w:p>
        </w:tc>
        <w:tc>
          <w:tcPr>
            <w:tcW w:w="1160" w:type="dxa"/>
            <w:vAlign w:val="bottom"/>
            <w:gridSpan w:val="2"/>
            <w:shd w:val="clear" w:color="auto" w:fill="CCEEFF"/>
          </w:tcPr>
          <w:p>
            <w:pPr>
              <w:jc w:val="right"/>
              <w:ind w:right="21"/>
              <w:spacing w:after="0"/>
              <w:rPr>
                <w:sz w:val="20"/>
                <w:szCs w:val="20"/>
                <w:color w:val="auto"/>
              </w:rPr>
            </w:pPr>
            <w:r>
              <w:rPr>
                <w:rFonts w:ascii="Arial" w:cs="Arial" w:eastAsia="Arial" w:hAnsi="Arial"/>
                <w:sz w:val="20"/>
                <w:szCs w:val="20"/>
                <w:color w:val="auto"/>
              </w:rPr>
              <w:t>11%</w:t>
            </w:r>
          </w:p>
        </w:tc>
        <w:tc>
          <w:tcPr>
            <w:tcW w:w="0" w:type="dxa"/>
            <w:vAlign w:val="bottom"/>
          </w:tcPr>
          <w:p>
            <w:pPr>
              <w:spacing w:after="0"/>
              <w:rPr>
                <w:sz w:val="1"/>
                <w:szCs w:val="1"/>
                <w:color w:val="auto"/>
              </w:rPr>
            </w:pPr>
          </w:p>
        </w:tc>
      </w:tr>
      <w:tr>
        <w:trPr>
          <w:trHeight w:val="243"/>
        </w:trPr>
        <w:tc>
          <w:tcPr>
            <w:tcW w:w="4200" w:type="dxa"/>
            <w:vAlign w:val="bottom"/>
          </w:tcPr>
          <w:p>
            <w:pPr>
              <w:ind w:left="20"/>
              <w:spacing w:after="0"/>
              <w:rPr>
                <w:sz w:val="20"/>
                <w:szCs w:val="20"/>
                <w:color w:val="auto"/>
              </w:rPr>
            </w:pPr>
            <w:r>
              <w:rPr>
                <w:rFonts w:ascii="Arial" w:cs="Arial" w:eastAsia="Arial" w:hAnsi="Arial"/>
                <w:sz w:val="20"/>
                <w:szCs w:val="20"/>
                <w:color w:val="auto"/>
              </w:rPr>
              <w:t>Selling, general, and administrative (SG&amp;A)</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415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348</w:t>
            </w:r>
          </w:p>
        </w:tc>
        <w:tc>
          <w:tcPr>
            <w:tcW w:w="1140" w:type="dxa"/>
            <w:vAlign w:val="bottom"/>
            <w:gridSpan w:val="2"/>
          </w:tcPr>
          <w:p>
            <w:pPr>
              <w:jc w:val="right"/>
              <w:ind w:right="21"/>
              <w:spacing w:after="0"/>
              <w:rPr>
                <w:sz w:val="20"/>
                <w:szCs w:val="20"/>
                <w:color w:val="auto"/>
              </w:rPr>
            </w:pPr>
            <w:r>
              <w:rPr>
                <w:rFonts w:ascii="Arial" w:cs="Arial" w:eastAsia="Arial" w:hAnsi="Arial"/>
                <w:sz w:val="20"/>
                <w:szCs w:val="20"/>
                <w:color w:val="auto"/>
              </w:rPr>
              <w:t>19%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365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301</w:t>
            </w:r>
          </w:p>
        </w:tc>
        <w:tc>
          <w:tcPr>
            <w:tcW w:w="1160" w:type="dxa"/>
            <w:vAlign w:val="bottom"/>
            <w:gridSpan w:val="2"/>
          </w:tcPr>
          <w:p>
            <w:pPr>
              <w:jc w:val="right"/>
              <w:ind w:right="21"/>
              <w:spacing w:after="0"/>
              <w:rPr>
                <w:sz w:val="20"/>
                <w:szCs w:val="20"/>
                <w:color w:val="auto"/>
              </w:rPr>
            </w:pPr>
            <w:r>
              <w:rPr>
                <w:rFonts w:ascii="Arial" w:cs="Arial" w:eastAsia="Arial" w:hAnsi="Arial"/>
                <w:sz w:val="20"/>
                <w:szCs w:val="20"/>
                <w:color w:val="auto"/>
              </w:rPr>
              <w:t>21%</w:t>
            </w:r>
          </w:p>
        </w:tc>
        <w:tc>
          <w:tcPr>
            <w:tcW w:w="0" w:type="dxa"/>
            <w:vAlign w:val="bottom"/>
          </w:tcPr>
          <w:p>
            <w:pPr>
              <w:spacing w:after="0"/>
              <w:rPr>
                <w:sz w:val="1"/>
                <w:szCs w:val="1"/>
                <w:color w:val="auto"/>
              </w:rPr>
            </w:pPr>
          </w:p>
        </w:tc>
      </w:tr>
      <w:tr>
        <w:trPr>
          <w:trHeight w:val="243"/>
        </w:trPr>
        <w:tc>
          <w:tcPr>
            <w:tcW w:w="4200" w:type="dxa"/>
            <w:vAlign w:val="bottom"/>
            <w:shd w:val="clear" w:color="auto" w:fill="CCEEFF"/>
          </w:tcPr>
          <w:p>
            <w:pPr>
              <w:ind w:left="20"/>
              <w:spacing w:after="0"/>
              <w:rPr>
                <w:sz w:val="20"/>
                <w:szCs w:val="20"/>
                <w:color w:val="auto"/>
              </w:rPr>
            </w:pPr>
            <w:r>
              <w:rPr>
                <w:rFonts w:ascii="Arial" w:cs="Arial" w:eastAsia="Arial" w:hAnsi="Arial"/>
                <w:sz w:val="20"/>
                <w:szCs w:val="20"/>
                <w:color w:val="auto"/>
              </w:rPr>
              <w:t>Cost of goods sold (COGS)</w:t>
            </w: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539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103</w:t>
            </w:r>
          </w:p>
        </w:tc>
        <w:tc>
          <w:tcPr>
            <w:tcW w:w="1140" w:type="dxa"/>
            <w:vAlign w:val="bottom"/>
            <w:gridSpan w:val="2"/>
            <w:shd w:val="clear" w:color="auto" w:fill="CCEEFF"/>
          </w:tcPr>
          <w:p>
            <w:pPr>
              <w:jc w:val="right"/>
              <w:ind w:right="21"/>
              <w:spacing w:after="0"/>
              <w:rPr>
                <w:sz w:val="20"/>
                <w:szCs w:val="20"/>
                <w:color w:val="auto"/>
              </w:rPr>
            </w:pPr>
            <w:r>
              <w:rPr>
                <w:rFonts w:ascii="Arial" w:cs="Arial" w:eastAsia="Arial" w:hAnsi="Arial"/>
                <w:sz w:val="20"/>
                <w:szCs w:val="20"/>
                <w:color w:val="auto"/>
              </w:rPr>
              <w:t>423%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514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93</w:t>
            </w:r>
          </w:p>
        </w:tc>
        <w:tc>
          <w:tcPr>
            <w:tcW w:w="1160" w:type="dxa"/>
            <w:vAlign w:val="bottom"/>
            <w:gridSpan w:val="2"/>
            <w:shd w:val="clear" w:color="auto" w:fill="CCEEFF"/>
          </w:tcPr>
          <w:p>
            <w:pPr>
              <w:jc w:val="right"/>
              <w:ind w:right="21"/>
              <w:spacing w:after="0"/>
              <w:rPr>
                <w:sz w:val="20"/>
                <w:szCs w:val="20"/>
                <w:color w:val="auto"/>
              </w:rPr>
            </w:pPr>
            <w:r>
              <w:rPr>
                <w:rFonts w:ascii="Arial" w:cs="Arial" w:eastAsia="Arial" w:hAnsi="Arial"/>
                <w:sz w:val="20"/>
                <w:szCs w:val="20"/>
                <w:color w:val="auto"/>
              </w:rPr>
              <w:t>453%</w:t>
            </w:r>
          </w:p>
        </w:tc>
        <w:tc>
          <w:tcPr>
            <w:tcW w:w="0" w:type="dxa"/>
            <w:vAlign w:val="bottom"/>
          </w:tcPr>
          <w:p>
            <w:pPr>
              <w:spacing w:after="0"/>
              <w:rPr>
                <w:sz w:val="1"/>
                <w:szCs w:val="1"/>
                <w:color w:val="auto"/>
              </w:rPr>
            </w:pPr>
          </w:p>
        </w:tc>
      </w:tr>
      <w:tr>
        <w:trPr>
          <w:trHeight w:val="199"/>
        </w:trPr>
        <w:tc>
          <w:tcPr>
            <w:tcW w:w="4200" w:type="dxa"/>
            <w:vAlign w:val="bottom"/>
          </w:tcPr>
          <w:p>
            <w:pPr>
              <w:ind w:left="20"/>
              <w:spacing w:after="0" w:line="199" w:lineRule="exact"/>
              <w:rPr>
                <w:sz w:val="20"/>
                <w:szCs w:val="20"/>
                <w:color w:val="auto"/>
              </w:rPr>
            </w:pPr>
            <w:r>
              <w:rPr>
                <w:rFonts w:ascii="Arial" w:cs="Arial" w:eastAsia="Arial" w:hAnsi="Arial"/>
                <w:sz w:val="20"/>
                <w:szCs w:val="20"/>
                <w:color w:val="auto"/>
              </w:rPr>
              <w:t>Cost of collaboration and contract</w:t>
            </w:r>
          </w:p>
        </w:tc>
        <w:tc>
          <w:tcPr>
            <w:tcW w:w="140" w:type="dxa"/>
            <w:vAlign w:val="bottom"/>
            <w:vMerge w:val="restart"/>
          </w:tcPr>
          <w:p>
            <w:pPr>
              <w:jc w:val="right"/>
              <w:spacing w:after="0"/>
              <w:rPr>
                <w:sz w:val="20"/>
                <w:szCs w:val="20"/>
                <w:color w:val="auto"/>
              </w:rPr>
            </w:pPr>
            <w:r>
              <w:rPr>
                <w:rFonts w:ascii="Arial" w:cs="Arial" w:eastAsia="Arial" w:hAnsi="Arial"/>
                <w:sz w:val="20"/>
                <w:szCs w:val="20"/>
                <w:color w:val="auto"/>
                <w:w w:val="89"/>
              </w:rPr>
              <w:t>$</w:t>
            </w:r>
          </w:p>
        </w:tc>
        <w:tc>
          <w:tcPr>
            <w:tcW w:w="960" w:type="dxa"/>
            <w:vAlign w:val="bottom"/>
            <w:vMerge w:val="restart"/>
          </w:tcPr>
          <w:p>
            <w:pPr>
              <w:jc w:val="right"/>
              <w:spacing w:after="0"/>
              <w:rPr>
                <w:sz w:val="20"/>
                <w:szCs w:val="20"/>
                <w:color w:val="auto"/>
              </w:rPr>
            </w:pPr>
            <w:r>
              <w:rPr>
                <w:rFonts w:ascii="Arial" w:cs="Arial" w:eastAsia="Arial" w:hAnsi="Arial"/>
                <w:sz w:val="20"/>
                <w:szCs w:val="20"/>
                <w:color w:val="auto"/>
              </w:rPr>
              <w:t>154</w:t>
            </w:r>
          </w:p>
        </w:tc>
        <w:tc>
          <w:tcPr>
            <w:tcW w:w="100" w:type="dxa"/>
            <w:vAlign w:val="bottom"/>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960" w:type="dxa"/>
            <w:vAlign w:val="bottom"/>
            <w:vMerge w:val="restart"/>
          </w:tcPr>
          <w:p>
            <w:pPr>
              <w:jc w:val="right"/>
              <w:spacing w:after="0"/>
              <w:rPr>
                <w:sz w:val="20"/>
                <w:szCs w:val="20"/>
                <w:color w:val="auto"/>
              </w:rPr>
            </w:pPr>
            <w:r>
              <w:rPr>
                <w:rFonts w:ascii="Arial" w:cs="Arial" w:eastAsia="Arial" w:hAnsi="Arial"/>
                <w:sz w:val="20"/>
                <w:szCs w:val="20"/>
                <w:color w:val="auto"/>
              </w:rPr>
              <w:t>173</w:t>
            </w:r>
          </w:p>
        </w:tc>
        <w:tc>
          <w:tcPr>
            <w:tcW w:w="1140" w:type="dxa"/>
            <w:vAlign w:val="bottom"/>
            <w:gridSpan w:val="2"/>
            <w:vMerge w:val="restart"/>
          </w:tcPr>
          <w:p>
            <w:pPr>
              <w:jc w:val="right"/>
              <w:ind w:right="21"/>
              <w:spacing w:after="0"/>
              <w:rPr>
                <w:sz w:val="20"/>
                <w:szCs w:val="20"/>
                <w:color w:val="auto"/>
              </w:rPr>
            </w:pPr>
            <w:r>
              <w:rPr>
                <w:rFonts w:ascii="Arial" w:cs="Arial" w:eastAsia="Arial" w:hAnsi="Arial"/>
                <w:sz w:val="20"/>
                <w:szCs w:val="20"/>
                <w:color w:val="auto"/>
              </w:rPr>
              <w:t>(11%)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vMerge w:val="restart"/>
          </w:tcPr>
          <w:p>
            <w:pPr>
              <w:jc w:val="right"/>
              <w:ind w:right="21"/>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vMerge w:val="restart"/>
          </w:tcPr>
          <w:p>
            <w:pPr>
              <w:jc w:val="right"/>
              <w:ind w:right="21"/>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17"/>
                <w:szCs w:val="17"/>
                <w:color w:val="auto"/>
              </w:rPr>
            </w:pPr>
          </w:p>
        </w:tc>
        <w:tc>
          <w:tcPr>
            <w:tcW w:w="1060" w:type="dxa"/>
            <w:vAlign w:val="bottom"/>
            <w:vMerge w:val="restart"/>
          </w:tcPr>
          <w:p>
            <w:pPr>
              <w:jc w:val="right"/>
              <w:ind w:right="21"/>
              <w:spacing w:after="0"/>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r>
        <w:trPr>
          <w:trHeight w:val="233"/>
        </w:trPr>
        <w:tc>
          <w:tcPr>
            <w:tcW w:w="4200" w:type="dxa"/>
            <w:vAlign w:val="bottom"/>
          </w:tcPr>
          <w:p>
            <w:pPr>
              <w:ind w:left="180"/>
              <w:spacing w:after="0"/>
              <w:rPr>
                <w:sz w:val="20"/>
                <w:szCs w:val="20"/>
                <w:color w:val="auto"/>
              </w:rPr>
            </w:pPr>
            <w:r>
              <w:rPr>
                <w:rFonts w:ascii="Arial" w:cs="Arial" w:eastAsia="Arial" w:hAnsi="Arial"/>
                <w:sz w:val="20"/>
                <w:szCs w:val="20"/>
                <w:color w:val="auto"/>
              </w:rPr>
              <w:t>manufacturing (COCM)</w:t>
            </w:r>
          </w:p>
        </w:tc>
        <w:tc>
          <w:tcPr>
            <w:tcW w:w="140" w:type="dxa"/>
            <w:vAlign w:val="bottom"/>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0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 operating (income) expense, net</w:t>
            </w: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(50)</w:t>
            </w:r>
          </w:p>
        </w:tc>
        <w:tc>
          <w:tcPr>
            <w:tcW w:w="1140" w:type="dxa"/>
            <w:vAlign w:val="bottom"/>
            <w:gridSpan w:val="2"/>
            <w:shd w:val="clear" w:color="auto" w:fill="CCEEFF"/>
          </w:tcPr>
          <w:p>
            <w:pPr>
              <w:jc w:val="right"/>
              <w:ind w:right="21"/>
              <w:spacing w:after="0"/>
              <w:rPr>
                <w:sz w:val="20"/>
                <w:szCs w:val="20"/>
                <w:color w:val="auto"/>
              </w:rPr>
            </w:pPr>
            <w:r>
              <w:rPr>
                <w:rFonts w:ascii="Arial" w:cs="Arial" w:eastAsia="Arial" w:hAnsi="Arial"/>
                <w:sz w:val="20"/>
                <w:szCs w:val="20"/>
                <w:color w:val="auto"/>
              </w:rPr>
              <w:t>(38%)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bl>
    <w:p>
      <w:pPr>
        <w:spacing w:after="0" w:line="111" w:lineRule="exact"/>
        <w:rPr>
          <w:sz w:val="20"/>
          <w:szCs w:val="20"/>
          <w:color w:val="auto"/>
        </w:rPr>
      </w:pPr>
    </w:p>
    <w:p>
      <w:pPr>
        <w:ind w:left="300" w:hanging="112"/>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6"/>
          <w:szCs w:val="16"/>
          <w:color w:val="auto"/>
        </w:rPr>
        <w:t>GAAP and non-GAAP amounts are equivalent as no non-GAAP adjustments have been recorded</w:t>
      </w:r>
    </w:p>
    <w:p>
      <w:pPr>
        <w:spacing w:after="0" w:line="161" w:lineRule="exact"/>
        <w:rPr>
          <w:rFonts w:ascii="Arial" w:cs="Arial" w:eastAsia="Arial" w:hAnsi="Arial"/>
          <w:sz w:val="18"/>
          <w:szCs w:val="18"/>
          <w:color w:val="auto"/>
        </w:rPr>
      </w:pPr>
    </w:p>
    <w:p>
      <w:pPr>
        <w:ind w:left="660" w:right="20" w:hanging="328"/>
        <w:spacing w:after="0" w:line="245" w:lineRule="auto"/>
        <w:tabs>
          <w:tab w:leader="none" w:pos="655" w:val="left"/>
        </w:tabs>
        <w:numPr>
          <w:ilvl w:val="1"/>
          <w:numId w:val="13"/>
        </w:numPr>
        <w:rPr>
          <w:rFonts w:ascii="Arial" w:cs="Arial" w:eastAsia="Arial" w:hAnsi="Arial"/>
          <w:sz w:val="22"/>
          <w:szCs w:val="22"/>
          <w:i w:val="1"/>
          <w:iCs w:val="1"/>
          <w:color w:val="auto"/>
        </w:rPr>
      </w:pPr>
      <w:r>
        <w:rPr>
          <w:rFonts w:ascii="Arial" w:cs="Arial" w:eastAsia="Arial" w:hAnsi="Arial"/>
          <w:sz w:val="22"/>
          <w:szCs w:val="22"/>
          <w:color w:val="auto"/>
        </w:rPr>
        <w:t>GAAP R&amp;D expenses in the second quarter of 2020 included $85 million in up-front payments in connection with the collaboration agreement with Intellia. The decrease in GAAP R&amp;D expenses in the second quarter of 2021 was offset primarily by higher costs incurred in connection with development activities related to REGEN-COV, which also drove the increase in non-GAAP R&amp;D expenses.</w:t>
      </w:r>
    </w:p>
    <w:p>
      <w:pPr>
        <w:spacing w:after="0" w:line="60" w:lineRule="exact"/>
        <w:rPr>
          <w:rFonts w:ascii="Arial" w:cs="Arial" w:eastAsia="Arial" w:hAnsi="Arial"/>
          <w:sz w:val="22"/>
          <w:szCs w:val="22"/>
          <w:i w:val="1"/>
          <w:iCs w:val="1"/>
          <w:color w:val="auto"/>
        </w:rPr>
      </w:pPr>
    </w:p>
    <w:p>
      <w:pPr>
        <w:ind w:left="660" w:right="340" w:hanging="328"/>
        <w:spacing w:after="0" w:line="246" w:lineRule="auto"/>
        <w:tabs>
          <w:tab w:leader="none" w:pos="655" w:val="left"/>
        </w:tabs>
        <w:numPr>
          <w:ilvl w:val="1"/>
          <w:numId w:val="13"/>
        </w:numPr>
        <w:rPr>
          <w:rFonts w:ascii="Arial" w:cs="Arial" w:eastAsia="Arial" w:hAnsi="Arial"/>
          <w:sz w:val="22"/>
          <w:szCs w:val="22"/>
          <w:i w:val="1"/>
          <w:iCs w:val="1"/>
          <w:color w:val="auto"/>
        </w:rPr>
      </w:pPr>
      <w:r>
        <w:rPr>
          <w:rFonts w:ascii="Arial" w:cs="Arial" w:eastAsia="Arial" w:hAnsi="Arial"/>
          <w:sz w:val="22"/>
          <w:szCs w:val="22"/>
          <w:color w:val="auto"/>
        </w:rPr>
        <w:t>The increase in GAAP and non-GAAP SG&amp;A expenses in the second quarter of 2021 was primarily due to higher headcount-related costs, an increase in commercialization-related expenses for EYLEA and Libtayo, and costs associated with educational campaigns related to COVID-19.</w:t>
      </w:r>
    </w:p>
    <w:p>
      <w:pPr>
        <w:spacing w:after="0" w:line="59" w:lineRule="exact"/>
        <w:rPr>
          <w:rFonts w:ascii="Arial" w:cs="Arial" w:eastAsia="Arial" w:hAnsi="Arial"/>
          <w:sz w:val="22"/>
          <w:szCs w:val="22"/>
          <w:i w:val="1"/>
          <w:iCs w:val="1"/>
          <w:color w:val="auto"/>
        </w:rPr>
      </w:pPr>
    </w:p>
    <w:p>
      <w:pPr>
        <w:ind w:left="660" w:right="380" w:hanging="328"/>
        <w:spacing w:after="0" w:line="245" w:lineRule="auto"/>
        <w:tabs>
          <w:tab w:leader="none" w:pos="655" w:val="left"/>
        </w:tabs>
        <w:numPr>
          <w:ilvl w:val="1"/>
          <w:numId w:val="13"/>
        </w:numPr>
        <w:rPr>
          <w:rFonts w:ascii="Arial" w:cs="Arial" w:eastAsia="Arial" w:hAnsi="Arial"/>
          <w:sz w:val="22"/>
          <w:szCs w:val="22"/>
          <w:i w:val="1"/>
          <w:iCs w:val="1"/>
          <w:color w:val="auto"/>
        </w:rPr>
      </w:pPr>
      <w:r>
        <w:rPr>
          <w:rFonts w:ascii="Arial" w:cs="Arial" w:eastAsia="Arial" w:hAnsi="Arial"/>
          <w:sz w:val="22"/>
          <w:szCs w:val="22"/>
          <w:color w:val="auto"/>
        </w:rPr>
        <w:t>The increase in COGS in the second quarter of 2021 was primarily due to the recognition of manufacturing costs in connection with product sales of REGEN-COV in the United States. In addition, the Company recognized higher inventory write-offs and reserves in the second quarter of 2021, compared to the second quarter of 2020.</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065" w:right="339" w:bottom="1440" w:gutter="0" w:footer="0" w:header="0"/>
        </w:sectPr>
      </w:pPr>
    </w:p>
    <w:bookmarkStart w:id="8" w:name="page9"/>
    <w:bookmarkEnd w:id="8"/>
    <w:p>
      <w:pPr>
        <w:ind w:left="660" w:right="100" w:hanging="328"/>
        <w:spacing w:after="0" w:line="246" w:lineRule="auto"/>
        <w:tabs>
          <w:tab w:leader="none" w:pos="655" w:val="left"/>
        </w:tabs>
        <w:numPr>
          <w:ilvl w:val="0"/>
          <w:numId w:val="14"/>
        </w:numPr>
        <w:rPr>
          <w:rFonts w:ascii="Arial" w:cs="Arial" w:eastAsia="Arial" w:hAnsi="Arial"/>
          <w:sz w:val="22"/>
          <w:szCs w:val="22"/>
          <w:i w:val="1"/>
          <w:iCs w:val="1"/>
          <w:color w:val="auto"/>
        </w:rPr>
      </w:pPr>
      <w:r>
        <w:rPr>
          <w:rFonts w:ascii="Arial" w:cs="Arial" w:eastAsia="Arial" w:hAnsi="Arial"/>
          <w:sz w:val="22"/>
          <w:szCs w:val="22"/>
          <w:color w:val="auto"/>
        </w:rPr>
        <w:t>Other operating (income) expense, net, includes recognition of a portion of amounts previously deferred in connection with up-front and development milestone payments, as applicable, received in connection with the Company's collaborative arrangements.</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Other Financial Information</w:t>
      </w:r>
    </w:p>
    <w:p>
      <w:pPr>
        <w:spacing w:after="0" w:line="178" w:lineRule="exact"/>
        <w:rPr>
          <w:sz w:val="20"/>
          <w:szCs w:val="20"/>
          <w:color w:val="auto"/>
        </w:rPr>
      </w:pPr>
    </w:p>
    <w:p>
      <w:pPr>
        <w:ind w:right="80"/>
        <w:spacing w:after="0" w:line="249" w:lineRule="auto"/>
        <w:rPr>
          <w:sz w:val="20"/>
          <w:szCs w:val="20"/>
          <w:color w:val="auto"/>
        </w:rPr>
      </w:pPr>
      <w:r>
        <w:rPr>
          <w:rFonts w:ascii="Arial" w:cs="Arial" w:eastAsia="Arial" w:hAnsi="Arial"/>
          <w:sz w:val="22"/>
          <w:szCs w:val="22"/>
          <w:color w:val="auto"/>
        </w:rPr>
        <w:t>GAAP other income (expense), net, includes the recognition of net unrealized and realized gains on equity securities of $409 million in the second quarter of 2021, compared to $228 million in the second quarter of 2020.</w:t>
      </w:r>
    </w:p>
    <w:p>
      <w:pPr>
        <w:spacing w:after="0" w:line="123" w:lineRule="exact"/>
        <w:rPr>
          <w:sz w:val="20"/>
          <w:szCs w:val="20"/>
          <w:color w:val="auto"/>
        </w:rPr>
      </w:pPr>
    </w:p>
    <w:p>
      <w:pPr>
        <w:spacing w:after="0" w:line="244" w:lineRule="auto"/>
        <w:rPr>
          <w:sz w:val="20"/>
          <w:szCs w:val="20"/>
          <w:color w:val="auto"/>
        </w:rPr>
      </w:pPr>
      <w:r>
        <w:rPr>
          <w:rFonts w:ascii="Arial" w:cs="Arial" w:eastAsia="Arial" w:hAnsi="Arial"/>
          <w:sz w:val="22"/>
          <w:szCs w:val="22"/>
          <w:color w:val="auto"/>
        </w:rPr>
        <w:t>In the second quarter of 2021, the Company's GAAP effective tax rate was 17.4%, compared to 2.4% in the second quarter of 2020. The increase in the second quarter 2021 GAAP effective tax rate, compared to the second quarter of 2020, was primarily due to the significant positive impact of stock-based compensation in the second quarter of 2020. In the second quarter of 2021, the non-GAAP effective tax rate was 17.0%, compared to 0.9% in the second quarter of 2020.</w:t>
      </w:r>
    </w:p>
    <w:p>
      <w:pPr>
        <w:spacing w:after="0" w:line="145" w:lineRule="exact"/>
        <w:rPr>
          <w:sz w:val="20"/>
          <w:szCs w:val="20"/>
          <w:color w:val="auto"/>
        </w:rPr>
      </w:pPr>
    </w:p>
    <w:p>
      <w:pPr>
        <w:spacing w:after="0" w:line="245" w:lineRule="auto"/>
        <w:rPr>
          <w:sz w:val="20"/>
          <w:szCs w:val="20"/>
          <w:color w:val="auto"/>
        </w:rPr>
      </w:pPr>
      <w:r>
        <w:rPr>
          <w:rFonts w:ascii="Arial" w:cs="Arial" w:eastAsia="Arial" w:hAnsi="Arial"/>
          <w:sz w:val="22"/>
          <w:szCs w:val="22"/>
          <w:color w:val="auto"/>
        </w:rPr>
        <w:t>GAAP net income per diluted share was $27.97 in the second quarter of 2021, compared to GAAP net income per diluted share of $7.61 in the second quarter of 2020. Non-GAAP net income per diluted share was $25.80 in the second quarter of 2021, compared to non-GAAP net income per diluted share of $7.16 in the second quarter of 2020. A reconciliation of the Company's GAAP to non-GAAP results is included in Table 3 of this press release.</w:t>
      </w:r>
    </w:p>
    <w:p>
      <w:pPr>
        <w:spacing w:after="0" w:line="142" w:lineRule="exact"/>
        <w:rPr>
          <w:sz w:val="20"/>
          <w:szCs w:val="20"/>
          <w:color w:val="auto"/>
        </w:rPr>
      </w:pPr>
    </w:p>
    <w:p>
      <w:pPr>
        <w:ind w:right="60"/>
        <w:spacing w:after="0" w:line="244" w:lineRule="auto"/>
        <w:rPr>
          <w:sz w:val="20"/>
          <w:szCs w:val="20"/>
          <w:color w:val="auto"/>
        </w:rPr>
      </w:pPr>
      <w:r>
        <w:rPr>
          <w:rFonts w:ascii="Arial" w:cs="Arial" w:eastAsia="Arial" w:hAnsi="Arial"/>
          <w:sz w:val="22"/>
          <w:szCs w:val="22"/>
          <w:color w:val="auto"/>
        </w:rPr>
        <w:t>Net cash provided by operating activities in the first half of 2021 was $1.295 billion, compared to $1.641 billion in the first half of 2020, resulting in $1.031 billion in free cash flow for the first half of 2021, compared to $1.341 billion for the first half of 2020. The Company expects a significant increase in free cash flow in the third quarter of 2021 as the Company collected all amounts due from the U.S. government in connection with second quarter 2021 REGEN-COV sales in July 2021.</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2021 Financial Guidance</w:t>
      </w:r>
      <w:r>
        <w:rPr>
          <w:rFonts w:ascii="Arial" w:cs="Arial" w:eastAsia="Arial" w:hAnsi="Arial"/>
          <w:sz w:val="12"/>
          <w:szCs w:val="12"/>
          <w:b w:val="1"/>
          <w:bCs w:val="1"/>
          <w:i w:val="1"/>
          <w:iCs w:val="1"/>
          <w:color w:val="auto"/>
        </w:rPr>
        <w:t>(4)</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The Company's full year 2021 financial guidance consists of the following components:</w:t>
      </w: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00"/>
          </w:cols>
          <w:pgMar w:left="320" w:top="984" w:right="37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98"/>
        </w:trPr>
        <w:tc>
          <w:tcPr>
            <w:tcW w:w="3680" w:type="dxa"/>
            <w:vAlign w:val="bottom"/>
            <w:tcBorders>
              <w:bottom w:val="single" w:sz="8" w:color="CCEEFF"/>
            </w:tcBorders>
          </w:tcPr>
          <w:p>
            <w:pPr>
              <w:spacing w:after="0"/>
              <w:rPr>
                <w:sz w:val="24"/>
                <w:szCs w:val="24"/>
                <w:color w:val="auto"/>
              </w:rPr>
            </w:pPr>
          </w:p>
        </w:tc>
        <w:tc>
          <w:tcPr>
            <w:tcW w:w="2600" w:type="dxa"/>
            <w:vAlign w:val="bottom"/>
            <w:tcBorders>
              <w:bottom w:val="single" w:sz="8" w:color="auto"/>
            </w:tcBorders>
          </w:tcPr>
          <w:p>
            <w:pPr>
              <w:ind w:left="1020"/>
              <w:spacing w:after="0"/>
              <w:rPr>
                <w:sz w:val="20"/>
                <w:szCs w:val="20"/>
                <w:color w:val="auto"/>
              </w:rPr>
            </w:pPr>
            <w:r>
              <w:rPr>
                <w:rFonts w:ascii="Arial" w:cs="Arial" w:eastAsia="Arial" w:hAnsi="Arial"/>
                <w:sz w:val="20"/>
                <w:szCs w:val="20"/>
                <w:b w:val="1"/>
                <w:bCs w:val="1"/>
                <w:color w:val="auto"/>
              </w:rPr>
              <w:t>GAAP</w:t>
            </w:r>
          </w:p>
        </w:tc>
        <w:tc>
          <w:tcPr>
            <w:tcW w:w="140" w:type="dxa"/>
            <w:vAlign w:val="bottom"/>
            <w:tcBorders>
              <w:bottom w:val="single" w:sz="8" w:color="CCEEFF"/>
            </w:tcBorders>
          </w:tcPr>
          <w:p>
            <w:pPr>
              <w:spacing w:after="0"/>
              <w:rPr>
                <w:sz w:val="24"/>
                <w:szCs w:val="24"/>
                <w:color w:val="auto"/>
              </w:rPr>
            </w:pPr>
          </w:p>
        </w:tc>
        <w:tc>
          <w:tcPr>
            <w:tcW w:w="2620" w:type="dxa"/>
            <w:vAlign w:val="bottom"/>
            <w:tcBorders>
              <w:bottom w:val="single" w:sz="8" w:color="auto"/>
            </w:tcBorders>
          </w:tcPr>
          <w:p>
            <w:pPr>
              <w:ind w:left="720"/>
              <w:spacing w:after="0"/>
              <w:rPr>
                <w:sz w:val="20"/>
                <w:szCs w:val="20"/>
                <w:color w:val="auto"/>
              </w:rPr>
            </w:pPr>
            <w:r>
              <w:rPr>
                <w:rFonts w:ascii="Arial" w:cs="Arial" w:eastAsia="Arial" w:hAnsi="Arial"/>
                <w:sz w:val="20"/>
                <w:szCs w:val="20"/>
                <w:b w:val="1"/>
                <w:bCs w:val="1"/>
                <w:color w:val="auto"/>
              </w:rPr>
              <w:t>Non-GAAP</w:t>
            </w:r>
            <w:r>
              <w:rPr>
                <w:rFonts w:ascii="Arial" w:cs="Arial" w:eastAsia="Arial" w:hAnsi="Arial"/>
                <w:sz w:val="25"/>
                <w:szCs w:val="25"/>
                <w:b w:val="1"/>
                <w:bCs w:val="1"/>
                <w:color w:val="auto"/>
                <w:vertAlign w:val="superscript"/>
              </w:rPr>
              <w:t>(1)</w:t>
            </w:r>
          </w:p>
        </w:tc>
      </w:tr>
      <w:tr>
        <w:trPr>
          <w:trHeight w:val="183"/>
        </w:trPr>
        <w:tc>
          <w:tcPr>
            <w:tcW w:w="3680" w:type="dxa"/>
            <w:vAlign w:val="bottom"/>
            <w:shd w:val="clear" w:color="auto" w:fill="CCEEFF"/>
          </w:tcPr>
          <w:p>
            <w:pPr>
              <w:ind w:left="20"/>
              <w:spacing w:after="0" w:line="183" w:lineRule="exact"/>
              <w:rPr>
                <w:sz w:val="20"/>
                <w:szCs w:val="20"/>
                <w:color w:val="auto"/>
              </w:rPr>
            </w:pPr>
            <w:r>
              <w:rPr>
                <w:rFonts w:ascii="Arial" w:cs="Arial" w:eastAsia="Arial" w:hAnsi="Arial"/>
                <w:sz w:val="20"/>
                <w:szCs w:val="20"/>
                <w:color w:val="auto"/>
              </w:rPr>
              <w:t>R&amp;D</w:t>
            </w:r>
          </w:p>
        </w:tc>
        <w:tc>
          <w:tcPr>
            <w:tcW w:w="2740" w:type="dxa"/>
            <w:vAlign w:val="bottom"/>
            <w:gridSpan w:val="2"/>
            <w:shd w:val="clear" w:color="auto" w:fill="CCEEFF"/>
          </w:tcPr>
          <w:p>
            <w:pPr>
              <w:ind w:left="20"/>
              <w:spacing w:after="0" w:line="183" w:lineRule="exact"/>
              <w:rPr>
                <w:sz w:val="20"/>
                <w:szCs w:val="20"/>
                <w:color w:val="auto"/>
              </w:rPr>
            </w:pPr>
            <w:r>
              <w:rPr>
                <w:rFonts w:ascii="Arial" w:cs="Arial" w:eastAsia="Arial" w:hAnsi="Arial"/>
                <w:sz w:val="20"/>
                <w:szCs w:val="20"/>
                <w:color w:val="auto"/>
              </w:rPr>
              <w:t>$2.950 billion–$3.075 billion</w:t>
            </w:r>
          </w:p>
        </w:tc>
        <w:tc>
          <w:tcPr>
            <w:tcW w:w="2620" w:type="dxa"/>
            <w:vAlign w:val="bottom"/>
            <w:shd w:val="clear" w:color="auto" w:fill="CCEEFF"/>
          </w:tcPr>
          <w:p>
            <w:pPr>
              <w:ind w:left="20"/>
              <w:spacing w:after="0" w:line="183" w:lineRule="exact"/>
              <w:rPr>
                <w:sz w:val="20"/>
                <w:szCs w:val="20"/>
                <w:color w:val="auto"/>
              </w:rPr>
            </w:pPr>
            <w:r>
              <w:rPr>
                <w:rFonts w:ascii="Arial" w:cs="Arial" w:eastAsia="Arial" w:hAnsi="Arial"/>
                <w:sz w:val="20"/>
                <w:szCs w:val="20"/>
                <w:color w:val="auto"/>
              </w:rPr>
              <w:t>$2.650 billion–$2.750 billion</w:t>
            </w:r>
          </w:p>
        </w:tc>
      </w:tr>
      <w:tr>
        <w:trPr>
          <w:trHeight w:val="189"/>
        </w:trPr>
        <w:tc>
          <w:tcPr>
            <w:tcW w:w="3680" w:type="dxa"/>
            <w:vAlign w:val="bottom"/>
            <w:shd w:val="clear" w:color="auto" w:fill="CCEEFF"/>
          </w:tcPr>
          <w:p>
            <w:pPr>
              <w:spacing w:after="0"/>
              <w:rPr>
                <w:sz w:val="16"/>
                <w:szCs w:val="16"/>
                <w:color w:val="auto"/>
              </w:rPr>
            </w:pPr>
          </w:p>
        </w:tc>
        <w:tc>
          <w:tcPr>
            <w:tcW w:w="2740" w:type="dxa"/>
            <w:vAlign w:val="bottom"/>
            <w:gridSpan w:val="2"/>
            <w:shd w:val="clear" w:color="auto" w:fill="CCEEFF"/>
          </w:tcPr>
          <w:p>
            <w:pPr>
              <w:ind w:left="20"/>
              <w:spacing w:after="0" w:line="189" w:lineRule="exact"/>
              <w:rPr>
                <w:sz w:val="20"/>
                <w:szCs w:val="20"/>
                <w:color w:val="auto"/>
              </w:rPr>
            </w:pPr>
            <w:r>
              <w:rPr>
                <w:rFonts w:ascii="Arial" w:cs="Arial" w:eastAsia="Arial" w:hAnsi="Arial"/>
                <w:sz w:val="20"/>
                <w:szCs w:val="20"/>
                <w:i w:val="1"/>
                <w:iCs w:val="1"/>
                <w:color w:val="auto"/>
              </w:rPr>
              <w:t>(previously $3.000 billion–</w:t>
            </w:r>
          </w:p>
        </w:tc>
        <w:tc>
          <w:tcPr>
            <w:tcW w:w="2620" w:type="dxa"/>
            <w:vAlign w:val="bottom"/>
            <w:shd w:val="clear" w:color="auto" w:fill="CCEEFF"/>
          </w:tcPr>
          <w:p>
            <w:pPr>
              <w:ind w:left="20"/>
              <w:spacing w:after="0" w:line="189" w:lineRule="exact"/>
              <w:rPr>
                <w:sz w:val="20"/>
                <w:szCs w:val="20"/>
                <w:color w:val="auto"/>
              </w:rPr>
            </w:pPr>
            <w:r>
              <w:rPr>
                <w:rFonts w:ascii="Arial" w:cs="Arial" w:eastAsia="Arial" w:hAnsi="Arial"/>
                <w:sz w:val="20"/>
                <w:szCs w:val="20"/>
                <w:i w:val="1"/>
                <w:iCs w:val="1"/>
                <w:color w:val="auto"/>
              </w:rPr>
              <w:t>(previously $2.700 billion–</w:t>
            </w:r>
          </w:p>
        </w:tc>
      </w:tr>
      <w:tr>
        <w:trPr>
          <w:trHeight w:val="277"/>
        </w:trPr>
        <w:tc>
          <w:tcPr>
            <w:tcW w:w="3680" w:type="dxa"/>
            <w:vAlign w:val="bottom"/>
            <w:tcBorders>
              <w:bottom w:val="single" w:sz="8" w:color="CCEEFF"/>
            </w:tcBorders>
            <w:shd w:val="clear" w:color="auto" w:fill="CCEEFF"/>
          </w:tcPr>
          <w:p>
            <w:pPr>
              <w:spacing w:after="0"/>
              <w:rPr>
                <w:sz w:val="24"/>
                <w:szCs w:val="24"/>
                <w:color w:val="auto"/>
              </w:rPr>
            </w:pPr>
          </w:p>
        </w:tc>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20"/>
                <w:szCs w:val="20"/>
                <w:i w:val="1"/>
                <w:iCs w:val="1"/>
                <w:color w:val="auto"/>
              </w:rPr>
              <w:t>$3.175 billion)</w:t>
            </w:r>
          </w:p>
        </w:tc>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i w:val="1"/>
                <w:iCs w:val="1"/>
                <w:color w:val="auto"/>
              </w:rPr>
              <w:t>$2.850 billion)</w:t>
            </w:r>
          </w:p>
        </w:tc>
      </w:tr>
      <w:tr>
        <w:trPr>
          <w:trHeight w:val="189"/>
        </w:trPr>
        <w:tc>
          <w:tcPr>
            <w:tcW w:w="3680" w:type="dxa"/>
            <w:vAlign w:val="bottom"/>
          </w:tcPr>
          <w:p>
            <w:pPr>
              <w:ind w:left="20"/>
              <w:spacing w:after="0" w:line="189" w:lineRule="exact"/>
              <w:rPr>
                <w:sz w:val="20"/>
                <w:szCs w:val="20"/>
                <w:color w:val="auto"/>
              </w:rPr>
            </w:pPr>
            <w:r>
              <w:rPr>
                <w:rFonts w:ascii="Arial" w:cs="Arial" w:eastAsia="Arial" w:hAnsi="Arial"/>
                <w:sz w:val="20"/>
                <w:szCs w:val="20"/>
                <w:color w:val="auto"/>
              </w:rPr>
              <w:t>SG&amp;A</w:t>
            </w:r>
          </w:p>
        </w:tc>
        <w:tc>
          <w:tcPr>
            <w:tcW w:w="2740" w:type="dxa"/>
            <w:vAlign w:val="bottom"/>
            <w:gridSpan w:val="2"/>
          </w:tcPr>
          <w:p>
            <w:pPr>
              <w:ind w:left="20"/>
              <w:spacing w:after="0" w:line="189" w:lineRule="exact"/>
              <w:rPr>
                <w:sz w:val="20"/>
                <w:szCs w:val="20"/>
                <w:color w:val="auto"/>
              </w:rPr>
            </w:pPr>
            <w:r>
              <w:rPr>
                <w:rFonts w:ascii="Arial" w:cs="Arial" w:eastAsia="Arial" w:hAnsi="Arial"/>
                <w:sz w:val="20"/>
                <w:szCs w:val="20"/>
                <w:color w:val="auto"/>
              </w:rPr>
              <w:t>$1.730 billion–$1.830 billion</w:t>
            </w:r>
          </w:p>
        </w:tc>
        <w:tc>
          <w:tcPr>
            <w:tcW w:w="2620" w:type="dxa"/>
            <w:vAlign w:val="bottom"/>
          </w:tcPr>
          <w:p>
            <w:pPr>
              <w:ind w:left="20"/>
              <w:spacing w:after="0" w:line="189" w:lineRule="exact"/>
              <w:rPr>
                <w:sz w:val="20"/>
                <w:szCs w:val="20"/>
                <w:color w:val="auto"/>
              </w:rPr>
            </w:pPr>
            <w:r>
              <w:rPr>
                <w:rFonts w:ascii="Arial" w:cs="Arial" w:eastAsia="Arial" w:hAnsi="Arial"/>
                <w:sz w:val="20"/>
                <w:szCs w:val="20"/>
                <w:color w:val="auto"/>
              </w:rPr>
              <w:t>$1.540 billion–$1.620 billion</w:t>
            </w:r>
          </w:p>
        </w:tc>
      </w:tr>
      <w:tr>
        <w:trPr>
          <w:trHeight w:val="189"/>
        </w:trPr>
        <w:tc>
          <w:tcPr>
            <w:tcW w:w="3680" w:type="dxa"/>
            <w:vAlign w:val="bottom"/>
          </w:tcPr>
          <w:p>
            <w:pPr>
              <w:spacing w:after="0"/>
              <w:rPr>
                <w:sz w:val="16"/>
                <w:szCs w:val="16"/>
                <w:color w:val="auto"/>
              </w:rPr>
            </w:pPr>
          </w:p>
        </w:tc>
        <w:tc>
          <w:tcPr>
            <w:tcW w:w="2740" w:type="dxa"/>
            <w:vAlign w:val="bottom"/>
            <w:gridSpan w:val="2"/>
          </w:tcPr>
          <w:p>
            <w:pPr>
              <w:ind w:left="20"/>
              <w:spacing w:after="0" w:line="189" w:lineRule="exact"/>
              <w:rPr>
                <w:sz w:val="20"/>
                <w:szCs w:val="20"/>
                <w:color w:val="auto"/>
              </w:rPr>
            </w:pPr>
            <w:r>
              <w:rPr>
                <w:rFonts w:ascii="Arial" w:cs="Arial" w:eastAsia="Arial" w:hAnsi="Arial"/>
                <w:sz w:val="20"/>
                <w:szCs w:val="20"/>
                <w:i w:val="1"/>
                <w:iCs w:val="1"/>
                <w:color w:val="auto"/>
              </w:rPr>
              <w:t>(previously $1.690 billion–</w:t>
            </w:r>
          </w:p>
        </w:tc>
        <w:tc>
          <w:tcPr>
            <w:tcW w:w="2620" w:type="dxa"/>
            <w:vAlign w:val="bottom"/>
          </w:tcPr>
          <w:p>
            <w:pPr>
              <w:ind w:left="20"/>
              <w:spacing w:after="0" w:line="189" w:lineRule="exact"/>
              <w:rPr>
                <w:sz w:val="20"/>
                <w:szCs w:val="20"/>
                <w:color w:val="auto"/>
              </w:rPr>
            </w:pPr>
            <w:r>
              <w:rPr>
                <w:rFonts w:ascii="Arial" w:cs="Arial" w:eastAsia="Arial" w:hAnsi="Arial"/>
                <w:sz w:val="20"/>
                <w:szCs w:val="20"/>
                <w:i w:val="1"/>
                <w:iCs w:val="1"/>
                <w:color w:val="auto"/>
              </w:rPr>
              <w:t>(previously $1.500 billion–</w:t>
            </w:r>
          </w:p>
        </w:tc>
      </w:tr>
      <w:tr>
        <w:trPr>
          <w:trHeight w:val="257"/>
        </w:trPr>
        <w:tc>
          <w:tcPr>
            <w:tcW w:w="3680" w:type="dxa"/>
            <w:vAlign w:val="bottom"/>
          </w:tcPr>
          <w:p>
            <w:pPr>
              <w:spacing w:after="0"/>
              <w:rPr>
                <w:sz w:val="22"/>
                <w:szCs w:val="22"/>
                <w:color w:val="auto"/>
              </w:rPr>
            </w:pPr>
          </w:p>
        </w:tc>
        <w:tc>
          <w:tcPr>
            <w:tcW w:w="2740" w:type="dxa"/>
            <w:vAlign w:val="bottom"/>
            <w:gridSpan w:val="2"/>
          </w:tcPr>
          <w:p>
            <w:pPr>
              <w:ind w:left="20"/>
              <w:spacing w:after="0"/>
              <w:rPr>
                <w:sz w:val="20"/>
                <w:szCs w:val="20"/>
                <w:color w:val="auto"/>
              </w:rPr>
            </w:pPr>
            <w:r>
              <w:rPr>
                <w:rFonts w:ascii="Arial" w:cs="Arial" w:eastAsia="Arial" w:hAnsi="Arial"/>
                <w:sz w:val="20"/>
                <w:szCs w:val="20"/>
                <w:i w:val="1"/>
                <w:iCs w:val="1"/>
                <w:color w:val="auto"/>
              </w:rPr>
              <w:t>$1.840 billion)</w:t>
            </w:r>
          </w:p>
        </w:tc>
        <w:tc>
          <w:tcPr>
            <w:tcW w:w="2620" w:type="dxa"/>
            <w:vAlign w:val="bottom"/>
          </w:tcPr>
          <w:p>
            <w:pPr>
              <w:ind w:left="20"/>
              <w:spacing w:after="0"/>
              <w:rPr>
                <w:sz w:val="20"/>
                <w:szCs w:val="20"/>
                <w:color w:val="auto"/>
              </w:rPr>
            </w:pPr>
            <w:r>
              <w:rPr>
                <w:rFonts w:ascii="Arial" w:cs="Arial" w:eastAsia="Arial" w:hAnsi="Arial"/>
                <w:sz w:val="20"/>
                <w:szCs w:val="20"/>
                <w:i w:val="1"/>
                <w:iCs w:val="1"/>
                <w:color w:val="auto"/>
              </w:rPr>
              <w:t>$1.630 billion)</w:t>
            </w:r>
          </w:p>
        </w:tc>
      </w:tr>
      <w:tr>
        <w:trPr>
          <w:trHeight w:val="53"/>
        </w:trPr>
        <w:tc>
          <w:tcPr>
            <w:tcW w:w="3680" w:type="dxa"/>
            <w:vAlign w:val="bottom"/>
          </w:tcPr>
          <w:p>
            <w:pPr>
              <w:spacing w:after="0"/>
              <w:rPr>
                <w:sz w:val="4"/>
                <w:szCs w:val="4"/>
                <w:color w:val="auto"/>
              </w:rPr>
            </w:pPr>
          </w:p>
        </w:tc>
        <w:tc>
          <w:tcPr>
            <w:tcW w:w="2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20" w:type="dxa"/>
            <w:vAlign w:val="bottom"/>
          </w:tcPr>
          <w:p>
            <w:pPr>
              <w:spacing w:after="0"/>
              <w:rPr>
                <w:sz w:val="4"/>
                <w:szCs w:val="4"/>
                <w:color w:val="auto"/>
              </w:rPr>
            </w:pPr>
          </w:p>
        </w:tc>
      </w:tr>
      <w:tr>
        <w:trPr>
          <w:trHeight w:val="189"/>
        </w:trPr>
        <w:tc>
          <w:tcPr>
            <w:tcW w:w="368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Gross margin on net product sales</w:t>
            </w:r>
            <w:r>
              <w:rPr>
                <w:rFonts w:ascii="Arial" w:cs="Arial" w:eastAsia="Arial" w:hAnsi="Arial"/>
                <w:sz w:val="21"/>
                <w:szCs w:val="21"/>
                <w:color w:val="auto"/>
                <w:vertAlign w:val="superscript"/>
              </w:rPr>
              <w:t>(5)</w:t>
            </w:r>
          </w:p>
        </w:tc>
        <w:tc>
          <w:tcPr>
            <w:tcW w:w="2740" w:type="dxa"/>
            <w:vAlign w:val="bottom"/>
            <w:gridSpan w:val="2"/>
            <w:shd w:val="clear" w:color="auto" w:fill="CCEEFF"/>
          </w:tcPr>
          <w:p>
            <w:pPr>
              <w:ind w:left="20"/>
              <w:spacing w:after="0" w:line="189" w:lineRule="exact"/>
              <w:rPr>
                <w:sz w:val="20"/>
                <w:szCs w:val="20"/>
                <w:color w:val="auto"/>
              </w:rPr>
            </w:pPr>
            <w:r>
              <w:rPr>
                <w:rFonts w:ascii="Arial" w:cs="Arial" w:eastAsia="Arial" w:hAnsi="Arial"/>
                <w:sz w:val="20"/>
                <w:szCs w:val="20"/>
                <w:color w:val="auto"/>
              </w:rPr>
              <w:t>87–88%</w:t>
            </w:r>
          </w:p>
        </w:tc>
        <w:tc>
          <w:tcPr>
            <w:tcW w:w="2620" w:type="dxa"/>
            <w:vAlign w:val="bottom"/>
            <w:shd w:val="clear" w:color="auto" w:fill="CCEEFF"/>
          </w:tcPr>
          <w:p>
            <w:pPr>
              <w:ind w:left="20"/>
              <w:spacing w:after="0" w:line="189" w:lineRule="exact"/>
              <w:rPr>
                <w:sz w:val="20"/>
                <w:szCs w:val="20"/>
                <w:color w:val="auto"/>
              </w:rPr>
            </w:pPr>
            <w:r>
              <w:rPr>
                <w:rFonts w:ascii="Arial" w:cs="Arial" w:eastAsia="Arial" w:hAnsi="Arial"/>
                <w:sz w:val="20"/>
                <w:szCs w:val="20"/>
                <w:color w:val="auto"/>
              </w:rPr>
              <w:t>88–89%</w:t>
            </w:r>
          </w:p>
        </w:tc>
      </w:tr>
      <w:tr>
        <w:trPr>
          <w:trHeight w:val="277"/>
        </w:trPr>
        <w:tc>
          <w:tcPr>
            <w:tcW w:w="3680" w:type="dxa"/>
            <w:vAlign w:val="bottom"/>
            <w:tcBorders>
              <w:bottom w:val="single" w:sz="8" w:color="CCEEFF"/>
            </w:tcBorders>
            <w:shd w:val="clear" w:color="auto" w:fill="CCEEFF"/>
          </w:tcPr>
          <w:p>
            <w:pPr>
              <w:spacing w:after="0"/>
              <w:rPr>
                <w:sz w:val="24"/>
                <w:szCs w:val="24"/>
                <w:color w:val="auto"/>
              </w:rPr>
            </w:pPr>
          </w:p>
        </w:tc>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20"/>
                <w:szCs w:val="20"/>
                <w:i w:val="1"/>
                <w:iCs w:val="1"/>
                <w:color w:val="auto"/>
              </w:rPr>
              <w:t>(previously 86</w:t>
            </w:r>
            <w:r>
              <w:rPr>
                <w:rFonts w:ascii="Arial" w:cs="Arial" w:eastAsia="Arial" w:hAnsi="Arial"/>
                <w:sz w:val="20"/>
                <w:szCs w:val="20"/>
                <w:color w:val="auto"/>
              </w:rPr>
              <w:t>–</w:t>
            </w:r>
            <w:r>
              <w:rPr>
                <w:rFonts w:ascii="Arial" w:cs="Arial" w:eastAsia="Arial" w:hAnsi="Arial"/>
                <w:sz w:val="20"/>
                <w:szCs w:val="20"/>
                <w:i w:val="1"/>
                <w:iCs w:val="1"/>
                <w:color w:val="auto"/>
              </w:rPr>
              <w:t>88%)</w:t>
            </w:r>
          </w:p>
        </w:tc>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i w:val="1"/>
                <w:iCs w:val="1"/>
                <w:color w:val="auto"/>
              </w:rPr>
              <w:t>(previously 87</w:t>
            </w:r>
            <w:r>
              <w:rPr>
                <w:rFonts w:ascii="Arial" w:cs="Arial" w:eastAsia="Arial" w:hAnsi="Arial"/>
                <w:sz w:val="20"/>
                <w:szCs w:val="20"/>
                <w:color w:val="auto"/>
              </w:rPr>
              <w:t>–</w:t>
            </w:r>
            <w:r>
              <w:rPr>
                <w:rFonts w:ascii="Arial" w:cs="Arial" w:eastAsia="Arial" w:hAnsi="Arial"/>
                <w:sz w:val="20"/>
                <w:szCs w:val="20"/>
                <w:i w:val="1"/>
                <w:iCs w:val="1"/>
                <w:color w:val="auto"/>
              </w:rPr>
              <w:t>89%)</w:t>
            </w:r>
          </w:p>
        </w:tc>
      </w:tr>
      <w:tr>
        <w:trPr>
          <w:trHeight w:val="189"/>
        </w:trPr>
        <w:tc>
          <w:tcPr>
            <w:tcW w:w="3680" w:type="dxa"/>
            <w:vAlign w:val="bottom"/>
          </w:tcPr>
          <w:p>
            <w:pPr>
              <w:ind w:left="20"/>
              <w:spacing w:after="0" w:line="189" w:lineRule="exact"/>
              <w:rPr>
                <w:sz w:val="20"/>
                <w:szCs w:val="20"/>
                <w:color w:val="auto"/>
              </w:rPr>
            </w:pPr>
            <w:r>
              <w:rPr>
                <w:rFonts w:ascii="Arial" w:cs="Arial" w:eastAsia="Arial" w:hAnsi="Arial"/>
                <w:sz w:val="17"/>
                <w:szCs w:val="17"/>
                <w:color w:val="auto"/>
              </w:rPr>
              <w:t>COCM</w:t>
            </w:r>
            <w:r>
              <w:rPr>
                <w:rFonts w:ascii="Arial" w:cs="Arial" w:eastAsia="Arial" w:hAnsi="Arial"/>
                <w:sz w:val="21"/>
                <w:szCs w:val="21"/>
                <w:color w:val="auto"/>
                <w:vertAlign w:val="superscript"/>
              </w:rPr>
              <w:t>(6)</w:t>
            </w:r>
          </w:p>
        </w:tc>
        <w:tc>
          <w:tcPr>
            <w:tcW w:w="2740" w:type="dxa"/>
            <w:vAlign w:val="bottom"/>
            <w:gridSpan w:val="2"/>
          </w:tcPr>
          <w:p>
            <w:pPr>
              <w:ind w:left="20"/>
              <w:spacing w:after="0" w:line="189" w:lineRule="exact"/>
              <w:rPr>
                <w:sz w:val="20"/>
                <w:szCs w:val="20"/>
                <w:color w:val="auto"/>
              </w:rPr>
            </w:pPr>
            <w:r>
              <w:rPr>
                <w:rFonts w:ascii="Arial" w:cs="Arial" w:eastAsia="Arial" w:hAnsi="Arial"/>
                <w:sz w:val="20"/>
                <w:szCs w:val="20"/>
                <w:color w:val="auto"/>
              </w:rPr>
              <w:t>$630 million–$680 million</w:t>
            </w:r>
          </w:p>
        </w:tc>
        <w:tc>
          <w:tcPr>
            <w:tcW w:w="2620" w:type="dxa"/>
            <w:vAlign w:val="bottom"/>
          </w:tcPr>
          <w:p>
            <w:pPr>
              <w:ind w:left="20"/>
              <w:spacing w:after="0" w:line="189" w:lineRule="exact"/>
              <w:rPr>
                <w:sz w:val="20"/>
                <w:szCs w:val="20"/>
                <w:color w:val="auto"/>
              </w:rPr>
            </w:pPr>
            <w:r>
              <w:rPr>
                <w:rFonts w:ascii="Arial" w:cs="Arial" w:eastAsia="Arial" w:hAnsi="Arial"/>
                <w:sz w:val="20"/>
                <w:szCs w:val="20"/>
                <w:color w:val="auto"/>
              </w:rPr>
              <w:t>*</w:t>
            </w:r>
          </w:p>
        </w:tc>
      </w:tr>
      <w:tr>
        <w:trPr>
          <w:trHeight w:val="189"/>
        </w:trPr>
        <w:tc>
          <w:tcPr>
            <w:tcW w:w="3680" w:type="dxa"/>
            <w:vAlign w:val="bottom"/>
          </w:tcPr>
          <w:p>
            <w:pPr>
              <w:spacing w:after="0"/>
              <w:rPr>
                <w:sz w:val="16"/>
                <w:szCs w:val="16"/>
                <w:color w:val="auto"/>
              </w:rPr>
            </w:pPr>
          </w:p>
        </w:tc>
        <w:tc>
          <w:tcPr>
            <w:tcW w:w="2740" w:type="dxa"/>
            <w:vAlign w:val="bottom"/>
            <w:gridSpan w:val="2"/>
          </w:tcPr>
          <w:p>
            <w:pPr>
              <w:ind w:left="20"/>
              <w:spacing w:after="0" w:line="189" w:lineRule="exact"/>
              <w:rPr>
                <w:sz w:val="20"/>
                <w:szCs w:val="20"/>
                <w:color w:val="auto"/>
              </w:rPr>
            </w:pPr>
            <w:r>
              <w:rPr>
                <w:rFonts w:ascii="Arial" w:cs="Arial" w:eastAsia="Arial" w:hAnsi="Arial"/>
                <w:sz w:val="20"/>
                <w:szCs w:val="20"/>
                <w:i w:val="1"/>
                <w:iCs w:val="1"/>
                <w:color w:val="auto"/>
              </w:rPr>
              <w:t>(previously $660 million–</w:t>
            </w:r>
          </w:p>
        </w:tc>
        <w:tc>
          <w:tcPr>
            <w:tcW w:w="2620" w:type="dxa"/>
            <w:vAlign w:val="bottom"/>
          </w:tcPr>
          <w:p>
            <w:pPr>
              <w:spacing w:after="0"/>
              <w:rPr>
                <w:sz w:val="16"/>
                <w:szCs w:val="16"/>
                <w:color w:val="auto"/>
              </w:rPr>
            </w:pPr>
          </w:p>
        </w:tc>
      </w:tr>
      <w:tr>
        <w:trPr>
          <w:trHeight w:val="257"/>
        </w:trPr>
        <w:tc>
          <w:tcPr>
            <w:tcW w:w="3680" w:type="dxa"/>
            <w:vAlign w:val="bottom"/>
          </w:tcPr>
          <w:p>
            <w:pPr>
              <w:spacing w:after="0"/>
              <w:rPr>
                <w:sz w:val="22"/>
                <w:szCs w:val="22"/>
                <w:color w:val="auto"/>
              </w:rPr>
            </w:pPr>
          </w:p>
        </w:tc>
        <w:tc>
          <w:tcPr>
            <w:tcW w:w="2740" w:type="dxa"/>
            <w:vAlign w:val="bottom"/>
            <w:gridSpan w:val="2"/>
          </w:tcPr>
          <w:p>
            <w:pPr>
              <w:ind w:left="20"/>
              <w:spacing w:after="0"/>
              <w:rPr>
                <w:sz w:val="20"/>
                <w:szCs w:val="20"/>
                <w:color w:val="auto"/>
              </w:rPr>
            </w:pPr>
            <w:r>
              <w:rPr>
                <w:rFonts w:ascii="Arial" w:cs="Arial" w:eastAsia="Arial" w:hAnsi="Arial"/>
                <w:sz w:val="20"/>
                <w:szCs w:val="20"/>
                <w:i w:val="1"/>
                <w:iCs w:val="1"/>
                <w:color w:val="auto"/>
              </w:rPr>
              <w:t>$730 million)</w:t>
            </w:r>
          </w:p>
        </w:tc>
        <w:tc>
          <w:tcPr>
            <w:tcW w:w="2620" w:type="dxa"/>
            <w:vAlign w:val="bottom"/>
          </w:tcPr>
          <w:p>
            <w:pPr>
              <w:spacing w:after="0"/>
              <w:rPr>
                <w:sz w:val="22"/>
                <w:szCs w:val="22"/>
                <w:color w:val="auto"/>
              </w:rPr>
            </w:pPr>
          </w:p>
        </w:tc>
      </w:tr>
      <w:tr>
        <w:trPr>
          <w:trHeight w:val="53"/>
        </w:trPr>
        <w:tc>
          <w:tcPr>
            <w:tcW w:w="3680" w:type="dxa"/>
            <w:vAlign w:val="bottom"/>
          </w:tcPr>
          <w:p>
            <w:pPr>
              <w:spacing w:after="0"/>
              <w:rPr>
                <w:sz w:val="4"/>
                <w:szCs w:val="4"/>
                <w:color w:val="auto"/>
              </w:rPr>
            </w:pPr>
          </w:p>
        </w:tc>
        <w:tc>
          <w:tcPr>
            <w:tcW w:w="2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20" w:type="dxa"/>
            <w:vAlign w:val="bottom"/>
          </w:tcPr>
          <w:p>
            <w:pPr>
              <w:spacing w:after="0"/>
              <w:rPr>
                <w:sz w:val="4"/>
                <w:szCs w:val="4"/>
                <w:color w:val="auto"/>
              </w:rPr>
            </w:pPr>
          </w:p>
        </w:tc>
      </w:tr>
      <w:tr>
        <w:trPr>
          <w:trHeight w:val="189"/>
        </w:trPr>
        <w:tc>
          <w:tcPr>
            <w:tcW w:w="3680" w:type="dxa"/>
            <w:vAlign w:val="bottom"/>
            <w:shd w:val="clear" w:color="auto" w:fill="CCEEFF"/>
          </w:tcPr>
          <w:p>
            <w:pPr>
              <w:ind w:left="20"/>
              <w:spacing w:after="0" w:line="189" w:lineRule="exact"/>
              <w:rPr>
                <w:sz w:val="20"/>
                <w:szCs w:val="20"/>
                <w:color w:val="auto"/>
              </w:rPr>
            </w:pPr>
            <w:r>
              <w:rPr>
                <w:rFonts w:ascii="Arial" w:cs="Arial" w:eastAsia="Arial" w:hAnsi="Arial"/>
                <w:sz w:val="20"/>
                <w:szCs w:val="20"/>
                <w:color w:val="auto"/>
              </w:rPr>
              <w:t>Other operating (income) expense, net</w:t>
            </w:r>
          </w:p>
        </w:tc>
        <w:tc>
          <w:tcPr>
            <w:tcW w:w="2740" w:type="dxa"/>
            <w:vAlign w:val="bottom"/>
            <w:gridSpan w:val="2"/>
            <w:shd w:val="clear" w:color="auto" w:fill="CCEEFF"/>
          </w:tcPr>
          <w:p>
            <w:pPr>
              <w:ind w:left="20"/>
              <w:spacing w:after="0" w:line="189" w:lineRule="exact"/>
              <w:rPr>
                <w:sz w:val="20"/>
                <w:szCs w:val="20"/>
                <w:color w:val="auto"/>
              </w:rPr>
            </w:pPr>
            <w:r>
              <w:rPr>
                <w:rFonts w:ascii="Arial" w:cs="Arial" w:eastAsia="Arial" w:hAnsi="Arial"/>
                <w:sz w:val="20"/>
                <w:szCs w:val="20"/>
                <w:color w:val="auto"/>
              </w:rPr>
              <w:t>($135) million–($155) million</w:t>
            </w:r>
          </w:p>
        </w:tc>
        <w:tc>
          <w:tcPr>
            <w:tcW w:w="2620" w:type="dxa"/>
            <w:vAlign w:val="bottom"/>
            <w:shd w:val="clear" w:color="auto" w:fill="CCEEFF"/>
          </w:tcPr>
          <w:p>
            <w:pPr>
              <w:ind w:left="20"/>
              <w:spacing w:after="0" w:line="189" w:lineRule="exact"/>
              <w:rPr>
                <w:sz w:val="20"/>
                <w:szCs w:val="20"/>
                <w:color w:val="auto"/>
              </w:rPr>
            </w:pPr>
            <w:r>
              <w:rPr>
                <w:rFonts w:ascii="Arial" w:cs="Arial" w:eastAsia="Arial" w:hAnsi="Arial"/>
                <w:sz w:val="20"/>
                <w:szCs w:val="20"/>
                <w:color w:val="auto"/>
              </w:rPr>
              <w:t>*</w:t>
            </w:r>
          </w:p>
        </w:tc>
      </w:tr>
      <w:tr>
        <w:trPr>
          <w:trHeight w:val="189"/>
        </w:trPr>
        <w:tc>
          <w:tcPr>
            <w:tcW w:w="3680" w:type="dxa"/>
            <w:vAlign w:val="bottom"/>
            <w:shd w:val="clear" w:color="auto" w:fill="CCEEFF"/>
          </w:tcPr>
          <w:p>
            <w:pPr>
              <w:spacing w:after="0"/>
              <w:rPr>
                <w:sz w:val="16"/>
                <w:szCs w:val="16"/>
                <w:color w:val="auto"/>
              </w:rPr>
            </w:pPr>
          </w:p>
        </w:tc>
        <w:tc>
          <w:tcPr>
            <w:tcW w:w="2740" w:type="dxa"/>
            <w:vAlign w:val="bottom"/>
            <w:gridSpan w:val="2"/>
            <w:shd w:val="clear" w:color="auto" w:fill="CCEEFF"/>
          </w:tcPr>
          <w:p>
            <w:pPr>
              <w:ind w:left="20"/>
              <w:spacing w:after="0" w:line="189" w:lineRule="exact"/>
              <w:rPr>
                <w:sz w:val="20"/>
                <w:szCs w:val="20"/>
                <w:color w:val="auto"/>
              </w:rPr>
            </w:pPr>
            <w:r>
              <w:rPr>
                <w:rFonts w:ascii="Arial" w:cs="Arial" w:eastAsia="Arial" w:hAnsi="Arial"/>
                <w:sz w:val="20"/>
                <w:szCs w:val="20"/>
                <w:i w:val="1"/>
                <w:iCs w:val="1"/>
                <w:color w:val="auto"/>
              </w:rPr>
              <w:t>(previously ($150) million–</w:t>
            </w:r>
          </w:p>
        </w:tc>
        <w:tc>
          <w:tcPr>
            <w:tcW w:w="2620" w:type="dxa"/>
            <w:vAlign w:val="bottom"/>
            <w:shd w:val="clear" w:color="auto" w:fill="CCEEFF"/>
          </w:tcPr>
          <w:p>
            <w:pPr>
              <w:spacing w:after="0"/>
              <w:rPr>
                <w:sz w:val="16"/>
                <w:szCs w:val="16"/>
                <w:color w:val="auto"/>
              </w:rPr>
            </w:pPr>
          </w:p>
        </w:tc>
      </w:tr>
      <w:tr>
        <w:trPr>
          <w:trHeight w:val="290"/>
        </w:trPr>
        <w:tc>
          <w:tcPr>
            <w:tcW w:w="3680" w:type="dxa"/>
            <w:vAlign w:val="bottom"/>
            <w:tcBorders>
              <w:bottom w:val="single" w:sz="8" w:color="CCEEFF"/>
            </w:tcBorders>
            <w:shd w:val="clear" w:color="auto" w:fill="CCEEFF"/>
          </w:tcPr>
          <w:p>
            <w:pPr>
              <w:spacing w:after="0"/>
              <w:rPr>
                <w:sz w:val="24"/>
                <w:szCs w:val="24"/>
                <w:color w:val="auto"/>
              </w:rPr>
            </w:pPr>
          </w:p>
        </w:tc>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20"/>
                <w:szCs w:val="20"/>
                <w:i w:val="1"/>
                <w:iCs w:val="1"/>
                <w:color w:val="auto"/>
              </w:rPr>
              <w:t>($175) million)</w:t>
            </w:r>
          </w:p>
        </w:tc>
        <w:tc>
          <w:tcPr>
            <w:tcW w:w="2620" w:type="dxa"/>
            <w:vAlign w:val="bottom"/>
            <w:tcBorders>
              <w:bottom w:val="single" w:sz="8" w:color="CCEEFF"/>
            </w:tcBorders>
            <w:shd w:val="clear" w:color="auto" w:fill="CCEEFF"/>
          </w:tcPr>
          <w:p>
            <w:pPr>
              <w:spacing w:after="0"/>
              <w:rPr>
                <w:sz w:val="24"/>
                <w:szCs w:val="24"/>
                <w:color w:val="auto"/>
              </w:rPr>
            </w:pPr>
          </w:p>
        </w:tc>
      </w:tr>
      <w:tr>
        <w:trPr>
          <w:trHeight w:val="189"/>
        </w:trPr>
        <w:tc>
          <w:tcPr>
            <w:tcW w:w="3680" w:type="dxa"/>
            <w:vAlign w:val="bottom"/>
          </w:tcPr>
          <w:p>
            <w:pPr>
              <w:ind w:left="20"/>
              <w:spacing w:after="0" w:line="189" w:lineRule="exact"/>
              <w:rPr>
                <w:sz w:val="20"/>
                <w:szCs w:val="20"/>
                <w:color w:val="auto"/>
              </w:rPr>
            </w:pPr>
            <w:r>
              <w:rPr>
                <w:rFonts w:ascii="Arial" w:cs="Arial" w:eastAsia="Arial" w:hAnsi="Arial"/>
                <w:sz w:val="20"/>
                <w:szCs w:val="20"/>
                <w:color w:val="auto"/>
              </w:rPr>
              <w:t>Capital expenditures</w:t>
            </w:r>
          </w:p>
        </w:tc>
        <w:tc>
          <w:tcPr>
            <w:tcW w:w="2740" w:type="dxa"/>
            <w:vAlign w:val="bottom"/>
            <w:gridSpan w:val="2"/>
          </w:tcPr>
          <w:p>
            <w:pPr>
              <w:ind w:left="20"/>
              <w:spacing w:after="0" w:line="189" w:lineRule="exact"/>
              <w:rPr>
                <w:sz w:val="20"/>
                <w:szCs w:val="20"/>
                <w:color w:val="auto"/>
              </w:rPr>
            </w:pPr>
            <w:r>
              <w:rPr>
                <w:rFonts w:ascii="Arial" w:cs="Arial" w:eastAsia="Arial" w:hAnsi="Arial"/>
                <w:sz w:val="20"/>
                <w:szCs w:val="20"/>
                <w:color w:val="auto"/>
              </w:rPr>
              <w:t>$590 million–$640 million</w:t>
            </w:r>
          </w:p>
        </w:tc>
        <w:tc>
          <w:tcPr>
            <w:tcW w:w="2620" w:type="dxa"/>
            <w:vAlign w:val="bottom"/>
          </w:tcPr>
          <w:p>
            <w:pPr>
              <w:ind w:left="20"/>
              <w:spacing w:after="0" w:line="189" w:lineRule="exact"/>
              <w:rPr>
                <w:sz w:val="20"/>
                <w:szCs w:val="20"/>
                <w:color w:val="auto"/>
              </w:rPr>
            </w:pPr>
            <w:r>
              <w:rPr>
                <w:rFonts w:ascii="Arial" w:cs="Arial" w:eastAsia="Arial" w:hAnsi="Arial"/>
                <w:sz w:val="20"/>
                <w:szCs w:val="20"/>
                <w:color w:val="auto"/>
              </w:rPr>
              <w:t>*</w:t>
            </w:r>
          </w:p>
        </w:tc>
      </w:tr>
      <w:tr>
        <w:trPr>
          <w:trHeight w:val="189"/>
        </w:trPr>
        <w:tc>
          <w:tcPr>
            <w:tcW w:w="3680" w:type="dxa"/>
            <w:vAlign w:val="bottom"/>
          </w:tcPr>
          <w:p>
            <w:pPr>
              <w:spacing w:after="0"/>
              <w:rPr>
                <w:sz w:val="16"/>
                <w:szCs w:val="16"/>
                <w:color w:val="auto"/>
              </w:rPr>
            </w:pPr>
          </w:p>
        </w:tc>
        <w:tc>
          <w:tcPr>
            <w:tcW w:w="2740" w:type="dxa"/>
            <w:vAlign w:val="bottom"/>
            <w:gridSpan w:val="2"/>
          </w:tcPr>
          <w:p>
            <w:pPr>
              <w:ind w:left="20"/>
              <w:spacing w:after="0" w:line="189" w:lineRule="exact"/>
              <w:rPr>
                <w:sz w:val="20"/>
                <w:szCs w:val="20"/>
                <w:color w:val="auto"/>
              </w:rPr>
            </w:pPr>
            <w:r>
              <w:rPr>
                <w:rFonts w:ascii="Arial" w:cs="Arial" w:eastAsia="Arial" w:hAnsi="Arial"/>
                <w:sz w:val="20"/>
                <w:szCs w:val="20"/>
                <w:i w:val="1"/>
                <w:iCs w:val="1"/>
                <w:color w:val="auto"/>
              </w:rPr>
              <w:t>(previously $585 million–</w:t>
            </w:r>
          </w:p>
        </w:tc>
        <w:tc>
          <w:tcPr>
            <w:tcW w:w="2620" w:type="dxa"/>
            <w:vAlign w:val="bottom"/>
          </w:tcPr>
          <w:p>
            <w:pPr>
              <w:spacing w:after="0"/>
              <w:rPr>
                <w:sz w:val="16"/>
                <w:szCs w:val="16"/>
                <w:color w:val="auto"/>
              </w:rPr>
            </w:pPr>
          </w:p>
        </w:tc>
      </w:tr>
      <w:tr>
        <w:trPr>
          <w:trHeight w:val="257"/>
        </w:trPr>
        <w:tc>
          <w:tcPr>
            <w:tcW w:w="3680" w:type="dxa"/>
            <w:vAlign w:val="bottom"/>
          </w:tcPr>
          <w:p>
            <w:pPr>
              <w:spacing w:after="0"/>
              <w:rPr>
                <w:sz w:val="22"/>
                <w:szCs w:val="22"/>
                <w:color w:val="auto"/>
              </w:rPr>
            </w:pPr>
          </w:p>
        </w:tc>
        <w:tc>
          <w:tcPr>
            <w:tcW w:w="2740" w:type="dxa"/>
            <w:vAlign w:val="bottom"/>
            <w:gridSpan w:val="2"/>
          </w:tcPr>
          <w:p>
            <w:pPr>
              <w:ind w:left="20"/>
              <w:spacing w:after="0"/>
              <w:rPr>
                <w:sz w:val="20"/>
                <w:szCs w:val="20"/>
                <w:color w:val="auto"/>
              </w:rPr>
            </w:pPr>
            <w:r>
              <w:rPr>
                <w:rFonts w:ascii="Arial" w:cs="Arial" w:eastAsia="Arial" w:hAnsi="Arial"/>
                <w:sz w:val="20"/>
                <w:szCs w:val="20"/>
                <w:i w:val="1"/>
                <w:iCs w:val="1"/>
                <w:color w:val="auto"/>
              </w:rPr>
              <w:t>$650 million)</w:t>
            </w:r>
          </w:p>
        </w:tc>
        <w:tc>
          <w:tcPr>
            <w:tcW w:w="2620" w:type="dxa"/>
            <w:vAlign w:val="bottom"/>
          </w:tcPr>
          <w:p>
            <w:pPr>
              <w:spacing w:after="0"/>
              <w:rPr>
                <w:sz w:val="22"/>
                <w:szCs w:val="22"/>
                <w:color w:val="auto"/>
              </w:rPr>
            </w:pPr>
          </w:p>
        </w:tc>
      </w:tr>
      <w:tr>
        <w:trPr>
          <w:trHeight w:val="53"/>
        </w:trPr>
        <w:tc>
          <w:tcPr>
            <w:tcW w:w="3680" w:type="dxa"/>
            <w:vAlign w:val="bottom"/>
          </w:tcPr>
          <w:p>
            <w:pPr>
              <w:spacing w:after="0"/>
              <w:rPr>
                <w:sz w:val="4"/>
                <w:szCs w:val="4"/>
                <w:color w:val="auto"/>
              </w:rPr>
            </w:pPr>
          </w:p>
        </w:tc>
        <w:tc>
          <w:tcPr>
            <w:tcW w:w="2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20" w:type="dxa"/>
            <w:vAlign w:val="bottom"/>
          </w:tcPr>
          <w:p>
            <w:pPr>
              <w:spacing w:after="0"/>
              <w:rPr>
                <w:sz w:val="4"/>
                <w:szCs w:val="4"/>
                <w:color w:val="auto"/>
              </w:rPr>
            </w:pPr>
          </w:p>
        </w:tc>
      </w:tr>
      <w:tr>
        <w:trPr>
          <w:trHeight w:val="189"/>
        </w:trPr>
        <w:tc>
          <w:tcPr>
            <w:tcW w:w="3680" w:type="dxa"/>
            <w:vAlign w:val="bottom"/>
            <w:shd w:val="clear" w:color="auto" w:fill="CCEEFF"/>
          </w:tcPr>
          <w:p>
            <w:pPr>
              <w:ind w:left="20"/>
              <w:spacing w:after="0" w:line="189" w:lineRule="exact"/>
              <w:rPr>
                <w:sz w:val="20"/>
                <w:szCs w:val="20"/>
                <w:color w:val="auto"/>
              </w:rPr>
            </w:pPr>
            <w:r>
              <w:rPr>
                <w:rFonts w:ascii="Arial" w:cs="Arial" w:eastAsia="Arial" w:hAnsi="Arial"/>
                <w:sz w:val="20"/>
                <w:szCs w:val="20"/>
                <w:color w:val="auto"/>
              </w:rPr>
              <w:t>Effective tax rate (ETR)</w:t>
            </w:r>
          </w:p>
        </w:tc>
        <w:tc>
          <w:tcPr>
            <w:tcW w:w="2740" w:type="dxa"/>
            <w:vAlign w:val="bottom"/>
            <w:gridSpan w:val="2"/>
            <w:shd w:val="clear" w:color="auto" w:fill="CCEEFF"/>
          </w:tcPr>
          <w:p>
            <w:pPr>
              <w:ind w:left="20"/>
              <w:spacing w:after="0" w:line="189" w:lineRule="exact"/>
              <w:rPr>
                <w:sz w:val="20"/>
                <w:szCs w:val="20"/>
                <w:color w:val="auto"/>
              </w:rPr>
            </w:pPr>
            <w:r>
              <w:rPr>
                <w:rFonts w:ascii="Arial" w:cs="Arial" w:eastAsia="Arial" w:hAnsi="Arial"/>
                <w:sz w:val="20"/>
                <w:szCs w:val="20"/>
                <w:color w:val="auto"/>
              </w:rPr>
              <w:t>14–16%</w:t>
            </w:r>
          </w:p>
        </w:tc>
        <w:tc>
          <w:tcPr>
            <w:tcW w:w="2620" w:type="dxa"/>
            <w:vAlign w:val="bottom"/>
            <w:shd w:val="clear" w:color="auto" w:fill="CCEEFF"/>
          </w:tcPr>
          <w:p>
            <w:pPr>
              <w:ind w:left="20"/>
              <w:spacing w:after="0" w:line="189" w:lineRule="exact"/>
              <w:rPr>
                <w:sz w:val="20"/>
                <w:szCs w:val="20"/>
                <w:color w:val="auto"/>
              </w:rPr>
            </w:pPr>
            <w:r>
              <w:rPr>
                <w:rFonts w:ascii="Arial" w:cs="Arial" w:eastAsia="Arial" w:hAnsi="Arial"/>
                <w:sz w:val="20"/>
                <w:szCs w:val="20"/>
                <w:color w:val="auto"/>
              </w:rPr>
              <w:t>14–16%</w:t>
            </w:r>
          </w:p>
        </w:tc>
      </w:tr>
      <w:tr>
        <w:trPr>
          <w:trHeight w:val="257"/>
        </w:trPr>
        <w:tc>
          <w:tcPr>
            <w:tcW w:w="3680" w:type="dxa"/>
            <w:vAlign w:val="bottom"/>
            <w:shd w:val="clear" w:color="auto" w:fill="CCEEFF"/>
          </w:tcPr>
          <w:p>
            <w:pPr>
              <w:spacing w:after="0"/>
              <w:rPr>
                <w:sz w:val="22"/>
                <w:szCs w:val="22"/>
                <w:color w:val="auto"/>
              </w:rPr>
            </w:pPr>
          </w:p>
        </w:tc>
        <w:tc>
          <w:tcPr>
            <w:tcW w:w="2740" w:type="dxa"/>
            <w:vAlign w:val="bottom"/>
            <w:gridSpan w:val="2"/>
            <w:shd w:val="clear" w:color="auto" w:fill="CCEEFF"/>
          </w:tcPr>
          <w:p>
            <w:pPr>
              <w:ind w:left="20"/>
              <w:spacing w:after="0"/>
              <w:rPr>
                <w:sz w:val="20"/>
                <w:szCs w:val="20"/>
                <w:color w:val="auto"/>
              </w:rPr>
            </w:pPr>
            <w:r>
              <w:rPr>
                <w:rFonts w:ascii="Arial" w:cs="Arial" w:eastAsia="Arial" w:hAnsi="Arial"/>
                <w:sz w:val="20"/>
                <w:szCs w:val="20"/>
                <w:i w:val="1"/>
                <w:iCs w:val="1"/>
                <w:color w:val="auto"/>
              </w:rPr>
              <w:t>(previously 12–14%)</w:t>
            </w:r>
          </w:p>
        </w:tc>
        <w:tc>
          <w:tcPr>
            <w:tcW w:w="2620" w:type="dxa"/>
            <w:vAlign w:val="bottom"/>
            <w:shd w:val="clear" w:color="auto" w:fill="CCEEFF"/>
          </w:tcPr>
          <w:p>
            <w:pPr>
              <w:ind w:left="20"/>
              <w:spacing w:after="0"/>
              <w:rPr>
                <w:sz w:val="20"/>
                <w:szCs w:val="20"/>
                <w:color w:val="auto"/>
              </w:rPr>
            </w:pPr>
            <w:r>
              <w:rPr>
                <w:rFonts w:ascii="Arial" w:cs="Arial" w:eastAsia="Arial" w:hAnsi="Arial"/>
                <w:sz w:val="20"/>
                <w:szCs w:val="20"/>
                <w:i w:val="1"/>
                <w:iCs w:val="1"/>
                <w:color w:val="auto"/>
              </w:rPr>
              <w:t>(previously 13–15%)</w:t>
            </w:r>
          </w:p>
        </w:tc>
      </w:tr>
      <w:tr>
        <w:trPr>
          <w:trHeight w:val="40"/>
        </w:trPr>
        <w:tc>
          <w:tcPr>
            <w:tcW w:w="3680" w:type="dxa"/>
            <w:vAlign w:val="bottom"/>
            <w:shd w:val="clear" w:color="auto" w:fill="CCEEFF"/>
          </w:tcPr>
          <w:p>
            <w:pPr>
              <w:spacing w:after="0"/>
              <w:rPr>
                <w:sz w:val="3"/>
                <w:szCs w:val="3"/>
                <w:color w:val="auto"/>
              </w:rPr>
            </w:pPr>
          </w:p>
        </w:tc>
        <w:tc>
          <w:tcPr>
            <w:tcW w:w="26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620" w:type="dxa"/>
            <w:vAlign w:val="bottom"/>
            <w:shd w:val="clear" w:color="auto" w:fill="CCEEFF"/>
          </w:tcPr>
          <w:p>
            <w:pPr>
              <w:spacing w:after="0"/>
              <w:rPr>
                <w:sz w:val="3"/>
                <w:szCs w:val="3"/>
                <w:color w:val="auto"/>
              </w:rPr>
            </w:pPr>
          </w:p>
        </w:tc>
      </w:tr>
    </w:tbl>
    <w:p>
      <w:pPr>
        <w:spacing w:after="0" w:line="111" w:lineRule="exact"/>
        <w:rPr>
          <w:sz w:val="20"/>
          <w:szCs w:val="20"/>
          <w:color w:val="auto"/>
        </w:rPr>
      </w:pPr>
    </w:p>
    <w:p>
      <w:pPr>
        <w:ind w:left="300" w:hanging="112"/>
        <w:spacing w:after="0"/>
        <w:tabs>
          <w:tab w:leader="none" w:pos="300" w:val="left"/>
        </w:tabs>
        <w:numPr>
          <w:ilvl w:val="0"/>
          <w:numId w:val="15"/>
        </w:numPr>
        <w:rPr>
          <w:rFonts w:ascii="Arial" w:cs="Arial" w:eastAsia="Arial" w:hAnsi="Arial"/>
          <w:sz w:val="18"/>
          <w:szCs w:val="18"/>
          <w:color w:val="auto"/>
        </w:rPr>
      </w:pPr>
      <w:r>
        <w:rPr>
          <w:rFonts w:ascii="Arial" w:cs="Arial" w:eastAsia="Arial" w:hAnsi="Arial"/>
          <w:sz w:val="16"/>
          <w:szCs w:val="16"/>
          <w:color w:val="auto"/>
        </w:rPr>
        <w:t>GAAP and non-GAAP amounts are equivalent as no non-GAAP adjustments have been or are expected to be recorded.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7</w:t>
      </w:r>
    </w:p>
    <w:p>
      <w:pPr>
        <w:sectPr>
          <w:pgSz w:w="11900" w:h="16838" w:orient="portrait"/>
          <w:cols w:equalWidth="0" w:num="1">
            <w:col w:w="10139"/>
          </w:cols>
          <w:pgMar w:left="320" w:top="1057" w:right="1440" w:bottom="1440" w:gutter="0" w:footer="0" w:header="0"/>
        </w:sectPr>
      </w:pPr>
    </w:p>
    <w:bookmarkStart w:id="10" w:name="page11"/>
    <w:bookmarkEnd w:id="10"/>
    <w:p>
      <w:pPr>
        <w:spacing w:after="0"/>
        <w:rPr>
          <w:sz w:val="20"/>
          <w:szCs w:val="20"/>
          <w:color w:val="auto"/>
        </w:rPr>
      </w:pPr>
      <w:r>
        <w:rPr>
          <w:rFonts w:ascii="Arial" w:cs="Arial" w:eastAsia="Arial" w:hAnsi="Arial"/>
          <w:sz w:val="21"/>
          <w:szCs w:val="21"/>
          <w:color w:val="auto"/>
        </w:rPr>
        <w:t>A reconciliation of full year 2021 GAAP to Non-GAAP financial guidance is included below:</w:t>
      </w:r>
    </w:p>
    <w:p>
      <w:pPr>
        <w:spacing w:after="0" w:line="156" w:lineRule="exact"/>
        <w:rPr>
          <w:sz w:val="20"/>
          <w:szCs w:val="20"/>
          <w:color w:val="auto"/>
        </w:rPr>
      </w:pPr>
    </w:p>
    <w:p>
      <w:pPr>
        <w:ind w:left="5940"/>
        <w:spacing w:after="0"/>
        <w:rPr>
          <w:sz w:val="20"/>
          <w:szCs w:val="20"/>
          <w:color w:val="auto"/>
        </w:rPr>
      </w:pPr>
      <w:r>
        <w:rPr>
          <w:rFonts w:ascii="Arial" w:cs="Arial" w:eastAsia="Arial" w:hAnsi="Arial"/>
          <w:sz w:val="20"/>
          <w:szCs w:val="20"/>
          <w:b w:val="1"/>
          <w:bCs w:val="1"/>
          <w:color w:val="auto"/>
        </w:rPr>
        <w:t>Projected Range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10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3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gridSpan w:val="2"/>
          </w:tcPr>
          <w:p>
            <w:pPr>
              <w:ind w:left="280"/>
              <w:spacing w:after="0"/>
              <w:rPr>
                <w:sz w:val="20"/>
                <w:szCs w:val="20"/>
                <w:color w:val="auto"/>
              </w:rPr>
            </w:pPr>
            <w:r>
              <w:rPr>
                <w:rFonts w:ascii="Arial" w:cs="Arial" w:eastAsia="Arial" w:hAnsi="Arial"/>
                <w:sz w:val="20"/>
                <w:szCs w:val="20"/>
                <w:b w:val="1"/>
                <w:bCs w:val="1"/>
                <w:color w:val="auto"/>
              </w:rPr>
              <w:t>Low</w:t>
            </w: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461"/>
              <w:spacing w:after="0"/>
              <w:rPr>
                <w:sz w:val="20"/>
                <w:szCs w:val="20"/>
                <w:color w:val="auto"/>
              </w:rPr>
            </w:pPr>
            <w:r>
              <w:rPr>
                <w:rFonts w:ascii="Arial" w:cs="Arial" w:eastAsia="Arial" w:hAnsi="Arial"/>
                <w:sz w:val="20"/>
                <w:szCs w:val="20"/>
                <w:b w:val="1"/>
                <w:bCs w:val="1"/>
                <w:color w:val="auto"/>
              </w:rPr>
              <w:t>High</w:t>
            </w:r>
          </w:p>
        </w:tc>
        <w:tc>
          <w:tcPr>
            <w:tcW w:w="0" w:type="dxa"/>
            <w:vAlign w:val="bottom"/>
          </w:tcPr>
          <w:p>
            <w:pPr>
              <w:spacing w:after="0"/>
              <w:rPr>
                <w:sz w:val="1"/>
                <w:szCs w:val="1"/>
                <w:color w:val="auto"/>
              </w:rPr>
            </w:pPr>
          </w:p>
        </w:tc>
      </w:tr>
      <w:tr>
        <w:trPr>
          <w:trHeight w:val="237"/>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GAAP R&amp;D</w:t>
            </w:r>
          </w:p>
        </w:tc>
        <w:tc>
          <w:tcPr>
            <w:tcW w:w="30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2,950</w:t>
            </w:r>
          </w:p>
        </w:tc>
        <w:tc>
          <w:tcPr>
            <w:tcW w:w="12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20"/>
                <w:szCs w:val="20"/>
                <w:color w:val="auto"/>
                <w:w w:val="8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3,075</w:t>
            </w:r>
          </w:p>
        </w:tc>
        <w:tc>
          <w:tcPr>
            <w:tcW w:w="0" w:type="dxa"/>
            <w:vAlign w:val="bottom"/>
          </w:tcPr>
          <w:p>
            <w:pPr>
              <w:spacing w:after="0"/>
              <w:rPr>
                <w:sz w:val="1"/>
                <w:szCs w:val="1"/>
                <w:color w:val="auto"/>
              </w:rPr>
            </w:pPr>
          </w:p>
        </w:tc>
      </w:tr>
      <w:tr>
        <w:trPr>
          <w:trHeight w:val="243"/>
        </w:trPr>
        <w:tc>
          <w:tcPr>
            <w:tcW w:w="5100" w:type="dxa"/>
            <w:vAlign w:val="bottom"/>
            <w:tcBorders>
              <w:bottom w:val="single" w:sz="8" w:color="CCEEFF"/>
            </w:tcBorders>
          </w:tcPr>
          <w:p>
            <w:pPr>
              <w:ind w:left="220"/>
              <w:spacing w:after="0"/>
              <w:rPr>
                <w:sz w:val="20"/>
                <w:szCs w:val="20"/>
                <w:color w:val="auto"/>
              </w:rPr>
            </w:pPr>
            <w:r>
              <w:rPr>
                <w:rFonts w:ascii="Arial" w:cs="Arial" w:eastAsia="Arial" w:hAnsi="Arial"/>
                <w:sz w:val="20"/>
                <w:szCs w:val="20"/>
                <w:color w:val="auto"/>
              </w:rPr>
              <w:t>R&amp;D: Non-cash share-based compensation expense</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(300)</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(325)</w:t>
            </w:r>
          </w:p>
        </w:tc>
        <w:tc>
          <w:tcPr>
            <w:tcW w:w="0" w:type="dxa"/>
            <w:vAlign w:val="bottom"/>
          </w:tcPr>
          <w:p>
            <w:pPr>
              <w:spacing w:after="0"/>
              <w:rPr>
                <w:sz w:val="1"/>
                <w:szCs w:val="1"/>
                <w:color w:val="auto"/>
              </w:rPr>
            </w:pPr>
          </w:p>
        </w:tc>
      </w:tr>
      <w:tr>
        <w:trPr>
          <w:trHeight w:val="237"/>
        </w:trPr>
        <w:tc>
          <w:tcPr>
            <w:tcW w:w="5100" w:type="dxa"/>
            <w:vAlign w:val="bottom"/>
            <w:shd w:val="clear" w:color="auto" w:fill="CCEEFF"/>
          </w:tcPr>
          <w:p>
            <w:pPr>
              <w:ind w:left="20"/>
              <w:spacing w:after="0"/>
              <w:rPr>
                <w:sz w:val="20"/>
                <w:szCs w:val="20"/>
                <w:color w:val="auto"/>
              </w:rPr>
            </w:pPr>
            <w:r>
              <w:rPr>
                <w:rFonts w:ascii="Arial" w:cs="Arial" w:eastAsia="Arial" w:hAnsi="Arial"/>
                <w:sz w:val="20"/>
                <w:szCs w:val="20"/>
                <w:color w:val="auto"/>
              </w:rPr>
              <w:t>Non-GAAP R&amp;D</w:t>
            </w: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2,650</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20"/>
                <w:szCs w:val="20"/>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2,750</w:t>
            </w:r>
          </w:p>
        </w:tc>
        <w:tc>
          <w:tcPr>
            <w:tcW w:w="0" w:type="dxa"/>
            <w:vAlign w:val="bottom"/>
          </w:tcPr>
          <w:p>
            <w:pPr>
              <w:spacing w:after="0"/>
              <w:rPr>
                <w:sz w:val="1"/>
                <w:szCs w:val="1"/>
                <w:color w:val="auto"/>
              </w:rPr>
            </w:pPr>
          </w:p>
        </w:tc>
      </w:tr>
      <w:tr>
        <w:trPr>
          <w:trHeight w:val="250"/>
        </w:trPr>
        <w:tc>
          <w:tcPr>
            <w:tcW w:w="5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0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SG&amp;A</w:t>
            </w:r>
          </w:p>
        </w:tc>
        <w:tc>
          <w:tcPr>
            <w:tcW w:w="30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1,730</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21"/>
              <w:spacing w:after="0"/>
              <w:rPr>
                <w:sz w:val="20"/>
                <w:szCs w:val="20"/>
                <w:color w:val="auto"/>
              </w:rPr>
            </w:pPr>
            <w:r>
              <w:rPr>
                <w:rFonts w:ascii="Arial" w:cs="Arial" w:eastAsia="Arial" w:hAnsi="Arial"/>
                <w:sz w:val="20"/>
                <w:szCs w:val="20"/>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1,830</w:t>
            </w:r>
          </w:p>
        </w:tc>
        <w:tc>
          <w:tcPr>
            <w:tcW w:w="0" w:type="dxa"/>
            <w:vAlign w:val="bottom"/>
          </w:tcPr>
          <w:p>
            <w:pPr>
              <w:spacing w:after="0"/>
              <w:rPr>
                <w:sz w:val="1"/>
                <w:szCs w:val="1"/>
                <w:color w:val="auto"/>
              </w:rPr>
            </w:pPr>
          </w:p>
        </w:tc>
      </w:tr>
      <w:tr>
        <w:trPr>
          <w:trHeight w:val="199"/>
        </w:trPr>
        <w:tc>
          <w:tcPr>
            <w:tcW w:w="5100" w:type="dxa"/>
            <w:vAlign w:val="bottom"/>
          </w:tcPr>
          <w:p>
            <w:pPr>
              <w:ind w:left="220"/>
              <w:spacing w:after="0" w:line="199" w:lineRule="exact"/>
              <w:rPr>
                <w:sz w:val="20"/>
                <w:szCs w:val="20"/>
                <w:color w:val="auto"/>
              </w:rPr>
            </w:pPr>
            <w:r>
              <w:rPr>
                <w:rFonts w:ascii="Arial" w:cs="Arial" w:eastAsia="Arial" w:hAnsi="Arial"/>
                <w:sz w:val="20"/>
                <w:szCs w:val="20"/>
                <w:color w:val="auto"/>
              </w:rPr>
              <w:t>SG&amp;A: Non-cash share-based compensation</w:t>
            </w:r>
          </w:p>
        </w:tc>
        <w:tc>
          <w:tcPr>
            <w:tcW w:w="300" w:type="dxa"/>
            <w:vAlign w:val="bottom"/>
          </w:tcPr>
          <w:p>
            <w:pPr>
              <w:spacing w:after="0"/>
              <w:rPr>
                <w:sz w:val="17"/>
                <w:szCs w:val="17"/>
                <w:color w:val="auto"/>
              </w:rPr>
            </w:pPr>
          </w:p>
        </w:tc>
        <w:tc>
          <w:tcPr>
            <w:tcW w:w="1260" w:type="dxa"/>
            <w:vAlign w:val="bottom"/>
            <w:vMerge w:val="restart"/>
          </w:tcPr>
          <w:p>
            <w:pPr>
              <w:jc w:val="right"/>
              <w:spacing w:after="0"/>
              <w:rPr>
                <w:sz w:val="20"/>
                <w:szCs w:val="20"/>
                <w:color w:val="auto"/>
              </w:rPr>
            </w:pPr>
            <w:r>
              <w:rPr>
                <w:rFonts w:ascii="Arial" w:cs="Arial" w:eastAsia="Arial" w:hAnsi="Arial"/>
                <w:sz w:val="20"/>
                <w:szCs w:val="20"/>
                <w:color w:val="auto"/>
              </w:rPr>
              <w:t>(190)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vMerge w:val="restart"/>
          </w:tcPr>
          <w:p>
            <w:pPr>
              <w:jc w:val="right"/>
              <w:spacing w:after="0"/>
              <w:rPr>
                <w:sz w:val="20"/>
                <w:szCs w:val="20"/>
                <w:color w:val="auto"/>
              </w:rPr>
            </w:pPr>
            <w:r>
              <w:rPr>
                <w:rFonts w:ascii="Arial" w:cs="Arial" w:eastAsia="Arial" w:hAnsi="Arial"/>
                <w:sz w:val="20"/>
                <w:szCs w:val="20"/>
                <w:color w:val="auto"/>
              </w:rPr>
              <w:t>(210)</w:t>
            </w:r>
          </w:p>
        </w:tc>
        <w:tc>
          <w:tcPr>
            <w:tcW w:w="0" w:type="dxa"/>
            <w:vAlign w:val="bottom"/>
          </w:tcPr>
          <w:p>
            <w:pPr>
              <w:spacing w:after="0"/>
              <w:rPr>
                <w:sz w:val="1"/>
                <w:szCs w:val="1"/>
                <w:color w:val="auto"/>
              </w:rPr>
            </w:pPr>
          </w:p>
        </w:tc>
      </w:tr>
      <w:tr>
        <w:trPr>
          <w:trHeight w:val="233"/>
        </w:trPr>
        <w:tc>
          <w:tcPr>
            <w:tcW w:w="5100" w:type="dxa"/>
            <w:vAlign w:val="bottom"/>
            <w:tcBorders>
              <w:bottom w:val="single" w:sz="8" w:color="CCEEFF"/>
            </w:tcBorders>
          </w:tcPr>
          <w:p>
            <w:pPr>
              <w:ind w:left="400"/>
              <w:spacing w:after="0"/>
              <w:rPr>
                <w:sz w:val="20"/>
                <w:szCs w:val="20"/>
                <w:color w:val="auto"/>
              </w:rPr>
            </w:pPr>
            <w:r>
              <w:rPr>
                <w:rFonts w:ascii="Arial" w:cs="Arial" w:eastAsia="Arial" w:hAnsi="Arial"/>
                <w:sz w:val="20"/>
                <w:szCs w:val="20"/>
                <w:color w:val="auto"/>
              </w:rPr>
              <w:t>expense</w:t>
            </w: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100" w:type="dxa"/>
            <w:vAlign w:val="bottom"/>
            <w:shd w:val="clear" w:color="auto" w:fill="CCEEFF"/>
          </w:tcPr>
          <w:p>
            <w:pPr>
              <w:ind w:left="20"/>
              <w:spacing w:after="0"/>
              <w:rPr>
                <w:sz w:val="20"/>
                <w:szCs w:val="20"/>
                <w:color w:val="auto"/>
              </w:rPr>
            </w:pPr>
            <w:r>
              <w:rPr>
                <w:rFonts w:ascii="Arial" w:cs="Arial" w:eastAsia="Arial" w:hAnsi="Arial"/>
                <w:sz w:val="20"/>
                <w:szCs w:val="20"/>
                <w:color w:val="auto"/>
              </w:rPr>
              <w:t>Non-GAAP SG&amp;A</w:t>
            </w: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1,540</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20"/>
                <w:szCs w:val="20"/>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1,620</w:t>
            </w:r>
          </w:p>
        </w:tc>
        <w:tc>
          <w:tcPr>
            <w:tcW w:w="0" w:type="dxa"/>
            <w:vAlign w:val="bottom"/>
          </w:tcPr>
          <w:p>
            <w:pPr>
              <w:spacing w:after="0"/>
              <w:rPr>
                <w:sz w:val="1"/>
                <w:szCs w:val="1"/>
                <w:color w:val="auto"/>
              </w:rPr>
            </w:pPr>
          </w:p>
        </w:tc>
      </w:tr>
      <w:tr>
        <w:trPr>
          <w:trHeight w:val="250"/>
        </w:trPr>
        <w:tc>
          <w:tcPr>
            <w:tcW w:w="5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0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gross margin on net product sales</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22"/>
              <w:spacing w:after="0"/>
              <w:rPr>
                <w:sz w:val="20"/>
                <w:szCs w:val="20"/>
                <w:color w:val="auto"/>
              </w:rPr>
            </w:pPr>
            <w:r>
              <w:rPr>
                <w:rFonts w:ascii="Arial" w:cs="Arial" w:eastAsia="Arial" w:hAnsi="Arial"/>
                <w:sz w:val="20"/>
                <w:szCs w:val="20"/>
                <w:color w:val="auto"/>
              </w:rPr>
              <w:t>87%</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88%</w:t>
            </w:r>
          </w:p>
        </w:tc>
        <w:tc>
          <w:tcPr>
            <w:tcW w:w="0" w:type="dxa"/>
            <w:vAlign w:val="bottom"/>
          </w:tcPr>
          <w:p>
            <w:pPr>
              <w:spacing w:after="0"/>
              <w:rPr>
                <w:sz w:val="1"/>
                <w:szCs w:val="1"/>
                <w:color w:val="auto"/>
              </w:rPr>
            </w:pPr>
          </w:p>
        </w:tc>
      </w:tr>
      <w:tr>
        <w:trPr>
          <w:trHeight w:val="243"/>
        </w:trPr>
        <w:tc>
          <w:tcPr>
            <w:tcW w:w="5100" w:type="dxa"/>
            <w:vAlign w:val="bottom"/>
            <w:tcBorders>
              <w:bottom w:val="single" w:sz="8" w:color="CCEEFF"/>
            </w:tcBorders>
          </w:tcPr>
          <w:p>
            <w:pPr>
              <w:ind w:left="220"/>
              <w:spacing w:after="0"/>
              <w:rPr>
                <w:sz w:val="20"/>
                <w:szCs w:val="20"/>
                <w:color w:val="auto"/>
              </w:rPr>
            </w:pPr>
            <w:r>
              <w:rPr>
                <w:rFonts w:ascii="Arial" w:cs="Arial" w:eastAsia="Arial" w:hAnsi="Arial"/>
                <w:sz w:val="20"/>
                <w:szCs w:val="20"/>
                <w:color w:val="auto"/>
              </w:rPr>
              <w:t>Non-cash share-based compensation expense</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color w:val="auto"/>
              </w:rPr>
              <w:t>1%</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37"/>
        </w:trPr>
        <w:tc>
          <w:tcPr>
            <w:tcW w:w="5100" w:type="dxa"/>
            <w:vAlign w:val="bottom"/>
            <w:shd w:val="clear" w:color="auto" w:fill="CCEEFF"/>
          </w:tcPr>
          <w:p>
            <w:pPr>
              <w:ind w:left="20"/>
              <w:spacing w:after="0"/>
              <w:rPr>
                <w:sz w:val="20"/>
                <w:szCs w:val="20"/>
                <w:color w:val="auto"/>
              </w:rPr>
            </w:pPr>
            <w:r>
              <w:rPr>
                <w:rFonts w:ascii="Arial" w:cs="Arial" w:eastAsia="Arial" w:hAnsi="Arial"/>
                <w:sz w:val="20"/>
                <w:szCs w:val="20"/>
                <w:color w:val="auto"/>
              </w:rPr>
              <w:t>Non-GAAP gross margin on net product sales</w:t>
            </w:r>
          </w:p>
        </w:tc>
        <w:tc>
          <w:tcPr>
            <w:tcW w:w="30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20"/>
                <w:szCs w:val="20"/>
                <w:color w:val="auto"/>
              </w:rPr>
              <w:t>88%</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89%</w:t>
            </w:r>
          </w:p>
        </w:tc>
        <w:tc>
          <w:tcPr>
            <w:tcW w:w="0" w:type="dxa"/>
            <w:vAlign w:val="bottom"/>
          </w:tcPr>
          <w:p>
            <w:pPr>
              <w:spacing w:after="0"/>
              <w:rPr>
                <w:sz w:val="1"/>
                <w:szCs w:val="1"/>
                <w:color w:val="auto"/>
              </w:rPr>
            </w:pPr>
          </w:p>
        </w:tc>
      </w:tr>
      <w:tr>
        <w:trPr>
          <w:trHeight w:val="250"/>
        </w:trPr>
        <w:tc>
          <w:tcPr>
            <w:tcW w:w="5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0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ETR</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22"/>
              <w:spacing w:after="0"/>
              <w:rPr>
                <w:sz w:val="20"/>
                <w:szCs w:val="20"/>
                <w:color w:val="auto"/>
              </w:rPr>
            </w:pPr>
            <w:r>
              <w:rPr>
                <w:rFonts w:ascii="Arial" w:cs="Arial" w:eastAsia="Arial" w:hAnsi="Arial"/>
                <w:sz w:val="20"/>
                <w:szCs w:val="20"/>
                <w:color w:val="auto"/>
              </w:rPr>
              <w:t>14%</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16%</w:t>
            </w:r>
          </w:p>
        </w:tc>
        <w:tc>
          <w:tcPr>
            <w:tcW w:w="0" w:type="dxa"/>
            <w:vAlign w:val="bottom"/>
          </w:tcPr>
          <w:p>
            <w:pPr>
              <w:spacing w:after="0"/>
              <w:rPr>
                <w:sz w:val="1"/>
                <w:szCs w:val="1"/>
                <w:color w:val="auto"/>
              </w:rPr>
            </w:pPr>
          </w:p>
        </w:tc>
      </w:tr>
      <w:tr>
        <w:trPr>
          <w:trHeight w:val="199"/>
        </w:trPr>
        <w:tc>
          <w:tcPr>
            <w:tcW w:w="5100" w:type="dxa"/>
            <w:vAlign w:val="bottom"/>
          </w:tcPr>
          <w:p>
            <w:pPr>
              <w:ind w:left="220"/>
              <w:spacing w:after="0" w:line="199" w:lineRule="exact"/>
              <w:rPr>
                <w:sz w:val="20"/>
                <w:szCs w:val="20"/>
                <w:color w:val="auto"/>
              </w:rPr>
            </w:pPr>
            <w:r>
              <w:rPr>
                <w:rFonts w:ascii="Arial" w:cs="Arial" w:eastAsia="Arial" w:hAnsi="Arial"/>
                <w:sz w:val="20"/>
                <w:szCs w:val="20"/>
                <w:color w:val="auto"/>
              </w:rPr>
              <w:t>Income tax effect of GAAP to non-GAAP reconciling</w:t>
            </w:r>
          </w:p>
        </w:tc>
        <w:tc>
          <w:tcPr>
            <w:tcW w:w="300" w:type="dxa"/>
            <w:vAlign w:val="bottom"/>
          </w:tcPr>
          <w:p>
            <w:pPr>
              <w:spacing w:after="0"/>
              <w:rPr>
                <w:sz w:val="17"/>
                <w:szCs w:val="17"/>
                <w:color w:val="auto"/>
              </w:rPr>
            </w:pPr>
          </w:p>
        </w:tc>
        <w:tc>
          <w:tcPr>
            <w:tcW w:w="1260" w:type="dxa"/>
            <w:vAlign w:val="bottom"/>
            <w:vMerge w:val="restart"/>
          </w:tcPr>
          <w:p>
            <w:pPr>
              <w:jc w:val="right"/>
              <w:ind w:right="22"/>
              <w:spacing w:after="0"/>
              <w:rPr>
                <w:sz w:val="20"/>
                <w:szCs w:val="20"/>
                <w:color w:val="auto"/>
              </w:rPr>
            </w:pPr>
            <w:r>
              <w:rPr>
                <w:rFonts w:ascii="Arial" w:cs="Arial" w:eastAsia="Arial" w:hAnsi="Arial"/>
                <w:sz w:val="20"/>
                <w:szCs w:val="20"/>
                <w:color w:val="auto"/>
              </w:rPr>
              <w:t>&lt; 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vMerge w:val="restart"/>
          </w:tcPr>
          <w:p>
            <w:pPr>
              <w:jc w:val="right"/>
              <w:ind w:right="21"/>
              <w:spacing w:after="0"/>
              <w:rPr>
                <w:sz w:val="20"/>
                <w:szCs w:val="20"/>
                <w:color w:val="auto"/>
              </w:rPr>
            </w:pPr>
            <w:r>
              <w:rPr>
                <w:rFonts w:ascii="Arial" w:cs="Arial" w:eastAsia="Arial" w:hAnsi="Arial"/>
                <w:sz w:val="20"/>
                <w:szCs w:val="20"/>
                <w:color w:val="auto"/>
              </w:rPr>
              <w:t>&lt; 1%</w:t>
            </w:r>
          </w:p>
        </w:tc>
        <w:tc>
          <w:tcPr>
            <w:tcW w:w="0" w:type="dxa"/>
            <w:vAlign w:val="bottom"/>
          </w:tcPr>
          <w:p>
            <w:pPr>
              <w:spacing w:after="0"/>
              <w:rPr>
                <w:sz w:val="1"/>
                <w:szCs w:val="1"/>
                <w:color w:val="auto"/>
              </w:rPr>
            </w:pPr>
          </w:p>
        </w:tc>
      </w:tr>
      <w:tr>
        <w:trPr>
          <w:trHeight w:val="233"/>
        </w:trPr>
        <w:tc>
          <w:tcPr>
            <w:tcW w:w="5100" w:type="dxa"/>
            <w:vAlign w:val="bottom"/>
            <w:tcBorders>
              <w:bottom w:val="single" w:sz="8" w:color="CCEEFF"/>
            </w:tcBorders>
          </w:tcPr>
          <w:p>
            <w:pPr>
              <w:ind w:left="400"/>
              <w:spacing w:after="0"/>
              <w:rPr>
                <w:sz w:val="20"/>
                <w:szCs w:val="20"/>
                <w:color w:val="auto"/>
              </w:rPr>
            </w:pPr>
            <w:r>
              <w:rPr>
                <w:rFonts w:ascii="Arial" w:cs="Arial" w:eastAsia="Arial" w:hAnsi="Arial"/>
                <w:sz w:val="20"/>
                <w:szCs w:val="20"/>
                <w:color w:val="auto"/>
              </w:rPr>
              <w:t>items and other</w:t>
            </w: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100" w:type="dxa"/>
            <w:vAlign w:val="bottom"/>
            <w:shd w:val="clear" w:color="auto" w:fill="CCEEFF"/>
          </w:tcPr>
          <w:p>
            <w:pPr>
              <w:ind w:left="20"/>
              <w:spacing w:after="0"/>
              <w:rPr>
                <w:sz w:val="20"/>
                <w:szCs w:val="20"/>
                <w:color w:val="auto"/>
              </w:rPr>
            </w:pPr>
            <w:r>
              <w:rPr>
                <w:rFonts w:ascii="Arial" w:cs="Arial" w:eastAsia="Arial" w:hAnsi="Arial"/>
                <w:sz w:val="20"/>
                <w:szCs w:val="20"/>
                <w:color w:val="auto"/>
              </w:rPr>
              <w:t>Non-GAAP ETR</w:t>
            </w:r>
          </w:p>
        </w:tc>
        <w:tc>
          <w:tcPr>
            <w:tcW w:w="30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20"/>
                <w:szCs w:val="20"/>
                <w:color w:val="auto"/>
              </w:rPr>
              <w:t>14%</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16%</w:t>
            </w:r>
          </w:p>
        </w:tc>
        <w:tc>
          <w:tcPr>
            <w:tcW w:w="0" w:type="dxa"/>
            <w:vAlign w:val="bottom"/>
          </w:tcPr>
          <w:p>
            <w:pPr>
              <w:spacing w:after="0"/>
              <w:rPr>
                <w:sz w:val="1"/>
                <w:szCs w:val="1"/>
                <w:color w:val="auto"/>
              </w:rPr>
            </w:pPr>
          </w:p>
        </w:tc>
      </w:tr>
      <w:tr>
        <w:trPr>
          <w:trHeight w:val="858"/>
        </w:trPr>
        <w:tc>
          <w:tcPr>
            <w:tcW w:w="5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jc w:val="right"/>
              <w:ind w:right="902"/>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1065" w:right="1440" w:bottom="1440" w:gutter="0" w:footer="0" w:header="0"/>
        </w:sectPr>
      </w:pPr>
    </w:p>
    <w:bookmarkStart w:id="11" w:name="page12"/>
    <w:bookmarkEnd w:id="11"/>
    <w:p>
      <w:pPr>
        <w:ind w:left="340" w:hanging="334"/>
        <w:spacing w:after="0" w:line="202" w:lineRule="auto"/>
        <w:tabs>
          <w:tab w:leader="none" w:pos="340" w:val="left"/>
        </w:tabs>
        <w:numPr>
          <w:ilvl w:val="0"/>
          <w:numId w:val="16"/>
        </w:numPr>
        <w:rPr>
          <w:rFonts w:ascii="Arial" w:cs="Arial" w:eastAsia="Arial" w:hAnsi="Arial"/>
          <w:sz w:val="22"/>
          <w:szCs w:val="22"/>
          <w:color w:val="auto"/>
          <w:vertAlign w:val="superscript"/>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594995</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t>This press release uses non-GAAP R&amp;D, non-GAAP SG&amp;A, non-GAAP gross margin on net product sales, non-GAAP other income (expense) net, non-GAAP effective tax rate, non-GAAP net income, non-GAAP net income per share, total revenues excluding REGEN-COV, and free cash flow, which are financial measures that are not calculated in accordance with U.S. Generally Accepted Accounting Principles (GAAP). These non-GAAP financial measures are computed by excluding certain non-cash and/or other items from the related GAAP financial measure. The Company also includes a non-GAAP adjustment for the estimated income tax effect of reconciling items.</w:t>
      </w:r>
    </w:p>
    <w:p>
      <w:pPr>
        <w:spacing w:after="0" w:line="196" w:lineRule="exact"/>
        <w:rPr>
          <w:rFonts w:ascii="Arial" w:cs="Arial" w:eastAsia="Arial" w:hAnsi="Arial"/>
          <w:sz w:val="22"/>
          <w:szCs w:val="22"/>
          <w:color w:val="auto"/>
          <w:vertAlign w:val="superscript"/>
        </w:rPr>
      </w:pPr>
    </w:p>
    <w:p>
      <w:pPr>
        <w:ind w:left="340"/>
        <w:spacing w:after="0" w:line="213" w:lineRule="auto"/>
        <w:rPr>
          <w:rFonts w:ascii="Arial" w:cs="Arial" w:eastAsia="Arial" w:hAnsi="Arial"/>
          <w:sz w:val="22"/>
          <w:szCs w:val="22"/>
          <w:color w:val="auto"/>
          <w:vertAlign w:val="superscript"/>
        </w:rPr>
      </w:pPr>
      <w:r>
        <w:rPr>
          <w:rFonts w:ascii="Arial" w:cs="Arial" w:eastAsia="Arial" w:hAnsi="Arial"/>
          <w:sz w:val="20"/>
          <w:szCs w:val="20"/>
          <w:color w:val="auto"/>
        </w:rPr>
        <w:t>The Company makes such adjustments for items the Company does not view as useful in evaluating its operating performance. For example, adjustments may be made for items that fluctuate from period to period based on factors that are not within the Company's control (such as the Company's stock price on the dates share-based grants are issued or changes in the fair value of the Company's investments in equity securities) or items that are not associated with normal, recurring operations (such as restructuring-related expenses). Management uses these non-GAAP measures for planning, budgeting, forecasting, assessing historical performance, and making financial and operational decisions, and also provides forecasts to investors on this basis. With respect to free cash flows, the Company believes that this non-GAAP measure provides a further measure of the Company’s operations' ability to generate cash flows. Additionally, such non-GAAP measures provide investors with an enhanced understanding of the financial performance of the Company's core business operations. However, there are limitations in the use of these and other non-GAAP financial measures as they exclude certain expenses that are recurring in nature. Furthermore, the Company's non-GAAP financial measures may not be comparable with non-GAAP information provided by other companies. Any non-GAAP financial measure presented by Regeneron should be considered supplemental to, and not a substitute for, measures of financial performance prepared in accordance with GAAP. A reconciliation of the Company's historical GAAP to non-GAAP results is included in Table 3 of this press release.</w:t>
      </w:r>
    </w:p>
    <w:p>
      <w:pPr>
        <w:spacing w:after="0" w:line="83" w:lineRule="exact"/>
        <w:rPr>
          <w:rFonts w:ascii="Arial" w:cs="Arial" w:eastAsia="Arial" w:hAnsi="Arial"/>
          <w:sz w:val="22"/>
          <w:szCs w:val="22"/>
          <w:color w:val="auto"/>
          <w:vertAlign w:val="superscript"/>
        </w:rPr>
      </w:pPr>
    </w:p>
    <w:p>
      <w:pPr>
        <w:ind w:left="340" w:right="140" w:hanging="334"/>
        <w:spacing w:after="0" w:line="207" w:lineRule="auto"/>
        <w:tabs>
          <w:tab w:leader="none" w:pos="340" w:val="left"/>
        </w:tabs>
        <w:numPr>
          <w:ilvl w:val="0"/>
          <w:numId w:val="16"/>
        </w:numPr>
        <w:rPr>
          <w:rFonts w:ascii="Arial" w:cs="Arial" w:eastAsia="Arial" w:hAnsi="Arial"/>
          <w:sz w:val="22"/>
          <w:szCs w:val="22"/>
          <w:color w:val="auto"/>
          <w:vertAlign w:val="superscript"/>
        </w:rPr>
      </w:pPr>
      <w:r>
        <w:rPr>
          <w:rFonts w:ascii="Arial" w:cs="Arial" w:eastAsia="Arial" w:hAnsi="Arial"/>
          <w:sz w:val="20"/>
          <w:szCs w:val="20"/>
          <w:color w:val="auto"/>
        </w:rPr>
        <w:t>Known as REGEN-COV in the United States and Ronapreve</w:t>
      </w:r>
      <w:r>
        <w:rPr>
          <w:rFonts w:ascii="Arial" w:cs="Arial" w:eastAsia="Arial" w:hAnsi="Arial"/>
          <w:sz w:val="11"/>
          <w:szCs w:val="11"/>
          <w:color w:val="auto"/>
        </w:rPr>
        <w:t>TM</w:t>
      </w:r>
      <w:r>
        <w:rPr>
          <w:rFonts w:ascii="Arial" w:cs="Arial" w:eastAsia="Arial" w:hAnsi="Arial"/>
          <w:sz w:val="20"/>
          <w:szCs w:val="20"/>
          <w:color w:val="auto"/>
        </w:rPr>
        <w:t xml:space="preserve"> in other countries. The Company records net product sales of REGEN-COV in the United States and Roche records net product sales of Ronapreve outside the United States. The Company records its share of gross profits from global sales within collaboration revenue.</w:t>
      </w:r>
    </w:p>
    <w:p>
      <w:pPr>
        <w:spacing w:after="0" w:line="60" w:lineRule="exact"/>
        <w:rPr>
          <w:rFonts w:ascii="Arial" w:cs="Arial" w:eastAsia="Arial" w:hAnsi="Arial"/>
          <w:sz w:val="22"/>
          <w:szCs w:val="22"/>
          <w:color w:val="auto"/>
          <w:vertAlign w:val="superscript"/>
        </w:rPr>
      </w:pPr>
    </w:p>
    <w:p>
      <w:pPr>
        <w:ind w:left="340" w:hanging="334"/>
        <w:spacing w:after="0" w:line="204" w:lineRule="auto"/>
        <w:tabs>
          <w:tab w:leader="none" w:pos="340" w:val="left"/>
        </w:tabs>
        <w:numPr>
          <w:ilvl w:val="0"/>
          <w:numId w:val="16"/>
        </w:numPr>
        <w:rPr>
          <w:rFonts w:ascii="Arial" w:cs="Arial" w:eastAsia="Arial" w:hAnsi="Arial"/>
          <w:sz w:val="22"/>
          <w:szCs w:val="22"/>
          <w:color w:val="auto"/>
          <w:vertAlign w:val="superscript"/>
        </w:rPr>
      </w:pPr>
      <w:r>
        <w:rPr>
          <w:rFonts w:ascii="Arial" w:cs="Arial" w:eastAsia="Arial" w:hAnsi="Arial"/>
          <w:sz w:val="20"/>
          <w:szCs w:val="20"/>
          <w:color w:val="auto"/>
        </w:rPr>
        <w:t>The Company's collaborators provide it with estimates of the collaborators' respective sales and the Company's share of the profits or losses (if applicable) from commercialization of products for the most recent fiscal quarter. The Company's estimates for such quarter are reconciled to actual results in the subsequent fiscal quarter, and the Company's share of the profit or loss (if applicable) is adjusted on a prospective basis accordingly, if necessary.</w:t>
      </w:r>
    </w:p>
    <w:p>
      <w:pPr>
        <w:sectPr>
          <w:pgSz w:w="11900" w:h="16838" w:orient="portrait"/>
          <w:cols w:equalWidth="0" w:num="1">
            <w:col w:w="11160"/>
          </w:cols>
          <w:pgMar w:left="340" w:top="959" w:right="399" w:bottom="1440" w:gutter="0" w:footer="0" w:header="0"/>
        </w:sectPr>
      </w:pPr>
    </w:p>
    <w:p>
      <w:pPr>
        <w:spacing w:after="0" w:line="63"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360"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360"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right="860"/>
        <w:spacing w:after="0" w:line="222" w:lineRule="auto"/>
        <w:rPr>
          <w:sz w:val="20"/>
          <w:szCs w:val="20"/>
          <w:color w:val="auto"/>
        </w:rPr>
      </w:pPr>
      <w:r>
        <w:rPr>
          <w:rFonts w:ascii="Arial" w:cs="Arial" w:eastAsia="Arial" w:hAnsi="Arial"/>
          <w:sz w:val="20"/>
          <w:szCs w:val="20"/>
          <w:color w:val="auto"/>
        </w:rPr>
        <w:t>The Company's 2021 financial guidance does not assume the completion of any significant business development transactions not completed as of the date of this press release.</w:t>
      </w:r>
    </w:p>
    <w:p>
      <w:pPr>
        <w:spacing w:after="0" w:line="61" w:lineRule="exact"/>
        <w:rPr>
          <w:sz w:val="20"/>
          <w:szCs w:val="20"/>
          <w:color w:val="auto"/>
        </w:rPr>
      </w:pPr>
    </w:p>
    <w:p>
      <w:pPr>
        <w:ind w:right="20"/>
        <w:spacing w:after="0" w:line="222" w:lineRule="auto"/>
        <w:rPr>
          <w:sz w:val="20"/>
          <w:szCs w:val="20"/>
          <w:color w:val="auto"/>
        </w:rPr>
      </w:pPr>
      <w:r>
        <w:rPr>
          <w:rFonts w:ascii="Arial" w:cs="Arial" w:eastAsia="Arial" w:hAnsi="Arial"/>
          <w:sz w:val="20"/>
          <w:szCs w:val="20"/>
          <w:color w:val="auto"/>
        </w:rPr>
        <w:t>Gross margin on net product sales represents gross profit expressed as a percentage of total net product sales recorded by the Company. Gross profit is calculated as net product sales less cost of goods sold.</w:t>
      </w:r>
    </w:p>
    <w:p>
      <w:pPr>
        <w:spacing w:after="0" w:line="61" w:lineRule="exact"/>
        <w:rPr>
          <w:sz w:val="20"/>
          <w:szCs w:val="20"/>
          <w:color w:val="auto"/>
        </w:rPr>
      </w:pPr>
    </w:p>
    <w:p>
      <w:pPr>
        <w:ind w:right="180"/>
        <w:spacing w:after="0" w:line="222" w:lineRule="auto"/>
        <w:rPr>
          <w:sz w:val="20"/>
          <w:szCs w:val="20"/>
          <w:color w:val="auto"/>
        </w:rPr>
      </w:pPr>
      <w:r>
        <w:rPr>
          <w:rFonts w:ascii="Arial" w:cs="Arial" w:eastAsia="Arial" w:hAnsi="Arial"/>
          <w:sz w:val="20"/>
          <w:szCs w:val="20"/>
          <w:color w:val="auto"/>
        </w:rPr>
        <w:t>Corresponding reimbursements from collaborators and others for manufacturing of commercial supplies is recorded within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-1270</wp:posOffset>
            </wp:positionV>
            <wp:extent cx="7115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0" w:space="200"/>
            <w:col w:w="10820"/>
          </w:cols>
          <w:pgMar w:left="340" w:top="959"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160"/>
          </w:cols>
          <w:pgMar w:left="340" w:top="959" w:right="39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22"/>
          <w:szCs w:val="22"/>
          <w:b w:val="1"/>
          <w:bCs w:val="1"/>
          <w:color w:val="auto"/>
        </w:rPr>
        <w:t>Conference Call Information</w:t>
      </w:r>
    </w:p>
    <w:p>
      <w:pPr>
        <w:spacing w:after="0" w:line="273" w:lineRule="exact"/>
        <w:rPr>
          <w:sz w:val="20"/>
          <w:szCs w:val="20"/>
          <w:color w:val="auto"/>
        </w:rPr>
      </w:pPr>
    </w:p>
    <w:p>
      <w:pPr>
        <w:ind w:right="320"/>
        <w:spacing w:after="0" w:line="259" w:lineRule="auto"/>
        <w:rPr>
          <w:sz w:val="20"/>
          <w:szCs w:val="20"/>
          <w:color w:val="auto"/>
        </w:rPr>
      </w:pPr>
      <w:r>
        <w:rPr>
          <w:rFonts w:ascii="Arial" w:cs="Arial" w:eastAsia="Arial" w:hAnsi="Arial"/>
          <w:sz w:val="21"/>
          <w:szCs w:val="21"/>
          <w:color w:val="auto"/>
        </w:rPr>
        <w:t>Regeneron will host a conference call and simultaneous webcast to discuss its second quarter 2021 financial and operating results on Thursday, August 5, 2021, at 8:30 AM Eastern Time. To access this call, dial (888) 660-6127 (U.S.) or (973) 890-8355 (International), conference ID 9098036. A link to the webcast may be accessed from the "Investors and Media" page of Regeneron's website at www.regeneron.com. A replay of the conference call and webcast will be archived on the Company's website and will be available for at least 30 days.</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Regeneron Pharmaceuticals, Inc.</w:t>
      </w:r>
    </w:p>
    <w:p>
      <w:pPr>
        <w:spacing w:after="0" w:line="273" w:lineRule="exact"/>
        <w:rPr>
          <w:sz w:val="20"/>
          <w:szCs w:val="20"/>
          <w:color w:val="auto"/>
        </w:rPr>
      </w:pPr>
    </w:p>
    <w:p>
      <w:pPr>
        <w:ind w:right="80"/>
        <w:spacing w:after="0" w:line="258" w:lineRule="auto"/>
        <w:rPr>
          <w:sz w:val="20"/>
          <w:szCs w:val="20"/>
          <w:color w:val="auto"/>
        </w:rPr>
      </w:pPr>
      <w:r>
        <w:rPr>
          <w:rFonts w:ascii="Arial" w:cs="Arial" w:eastAsia="Arial" w:hAnsi="Arial"/>
          <w:sz w:val="21"/>
          <w:szCs w:val="21"/>
          <w:color w:val="auto"/>
        </w:rPr>
        <w:t>Regeneron is a leading biotechnology company that invents life-transforming medicines for people with serious diseases. Founded and led for over 30 years by physician-scientists, Regeneron's unique ability to repeatedly and consistently translate science into medicine has led to nine FDA-approved treatments and numerous product candidates in development, almost all of which were homegrown in Regeneron's laboratories. Regeneron's medicines and pipeline are designed to help patients with eye diseases, allergic and inflammatory diseases, cancer, cardiovascular and metabolic diseases, pain, hematologic conditions, infectious diseases, and rare diseases.</w:t>
      </w:r>
    </w:p>
    <w:p>
      <w:pPr>
        <w:spacing w:after="0" w:line="224" w:lineRule="exact"/>
        <w:rPr>
          <w:sz w:val="20"/>
          <w:szCs w:val="20"/>
          <w:color w:val="auto"/>
        </w:rPr>
      </w:pPr>
    </w:p>
    <w:p>
      <w:pPr>
        <w:ind w:right="320"/>
        <w:spacing w:after="0" w:line="243" w:lineRule="auto"/>
        <w:rPr>
          <w:sz w:val="20"/>
          <w:szCs w:val="20"/>
          <w:color w:val="auto"/>
        </w:rPr>
      </w:pPr>
      <w:r>
        <w:rPr>
          <w:rFonts w:ascii="Arial" w:cs="Arial" w:eastAsia="Arial" w:hAnsi="Arial"/>
          <w:sz w:val="21"/>
          <w:szCs w:val="21"/>
          <w:color w:val="auto"/>
        </w:rPr>
        <w:t xml:space="preserve">Regeneron is accelerating and improving the traditional drug development process through its proprietary </w:t>
      </w:r>
      <w:r>
        <w:rPr>
          <w:rFonts w:ascii="Arial" w:cs="Arial" w:eastAsia="Arial" w:hAnsi="Arial"/>
          <w:sz w:val="21"/>
          <w:szCs w:val="21"/>
          <w:i w:val="1"/>
          <w:iCs w:val="1"/>
          <w:color w:val="auto"/>
        </w:rPr>
        <w:t>VelociSuite</w:t>
      </w:r>
      <w:r>
        <w:rPr>
          <w:rFonts w:ascii="Arial" w:cs="Arial" w:eastAsia="Arial" w:hAnsi="Arial"/>
          <w:sz w:val="27"/>
          <w:szCs w:val="27"/>
          <w:color w:val="auto"/>
          <w:vertAlign w:val="superscript"/>
        </w:rPr>
        <w:t>®</w:t>
      </w:r>
      <w:r>
        <w:rPr>
          <w:rFonts w:ascii="Arial" w:cs="Arial" w:eastAsia="Arial" w:hAnsi="Arial"/>
          <w:sz w:val="21"/>
          <w:szCs w:val="21"/>
          <w:i w:val="1"/>
          <w:iCs w:val="1"/>
          <w:color w:val="auto"/>
        </w:rPr>
        <w:t xml:space="preserve"> </w:t>
      </w:r>
      <w:r>
        <w:rPr>
          <w:rFonts w:ascii="Arial" w:cs="Arial" w:eastAsia="Arial" w:hAnsi="Arial"/>
          <w:sz w:val="21"/>
          <w:szCs w:val="21"/>
          <w:color w:val="auto"/>
        </w:rPr>
        <w:t>technologies, such as</w:t>
      </w:r>
      <w:r>
        <w:rPr>
          <w:rFonts w:ascii="Arial" w:cs="Arial" w:eastAsia="Arial" w:hAnsi="Arial"/>
          <w:sz w:val="21"/>
          <w:szCs w:val="21"/>
          <w:i w:val="1"/>
          <w:iCs w:val="1"/>
          <w:color w:val="auto"/>
        </w:rPr>
        <w:t xml:space="preserve"> VelocImmune</w:t>
      </w:r>
      <w:r>
        <w:rPr>
          <w:rFonts w:ascii="Arial" w:cs="Arial" w:eastAsia="Arial" w:hAnsi="Arial"/>
          <w:sz w:val="27"/>
          <w:szCs w:val="27"/>
          <w:color w:val="auto"/>
          <w:vertAlign w:val="superscript"/>
        </w:rPr>
        <w:t>®</w:t>
      </w:r>
      <w:r>
        <w:rPr>
          <w:rFonts w:ascii="Arial" w:cs="Arial" w:eastAsia="Arial" w:hAnsi="Arial"/>
          <w:sz w:val="21"/>
          <w:szCs w:val="21"/>
          <w:color w:val="auto"/>
        </w:rPr>
        <w:t>, which uses unique genetically humanized mice to produce</w:t>
      </w:r>
      <w:r>
        <w:rPr>
          <w:rFonts w:ascii="Arial" w:cs="Arial" w:eastAsia="Arial" w:hAnsi="Arial"/>
          <w:sz w:val="21"/>
          <w:szCs w:val="21"/>
          <w:i w:val="1"/>
          <w:iCs w:val="1"/>
          <w:color w:val="auto"/>
        </w:rPr>
        <w:t xml:space="preserve"> </w:t>
      </w:r>
      <w:r>
        <w:rPr>
          <w:rFonts w:ascii="Arial" w:cs="Arial" w:eastAsia="Arial" w:hAnsi="Arial"/>
          <w:sz w:val="21"/>
          <w:szCs w:val="21"/>
          <w:color w:val="auto"/>
        </w:rPr>
        <w:t>optimized fully human antibodies and bispecific antibodies, and through ambitious research initiatives such as the Regeneron Genetics Center</w:t>
      </w:r>
      <w:r>
        <w:rPr>
          <w:rFonts w:ascii="Arial" w:cs="Arial" w:eastAsia="Arial" w:hAnsi="Arial"/>
          <w:sz w:val="27"/>
          <w:szCs w:val="27"/>
          <w:color w:val="auto"/>
          <w:vertAlign w:val="superscript"/>
        </w:rPr>
        <w:t>®</w:t>
      </w:r>
      <w:r>
        <w:rPr>
          <w:rFonts w:ascii="Arial" w:cs="Arial" w:eastAsia="Arial" w:hAnsi="Arial"/>
          <w:sz w:val="21"/>
          <w:szCs w:val="21"/>
          <w:color w:val="auto"/>
        </w:rPr>
        <w:t>, which is conducting one of the largest genetics sequencing efforts in the world.</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color w:val="auto"/>
        </w:rPr>
        <w:t>For additional information about the Company, please visit www.regeneron.com or follow @Regeneron on Twitter.</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 and Use of Digital Media</w:t>
      </w:r>
    </w:p>
    <w:p>
      <w:pPr>
        <w:spacing w:after="0" w:line="259" w:lineRule="exact"/>
        <w:rPr>
          <w:sz w:val="20"/>
          <w:szCs w:val="20"/>
          <w:color w:val="auto"/>
        </w:rPr>
      </w:pPr>
    </w:p>
    <w:p>
      <w:pPr>
        <w:spacing w:after="0" w:line="212" w:lineRule="auto"/>
        <w:rPr>
          <w:sz w:val="20"/>
          <w:szCs w:val="20"/>
          <w:color w:val="auto"/>
        </w:rPr>
      </w:pPr>
      <w:r>
        <w:rPr>
          <w:rFonts w:ascii="Arial" w:cs="Arial" w:eastAsia="Arial" w:hAnsi="Arial"/>
          <w:sz w:val="22"/>
          <w:szCs w:val="22"/>
          <w:color w:val="auto"/>
        </w:rPr>
        <w:t>This press release includes forward-looking statements that involve risks and uncertainties relating to future events and the future performance of Regeneron Pharmaceuticals, Inc. ("Regeneron" or the "Company"),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impact of SARS-CoV-2 (the virus that has caused the COVID-19 pandemic) on Regeneron’s business and its employees, collaborators, and suppliers and other third parties on which Regeneron relies, Regeneron’s and its collaborators' ability to continue to conduct research and clinical programs, Regeneron's ability to manage its supply chain, net product sales of products marketed or otherwise commercialized by Regeneron and/or its collaborators (collectively, "Regeneron's Products"), and the global economy; the nature, timing, and possible success and therapeutic applications of Regeneron's Products and product candidates being developed by Regeneron and/or its collaborators (collectively, "Regeneron's Product Candidates") and research and clinical programs now underway or planned, including without limitation EYLEA</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(aflibercept) Injection, Dupixent</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(dupilumab), Libtayo</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(cemiplimab), Praluent</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(alirocumab), Kevzara</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(sarilumab), Evkeeza</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(evinacumab), Inmazeb</w:t>
      </w:r>
      <w:r>
        <w:rPr>
          <w:rFonts w:ascii="Arial" w:cs="Arial" w:eastAsia="Arial" w:hAnsi="Arial"/>
          <w:sz w:val="12"/>
          <w:szCs w:val="12"/>
          <w:color w:val="auto"/>
        </w:rPr>
        <w:t>TM</w:t>
      </w:r>
      <w:r>
        <w:rPr>
          <w:rFonts w:ascii="Arial" w:cs="Arial" w:eastAsia="Arial" w:hAnsi="Arial"/>
          <w:sz w:val="22"/>
          <w:szCs w:val="22"/>
          <w:color w:val="auto"/>
        </w:rPr>
        <w:t xml:space="preserve"> (atoltivimab, maftivimab, and odesivimab-ebgn), fasinumab, REGEN-COV</w:t>
      </w:r>
      <w:r>
        <w:rPr>
          <w:rFonts w:ascii="Arial" w:cs="Arial" w:eastAsia="Arial" w:hAnsi="Arial"/>
          <w:sz w:val="12"/>
          <w:szCs w:val="12"/>
          <w:color w:val="auto"/>
        </w:rPr>
        <w:t>TM</w:t>
      </w:r>
      <w:r>
        <w:rPr>
          <w:rFonts w:ascii="Arial" w:cs="Arial" w:eastAsia="Arial" w:hAnsi="Arial"/>
          <w:sz w:val="22"/>
          <w:szCs w:val="22"/>
          <w:color w:val="auto"/>
        </w:rPr>
        <w:t xml:space="preserve"> (casirivimab and imdevimab),</w:t>
      </w:r>
    </w:p>
    <w:p>
      <w:pPr>
        <w:spacing w:after="0" w:line="200" w:lineRule="exact"/>
        <w:rPr>
          <w:sz w:val="20"/>
          <w:szCs w:val="20"/>
          <w:color w:val="auto"/>
        </w:rPr>
      </w:pPr>
    </w:p>
    <w:p>
      <w:pPr>
        <w:spacing w:after="0" w:line="3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40"/>
          </w:cols>
          <w:pgMar w:left="320" w:top="890" w:right="439" w:bottom="1440" w:gutter="0" w:footer="0" w:header="0"/>
        </w:sectPr>
      </w:pPr>
    </w:p>
    <w:bookmarkStart w:id="13" w:name="page14"/>
    <w:bookmarkEnd w:id="13"/>
    <w:p>
      <w:pPr>
        <w:spacing w:after="0"/>
        <w:rPr>
          <w:sz w:val="20"/>
          <w:szCs w:val="20"/>
          <w:color w:val="auto"/>
        </w:rPr>
      </w:pPr>
      <w:r>
        <w:rPr>
          <w:rFonts w:ascii="Arial" w:cs="Arial" w:eastAsia="Arial" w:hAnsi="Arial"/>
          <w:sz w:val="20"/>
          <w:szCs w:val="20"/>
          <w:color w:val="auto"/>
        </w:rPr>
        <w:t>garetosmab, pozelimab, odronextamab, itepekimab, REGN5458, REGN5713-5714-5715, REGN1908-1909, Regeneron's other oncology programs (including its costimulatory bispecific portfolio), Regeneron's and its collaborators' earlier-stage programs, and the use of human genetics in Regeneron's research programs; the likelihood and timing of achieving any of the anticipated milestones described in this press release; safety issues resulting from the administration of Regeneron's Products and Regeneron's Product Candidates in patients, including serious complications or side effects in connection with the use of Regeneron’s Products and Regeneron's Product Candidates in clinical trials; the likelihood, timing, and scope of possible regulatory approval and commercial launch of Regeneron's Product Candidates and new indications for Regeneron's Products, including those listed above and/or otherwise discussed in this press release; the extent to which the results from the research and development programs conducted by Regeneron and/or its collaborators may be replicated in other studies and/or lead to advancement of product candidates to clinical trials, therapeutic applications, or regulatory approval; ongoing regulatory obligations and oversight impacting Regeneron's Products, research and clinical programs, and business, including those relating to patient privacy; determinations by regulatory and administrative governmental authorities which may delay or restrict Regeneron's ability to continue to develop or commercialize Regeneron's Products and Regeneron's Product Candidates; competing drugs and product candidates that may be superior to, or more cost effective than, Regeneron's Products and Regeneron's Product Candidates; uncertainty of the utilization, market acceptance, and commercial success of Regeneron's Products and Regeneron's Product Candidates and the impact of studies (whether conducted by Regeneron or others and whether mandated or voluntary) or recommendations and guidelines from governmental authorities and other third parties on the commercial success of Regeneron's Products and Regeneron's Product Candidates; the ability of Regeneron to manufacture and manage supply chains for multiple products and product candidates; the ability of Regeneron’s collaborators, suppliers, or other third parties (as applicable) to perform manufacturing, filling, finishing, packaging, labeling, distribution, and other steps related to Regeneron’s Products and Regeneron's Product Candidates; the availability and extent of reimbursement of Regeneron’s Products from third-party payers, including private payer healthcare and insurance programs, health maintenance organizations, pharmacy benefit management companies, and government programs such as Medicare and Medicaid; coverage and reimbursement determinations by such payers and new policies and procedures adopted by such payers; unanticipated expenses; the costs of developing, producing, and selling products; the ability of Regeneron to meet any of its financial projections or guidance and changes to the assumptions underlying those projections or guidance, including GAAP and non-GAAP R&amp;D, GAAP and non-GAAP SG&amp;A, GAAP and non-GAAP gross margin on net product sales, COCM, other operating (income) expense, net, capital expenditures, and GAAP and non-GAAP effective tax rate; the potential for any license or collaboration agreement, including Regeneron's agreements with Sanofi, Bayer, and Teva Pharmaceutical Industries Ltd. (or their respective affiliated companies, as applicable), as well as Regeneron's agreement with Roche relating to the casirivimab and imdevimab antibody cocktail (known as REGEN-COV in the United States and Ronapreve</w:t>
      </w:r>
      <w:r>
        <w:rPr>
          <w:rFonts w:ascii="Arial" w:cs="Arial" w:eastAsia="Arial" w:hAnsi="Arial"/>
          <w:sz w:val="11"/>
          <w:szCs w:val="11"/>
          <w:color w:val="auto"/>
        </w:rPr>
        <w:t>TM</w:t>
      </w:r>
      <w:r>
        <w:rPr>
          <w:rFonts w:ascii="Arial" w:cs="Arial" w:eastAsia="Arial" w:hAnsi="Arial"/>
          <w:sz w:val="20"/>
          <w:szCs w:val="20"/>
          <w:color w:val="auto"/>
        </w:rPr>
        <w:t xml:space="preserve"> in other countries), to be cancelled or terminated; and risks associated with intellectual property of other parties and pending or future litigation relating thereto (including without limitation the patent litigation and other related proceedings relating to EYLEA, Dupixent, Praluent, and REGEN-COV), other litigation and other proceedings and government investigations relating to the Company and/or its operations (including the pending civil litigation initiated by the U.S. Attorney's Office for the District of Massachusetts), the ultimate outcome of any such proceedings and investigations, and the impact any of the foregoing may have on Regeneron’s business, prospects, operating results, and financial condition. A more complete description of these and other material risks can be found in Regeneron's filings with the U.S. Securities and Exchange Commission, including its Form 10-K for the fiscal year ended December 31, 2020 and its Form 10-Q for the quarterly period ended June 30, 2021.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00"/>
          </w:cols>
          <w:pgMar w:left="320" w:top="903" w:right="379" w:bottom="1440" w:gutter="0" w:footer="0" w:header="0"/>
        </w:sectPr>
      </w:pPr>
    </w:p>
    <w:bookmarkStart w:id="14" w:name="page15"/>
    <w:bookmarkEnd w:id="14"/>
    <w:p>
      <w:pPr>
        <w:ind w:right="180"/>
        <w:spacing w:after="0" w:line="224" w:lineRule="auto"/>
        <w:rPr>
          <w:sz w:val="20"/>
          <w:szCs w:val="20"/>
          <w:color w:val="auto"/>
        </w:rPr>
      </w:pPr>
      <w:r>
        <w:rPr>
          <w:rFonts w:ascii="Arial" w:cs="Arial" w:eastAsia="Arial" w:hAnsi="Arial"/>
          <w:sz w:val="22"/>
          <w:szCs w:val="22"/>
          <w:color w:val="auto"/>
        </w:rPr>
        <w:t>forward-looking statements are made based on management's current beliefs and judgment, and the reader is cautioned not to rely on any forward-looking statements made by Regeneron. Regeneron does not undertake any obligation to update (publicly or otherwise) any forward-looking statement, including without limitation any financial projection or guidance, whether as a result of new information, future events, or otherwise.</w:t>
      </w:r>
    </w:p>
    <w:p>
      <w:pPr>
        <w:spacing w:after="0" w:line="230" w:lineRule="exact"/>
        <w:rPr>
          <w:sz w:val="20"/>
          <w:szCs w:val="20"/>
          <w:color w:val="auto"/>
        </w:rPr>
      </w:pPr>
    </w:p>
    <w:p>
      <w:pPr>
        <w:spacing w:after="0" w:line="245" w:lineRule="auto"/>
        <w:rPr>
          <w:sz w:val="20"/>
          <w:szCs w:val="20"/>
          <w:color w:val="auto"/>
        </w:rPr>
      </w:pPr>
      <w:r>
        <w:rPr>
          <w:rFonts w:ascii="Arial" w:cs="Arial" w:eastAsia="Arial" w:hAnsi="Arial"/>
          <w:sz w:val="22"/>
          <w:szCs w:val="22"/>
          <w:color w:val="auto"/>
        </w:rPr>
        <w:t>Regeneron uses its media and investor relations website and social media outlets to publish important information about the Company, including information that may be deemed material to investors. Financial and other information about Regeneron is routinely posted and is accessible on Regeneron's media and investor relations website (http://newsroom.regeneron.com) and its Twitter feed (http://twitter.com/regeneron).</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Measures</w:t>
      </w:r>
    </w:p>
    <w:p>
      <w:pPr>
        <w:spacing w:after="0" w:line="273" w:lineRule="exact"/>
        <w:rPr>
          <w:sz w:val="20"/>
          <w:szCs w:val="20"/>
          <w:color w:val="auto"/>
        </w:rPr>
      </w:pPr>
    </w:p>
    <w:p>
      <w:pPr>
        <w:spacing w:after="0" w:line="246" w:lineRule="auto"/>
        <w:rPr>
          <w:sz w:val="20"/>
          <w:szCs w:val="20"/>
          <w:color w:val="auto"/>
        </w:rPr>
      </w:pPr>
      <w:r>
        <w:rPr>
          <w:rFonts w:ascii="Arial" w:cs="Arial" w:eastAsia="Arial" w:hAnsi="Arial"/>
          <w:sz w:val="22"/>
          <w:szCs w:val="22"/>
          <w:color w:val="auto"/>
        </w:rPr>
        <w:t>This press release and/or the financial results attached to this press release include amounts that are considered "non-GAAP financial measures" under SEC rules. As required, Regeneron has provided reconciliations of such non-GAAP financial measures.</w:t>
      </w:r>
    </w:p>
    <w:p>
      <w:pPr>
        <w:spacing w:after="0" w:line="378"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w:t>
      </w:r>
    </w:p>
    <w:p>
      <w:pPr>
        <w:spacing w:after="0" w:line="25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Contact Information:</w:t>
      </w:r>
    </w:p>
    <w:p>
      <w:pPr>
        <w:sectPr>
          <w:pgSz w:w="11900" w:h="16838" w:orient="portrait"/>
          <w:cols w:equalWidth="0" w:num="1">
            <w:col w:w="11080"/>
          </w:cols>
          <w:pgMar w:left="320" w:top="903" w:right="499" w:bottom="1440" w:gutter="0" w:footer="0" w:header="0"/>
        </w:sectPr>
      </w:pPr>
    </w:p>
    <w:p>
      <w:pPr>
        <w:spacing w:after="0" w:line="2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Justin Holko</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Investor Relations</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914-847-7786</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justin.holko@regeneron.com</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Hala Mirza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Corporate Communications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914-847-3422</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hala.mirza@regeneron.com</w:t>
      </w:r>
    </w:p>
    <w:p>
      <w:pPr>
        <w:spacing w:after="0" w:line="211" w:lineRule="exact"/>
        <w:rPr>
          <w:sz w:val="20"/>
          <w:szCs w:val="20"/>
          <w:color w:val="auto"/>
        </w:rPr>
      </w:pPr>
    </w:p>
    <w:p>
      <w:pPr>
        <w:sectPr>
          <w:pgSz w:w="11900" w:h="16838" w:orient="portrait"/>
          <w:cols w:equalWidth="0" w:num="2">
            <w:col w:w="6100" w:space="720"/>
            <w:col w:w="4260"/>
          </w:cols>
          <w:pgMar w:left="320" w:top="903" w:right="499" w:bottom="1440" w:gutter="0" w:footer="0" w:header="0"/>
          <w:type w:val="continuous"/>
        </w:sectPr>
      </w:pPr>
    </w:p>
    <w:p>
      <w:pPr>
        <w:spacing w:after="0" w:line="200" w:lineRule="exact"/>
        <w:rPr>
          <w:sz w:val="20"/>
          <w:szCs w:val="20"/>
          <w:color w:val="auto"/>
        </w:rPr>
      </w:pPr>
    </w:p>
    <w:p>
      <w:pPr>
        <w:spacing w:after="0" w:line="379"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080"/>
          </w:cols>
          <w:pgMar w:left="320" w:top="903" w:right="499"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230"/>
        </w:trPr>
        <w:tc>
          <w:tcPr>
            <w:tcW w:w="7940" w:type="dxa"/>
            <w:vAlign w:val="bottom"/>
            <w:gridSpan w:val="2"/>
          </w:tcPr>
          <w:p>
            <w:pPr>
              <w:spacing w:after="0"/>
              <w:rPr>
                <w:sz w:val="20"/>
                <w:szCs w:val="20"/>
                <w:color w:val="auto"/>
              </w:rPr>
            </w:pPr>
            <w:r>
              <w:rPr>
                <w:rFonts w:ascii="Arial" w:cs="Arial" w:eastAsia="Arial" w:hAnsi="Arial"/>
                <w:sz w:val="18"/>
                <w:szCs w:val="18"/>
                <w:color w:val="auto"/>
              </w:rPr>
              <w:t>TABLE 1</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20" w:type="dxa"/>
            <w:vAlign w:val="bottom"/>
          </w:tcPr>
          <w:p>
            <w:pPr>
              <w:spacing w:after="0"/>
              <w:rPr>
                <w:sz w:val="24"/>
                <w:szCs w:val="24"/>
                <w:color w:val="auto"/>
              </w:rPr>
            </w:pPr>
          </w:p>
        </w:tc>
        <w:tc>
          <w:tcPr>
            <w:tcW w:w="7720" w:type="dxa"/>
            <w:vAlign w:val="bottom"/>
          </w:tcPr>
          <w:p>
            <w:pPr>
              <w:jc w:val="center"/>
              <w:ind w:left="2990"/>
              <w:spacing w:after="0"/>
              <w:rPr>
                <w:sz w:val="20"/>
                <w:szCs w:val="20"/>
                <w:color w:val="auto"/>
              </w:rPr>
            </w:pPr>
            <w:r>
              <w:rPr>
                <w:rFonts w:ascii="Arial" w:cs="Arial" w:eastAsia="Arial" w:hAnsi="Arial"/>
                <w:sz w:val="18"/>
                <w:szCs w:val="18"/>
                <w:b w:val="1"/>
                <w:bCs w:val="1"/>
                <w:color w:val="auto"/>
              </w:rPr>
              <w:t>REGENERON PHARMACEUTICALS, INC.</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20" w:type="dxa"/>
            <w:vAlign w:val="bottom"/>
          </w:tcPr>
          <w:p>
            <w:pPr>
              <w:spacing w:after="0"/>
              <w:rPr>
                <w:sz w:val="19"/>
                <w:szCs w:val="19"/>
                <w:color w:val="auto"/>
              </w:rPr>
            </w:pPr>
          </w:p>
        </w:tc>
        <w:tc>
          <w:tcPr>
            <w:tcW w:w="8080" w:type="dxa"/>
            <w:vAlign w:val="bottom"/>
            <w:gridSpan w:val="2"/>
          </w:tcPr>
          <w:p>
            <w:pPr>
              <w:jc w:val="center"/>
              <w:ind w:left="2650"/>
              <w:spacing w:after="0"/>
              <w:rPr>
                <w:sz w:val="20"/>
                <w:szCs w:val="20"/>
                <w:color w:val="auto"/>
              </w:rPr>
            </w:pPr>
            <w:r>
              <w:rPr>
                <w:rFonts w:ascii="Arial" w:cs="Arial" w:eastAsia="Arial" w:hAnsi="Arial"/>
                <w:sz w:val="18"/>
                <w:szCs w:val="18"/>
                <w:b w:val="1"/>
                <w:bCs w:val="1"/>
                <w:color w:val="auto"/>
                <w:w w:val="97"/>
              </w:rPr>
              <w:t>CONDENSED CONSOLIDATED BALANCE SHEETS (Unaudited)</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7720" w:type="dxa"/>
            <w:vAlign w:val="bottom"/>
          </w:tcPr>
          <w:p>
            <w:pPr>
              <w:jc w:val="center"/>
              <w:ind w:left="3010"/>
              <w:spacing w:after="0"/>
              <w:rPr>
                <w:sz w:val="20"/>
                <w:szCs w:val="20"/>
                <w:color w:val="auto"/>
              </w:rPr>
            </w:pPr>
            <w:r>
              <w:rPr>
                <w:rFonts w:ascii="Arial" w:cs="Arial" w:eastAsia="Arial" w:hAnsi="Arial"/>
                <w:sz w:val="18"/>
                <w:szCs w:val="18"/>
                <w:b w:val="1"/>
                <w:bCs w:val="1"/>
                <w:i w:val="1"/>
                <w:iCs w:val="1"/>
                <w:color w:val="auto"/>
                <w:w w:val="93"/>
              </w:rPr>
              <w:t>(In millions)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20" w:type="dxa"/>
            <w:vAlign w:val="bottom"/>
          </w:tcPr>
          <w:p>
            <w:pPr>
              <w:spacing w:after="0"/>
              <w:rPr>
                <w:sz w:val="21"/>
                <w:szCs w:val="21"/>
                <w:color w:val="auto"/>
              </w:rPr>
            </w:pPr>
          </w:p>
        </w:tc>
        <w:tc>
          <w:tcPr>
            <w:tcW w:w="7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21"/>
                <w:szCs w:val="21"/>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77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7720" w:type="dxa"/>
            <w:vAlign w:val="bottom"/>
          </w:tcPr>
          <w:p>
            <w:pPr>
              <w:ind w:left="220"/>
              <w:spacing w:after="0"/>
              <w:rPr>
                <w:sz w:val="20"/>
                <w:szCs w:val="20"/>
                <w:color w:val="auto"/>
              </w:rPr>
            </w:pPr>
            <w:r>
              <w:rPr>
                <w:rFonts w:ascii="Arial" w:cs="Arial" w:eastAsia="Arial" w:hAnsi="Arial"/>
                <w:sz w:val="18"/>
                <w:szCs w:val="18"/>
                <w:color w:val="auto"/>
              </w:rPr>
              <w:t>Cash and marketable securities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7,811.1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6,722.6</w:t>
            </w: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7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4,114.7</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772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1,983.9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1,916.6</w:t>
            </w: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7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plant, and equipment, net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3,221.6</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7720" w:type="dxa"/>
            <w:vAlign w:val="bottom"/>
          </w:tcPr>
          <w:p>
            <w:pPr>
              <w:ind w:left="220"/>
              <w:spacing w:after="0"/>
              <w:rPr>
                <w:sz w:val="20"/>
                <w:szCs w:val="20"/>
                <w:color w:val="auto"/>
              </w:rPr>
            </w:pPr>
            <w:r>
              <w:rPr>
                <w:rFonts w:ascii="Arial" w:cs="Arial" w:eastAsia="Arial" w:hAnsi="Arial"/>
                <w:sz w:val="18"/>
                <w:szCs w:val="18"/>
                <w:color w:val="auto"/>
              </w:rPr>
              <w:t>Deferred tax assets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858.9</w:t>
            </w: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7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328.9</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77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21,485.9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17,163.3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7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20" w:type="dxa"/>
            <w:vAlign w:val="bottom"/>
          </w:tcPr>
          <w:p>
            <w:pPr>
              <w:spacing w:after="0"/>
              <w:rPr>
                <w:sz w:val="20"/>
                <w:szCs w:val="20"/>
                <w:color w:val="auto"/>
              </w:rPr>
            </w:pPr>
          </w:p>
        </w:tc>
        <w:tc>
          <w:tcPr>
            <w:tcW w:w="77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7720" w:type="dxa"/>
            <w:vAlign w:val="bottom"/>
          </w:tcPr>
          <w:p>
            <w:pPr>
              <w:ind w:left="20"/>
              <w:spacing w:after="0"/>
              <w:rPr>
                <w:sz w:val="20"/>
                <w:szCs w:val="20"/>
                <w:color w:val="auto"/>
              </w:rPr>
            </w:pPr>
            <w:r>
              <w:rPr>
                <w:rFonts w:ascii="Arial" w:cs="Arial" w:eastAsia="Arial" w:hAnsi="Arial"/>
                <w:sz w:val="18"/>
                <w:szCs w:val="18"/>
                <w:color w:val="auto"/>
              </w:rPr>
              <w:t>Liabilities and stockholders' equity:</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7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 accrued expenses, and other liabilities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2,806.8</w:t>
            </w: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7720" w:type="dxa"/>
            <w:vAlign w:val="bottom"/>
          </w:tcPr>
          <w:p>
            <w:pPr>
              <w:ind w:left="220"/>
              <w:spacing w:after="0"/>
              <w:rPr>
                <w:sz w:val="20"/>
                <w:szCs w:val="20"/>
                <w:color w:val="auto"/>
              </w:rPr>
            </w:pPr>
            <w:r>
              <w:rPr>
                <w:rFonts w:ascii="Arial" w:cs="Arial" w:eastAsia="Arial" w:hAnsi="Arial"/>
                <w:sz w:val="18"/>
                <w:szCs w:val="18"/>
                <w:color w:val="auto"/>
              </w:rPr>
              <w:t>Finance lease liabilities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717.2</w:t>
            </w: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7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revenue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635.5</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7720" w:type="dxa"/>
            <w:vAlign w:val="bottom"/>
          </w:tcPr>
          <w:p>
            <w:pPr>
              <w:ind w:left="220"/>
              <w:spacing w:after="0"/>
              <w:rPr>
                <w:sz w:val="20"/>
                <w:szCs w:val="20"/>
                <w:color w:val="auto"/>
              </w:rPr>
            </w:pPr>
            <w:r>
              <w:rPr>
                <w:rFonts w:ascii="Arial" w:cs="Arial" w:eastAsia="Arial" w:hAnsi="Arial"/>
                <w:sz w:val="18"/>
                <w:szCs w:val="18"/>
                <w:color w:val="auto"/>
              </w:rPr>
              <w:t>Long-term debt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1,979.2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1,978.5</w:t>
            </w: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7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Stockholders' equity</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15,127.3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11,025.3</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772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21,485.9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17,163.3</w:t>
            </w:r>
          </w:p>
        </w:tc>
        <w:tc>
          <w:tcPr>
            <w:tcW w:w="0" w:type="dxa"/>
            <w:vAlign w:val="bottom"/>
          </w:tcPr>
          <w:p>
            <w:pPr>
              <w:spacing w:after="0"/>
              <w:rPr>
                <w:sz w:val="1"/>
                <w:szCs w:val="1"/>
                <w:color w:val="auto"/>
              </w:rPr>
            </w:pPr>
          </w:p>
        </w:tc>
      </w:tr>
      <w:tr>
        <w:trPr>
          <w:trHeight w:val="20"/>
        </w:trPr>
        <w:tc>
          <w:tcPr>
            <w:tcW w:w="7940" w:type="dxa"/>
            <w:vAlign w:val="bottom"/>
            <w:gridSpan w:val="2"/>
            <w:vMerge w:val="restart"/>
          </w:tcPr>
          <w:p>
            <w:pPr>
              <w:jc w:val="center"/>
              <w:ind w:left="3230"/>
              <w:spacing w:after="0"/>
              <w:rPr>
                <w:sz w:val="20"/>
                <w:szCs w:val="20"/>
                <w:color w:val="auto"/>
              </w:rPr>
            </w:pPr>
            <w:r>
              <w:rPr>
                <w:rFonts w:ascii="Arial" w:cs="Arial" w:eastAsia="Arial" w:hAnsi="Arial"/>
                <w:sz w:val="18"/>
                <w:szCs w:val="18"/>
                <w:color w:val="auto"/>
                <w:w w:val="89"/>
              </w:rPr>
              <w:t>13</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794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20" w:top="895" w:right="5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gridSpan w:val="2"/>
          </w:tcPr>
          <w:p>
            <w:pPr>
              <w:spacing w:after="0"/>
              <w:rPr>
                <w:sz w:val="20"/>
                <w:szCs w:val="20"/>
                <w:color w:val="auto"/>
              </w:rPr>
            </w:pPr>
            <w:r>
              <w:rPr>
                <w:rFonts w:ascii="Arial" w:cs="Arial" w:eastAsia="Arial" w:hAnsi="Arial"/>
                <w:sz w:val="18"/>
                <w:szCs w:val="18"/>
                <w:color w:val="auto"/>
              </w:rPr>
              <w:t>TABLE 2</w:t>
            </w:r>
          </w:p>
        </w:tc>
        <w:tc>
          <w:tcPr>
            <w:tcW w:w="2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41"/>
        </w:trPr>
        <w:tc>
          <w:tcPr>
            <w:tcW w:w="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74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rPr>
              <w:t>REGENERON PHARMACEUTICALS, INC.</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20"/>
        </w:trPr>
        <w:tc>
          <w:tcPr>
            <w:tcW w:w="60" w:type="dxa"/>
            <w:vAlign w:val="bottom"/>
          </w:tcPr>
          <w:p>
            <w:pPr>
              <w:spacing w:after="0"/>
              <w:rPr>
                <w:sz w:val="19"/>
                <w:szCs w:val="19"/>
                <w:color w:val="auto"/>
              </w:rPr>
            </w:pPr>
          </w:p>
        </w:tc>
        <w:tc>
          <w:tcPr>
            <w:tcW w:w="8760" w:type="dxa"/>
            <w:vAlign w:val="bottom"/>
            <w:gridSpan w:val="8"/>
          </w:tcPr>
          <w:p>
            <w:pPr>
              <w:jc w:val="center"/>
              <w:ind w:left="2270"/>
              <w:spacing w:after="0"/>
              <w:rPr>
                <w:sz w:val="20"/>
                <w:szCs w:val="20"/>
                <w:color w:val="auto"/>
              </w:rPr>
            </w:pPr>
            <w:r>
              <w:rPr>
                <w:rFonts w:ascii="Arial" w:cs="Arial" w:eastAsia="Arial" w:hAnsi="Arial"/>
                <w:sz w:val="18"/>
                <w:szCs w:val="18"/>
                <w:b w:val="1"/>
                <w:bCs w:val="1"/>
                <w:color w:val="auto"/>
                <w:w w:val="97"/>
              </w:rPr>
              <w:t>CONDENSED CONSOLIDATED STATEMENTS OF OPERATIONS (Unaudited)</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6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3740" w:type="dxa"/>
            <w:vAlign w:val="bottom"/>
            <w:gridSpan w:val="4"/>
          </w:tcPr>
          <w:p>
            <w:pPr>
              <w:jc w:val="center"/>
              <w:ind w:right="180"/>
              <w:spacing w:after="0"/>
              <w:rPr>
                <w:sz w:val="20"/>
                <w:szCs w:val="20"/>
                <w:color w:val="auto"/>
              </w:rPr>
            </w:pPr>
            <w:r>
              <w:rPr>
                <w:rFonts w:ascii="Arial" w:cs="Arial" w:eastAsia="Arial" w:hAnsi="Arial"/>
                <w:sz w:val="18"/>
                <w:szCs w:val="18"/>
                <w:b w:val="1"/>
                <w:bCs w:val="1"/>
                <w:i w:val="1"/>
                <w:iCs w:val="1"/>
                <w:color w:val="auto"/>
                <w:w w:val="87"/>
              </w:rPr>
              <w:t>(In millions, except per share data)</w:t>
            </w: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03"/>
        </w:trPr>
        <w:tc>
          <w:tcPr>
            <w:tcW w:w="6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60" w:type="dxa"/>
            <w:vAlign w:val="bottom"/>
            <w:gridSpan w:val="5"/>
          </w:tcPr>
          <w:p>
            <w:pPr>
              <w:jc w:val="right"/>
              <w:ind w:right="500"/>
              <w:spacing w:after="0" w:line="202" w:lineRule="exact"/>
              <w:rPr>
                <w:sz w:val="20"/>
                <w:szCs w:val="20"/>
                <w:color w:val="auto"/>
              </w:rPr>
            </w:pPr>
            <w:r>
              <w:rPr>
                <w:rFonts w:ascii="Arial" w:cs="Arial" w:eastAsia="Arial" w:hAnsi="Arial"/>
                <w:sz w:val="18"/>
                <w:szCs w:val="18"/>
                <w:b w:val="1"/>
                <w:bCs w:val="1"/>
                <w:color w:val="auto"/>
                <w:w w:val="97"/>
              </w:rPr>
              <w:t>Three Months Ended</w:t>
            </w:r>
          </w:p>
        </w:tc>
        <w:tc>
          <w:tcPr>
            <w:tcW w:w="240" w:type="dxa"/>
            <w:vAlign w:val="bottom"/>
          </w:tcPr>
          <w:p>
            <w:pPr>
              <w:spacing w:after="0"/>
              <w:rPr>
                <w:sz w:val="17"/>
                <w:szCs w:val="17"/>
                <w:color w:val="auto"/>
              </w:rPr>
            </w:pPr>
          </w:p>
        </w:tc>
        <w:tc>
          <w:tcPr>
            <w:tcW w:w="2140" w:type="dxa"/>
            <w:vAlign w:val="bottom"/>
            <w:gridSpan w:val="4"/>
          </w:tcPr>
          <w:p>
            <w:pPr>
              <w:jc w:val="right"/>
              <w:ind w:right="410"/>
              <w:spacing w:after="0" w:line="202" w:lineRule="exact"/>
              <w:rPr>
                <w:sz w:val="20"/>
                <w:szCs w:val="20"/>
                <w:color w:val="auto"/>
              </w:rPr>
            </w:pPr>
            <w:r>
              <w:rPr>
                <w:rFonts w:ascii="Arial" w:cs="Arial" w:eastAsia="Arial" w:hAnsi="Arial"/>
                <w:sz w:val="18"/>
                <w:szCs w:val="18"/>
                <w:b w:val="1"/>
                <w:bCs w:val="1"/>
                <w:color w:val="auto"/>
              </w:rPr>
              <w:t>Six Months Ended</w:t>
            </w:r>
          </w:p>
        </w:tc>
      </w:tr>
      <w:tr>
        <w:trPr>
          <w:trHeight w:val="230"/>
        </w:trPr>
        <w:tc>
          <w:tcPr>
            <w:tcW w:w="6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3780" w:type="dxa"/>
            <w:vAlign w:val="bottom"/>
            <w:tcBorders>
              <w:bottom w:val="single" w:sz="8" w:color="CCEEFF"/>
            </w:tcBorders>
          </w:tcPr>
          <w:p>
            <w:pPr>
              <w:spacing w:after="0"/>
              <w:rPr>
                <w:sz w:val="19"/>
                <w:szCs w:val="19"/>
                <w:color w:val="auto"/>
              </w:rPr>
            </w:pPr>
          </w:p>
        </w:tc>
        <w:tc>
          <w:tcPr>
            <w:tcW w:w="25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2020</w:t>
            </w:r>
          </w:p>
        </w:tc>
      </w:tr>
      <w:tr>
        <w:trPr>
          <w:trHeight w:val="210"/>
        </w:trPr>
        <w:tc>
          <w:tcPr>
            <w:tcW w:w="60" w:type="dxa"/>
            <w:vAlign w:val="bottom"/>
          </w:tcPr>
          <w:p>
            <w:pPr>
              <w:spacing w:after="0"/>
              <w:rPr>
                <w:sz w:val="18"/>
                <w:szCs w:val="18"/>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29"/>
        </w:trPr>
        <w:tc>
          <w:tcPr>
            <w:tcW w:w="60" w:type="dxa"/>
            <w:vAlign w:val="bottom"/>
          </w:tcPr>
          <w:p>
            <w:pPr>
              <w:spacing w:after="0"/>
              <w:rPr>
                <w:sz w:val="19"/>
                <w:szCs w:val="19"/>
                <w:color w:val="auto"/>
              </w:rPr>
            </w:pPr>
          </w:p>
        </w:tc>
        <w:tc>
          <w:tcPr>
            <w:tcW w:w="3780" w:type="dxa"/>
            <w:vAlign w:val="bottom"/>
          </w:tcPr>
          <w:p>
            <w:pPr>
              <w:ind w:left="220"/>
              <w:spacing w:after="0"/>
              <w:rPr>
                <w:sz w:val="20"/>
                <w:szCs w:val="20"/>
                <w:color w:val="auto"/>
              </w:rPr>
            </w:pPr>
            <w:r>
              <w:rPr>
                <w:rFonts w:ascii="Arial" w:cs="Arial" w:eastAsia="Arial" w:hAnsi="Arial"/>
                <w:sz w:val="18"/>
                <w:szCs w:val="18"/>
                <w:color w:val="auto"/>
              </w:rPr>
              <w:t>Net product sales</w:t>
            </w:r>
          </w:p>
        </w:tc>
        <w:tc>
          <w:tcPr>
            <w:tcW w:w="2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4,137.8</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1,226.9</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5,862.1</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2,463.6</w:t>
            </w:r>
          </w:p>
        </w:tc>
      </w:tr>
      <w:tr>
        <w:trPr>
          <w:trHeight w:val="229"/>
        </w:trPr>
        <w:tc>
          <w:tcPr>
            <w:tcW w:w="60" w:type="dxa"/>
            <w:vAlign w:val="bottom"/>
          </w:tcPr>
          <w:p>
            <w:pPr>
              <w:spacing w:after="0"/>
              <w:rPr>
                <w:sz w:val="19"/>
                <w:szCs w:val="19"/>
                <w:color w:val="auto"/>
              </w:rPr>
            </w:pPr>
          </w:p>
        </w:tc>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Collaboration revenue</w:t>
            </w:r>
          </w:p>
        </w:tc>
        <w:tc>
          <w:tcPr>
            <w:tcW w:w="2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1,041.6</w:t>
            </w:r>
          </w:p>
        </w:tc>
      </w:tr>
      <w:tr>
        <w:trPr>
          <w:trHeight w:val="230"/>
        </w:trPr>
        <w:tc>
          <w:tcPr>
            <w:tcW w:w="60" w:type="dxa"/>
            <w:vAlign w:val="bottom"/>
          </w:tcPr>
          <w:p>
            <w:pPr>
              <w:spacing w:after="0"/>
              <w:rPr>
                <w:sz w:val="19"/>
                <w:szCs w:val="19"/>
                <w:color w:val="auto"/>
              </w:rPr>
            </w:pPr>
          </w:p>
        </w:tc>
        <w:tc>
          <w:tcPr>
            <w:tcW w:w="37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revenue</w:t>
            </w:r>
          </w:p>
        </w:tc>
        <w:tc>
          <w:tcPr>
            <w:tcW w:w="25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275.0</w:t>
            </w:r>
          </w:p>
        </w:tc>
      </w:tr>
      <w:tr>
        <w:trPr>
          <w:trHeight w:val="223"/>
        </w:trPr>
        <w:tc>
          <w:tcPr>
            <w:tcW w:w="60" w:type="dxa"/>
            <w:vAlign w:val="bottom"/>
          </w:tcPr>
          <w:p>
            <w:pPr>
              <w:spacing w:after="0"/>
              <w:rPr>
                <w:sz w:val="19"/>
                <w:szCs w:val="19"/>
                <w:color w:val="auto"/>
              </w:rPr>
            </w:pPr>
          </w:p>
        </w:tc>
        <w:tc>
          <w:tcPr>
            <w:tcW w:w="378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5,138.5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1,952.0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7,667.2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3,780.2</w:t>
            </w:r>
          </w:p>
        </w:tc>
      </w:tr>
      <w:tr>
        <w:trPr>
          <w:trHeight w:val="210"/>
        </w:trPr>
        <w:tc>
          <w:tcPr>
            <w:tcW w:w="60" w:type="dxa"/>
            <w:vAlign w:val="bottom"/>
          </w:tcPr>
          <w:p>
            <w:pPr>
              <w:spacing w:after="0"/>
              <w:rPr>
                <w:sz w:val="18"/>
                <w:szCs w:val="18"/>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Expenses:</w:t>
            </w:r>
          </w:p>
        </w:tc>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9"/>
        </w:trPr>
        <w:tc>
          <w:tcPr>
            <w:tcW w:w="60" w:type="dxa"/>
            <w:vAlign w:val="bottom"/>
          </w:tcPr>
          <w:p>
            <w:pPr>
              <w:spacing w:after="0"/>
              <w:rPr>
                <w:sz w:val="19"/>
                <w:szCs w:val="19"/>
                <w:color w:val="auto"/>
              </w:rPr>
            </w:pPr>
          </w:p>
        </w:tc>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2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1,305.9</w:t>
            </w:r>
          </w:p>
        </w:tc>
      </w:tr>
      <w:tr>
        <w:trPr>
          <w:trHeight w:val="229"/>
        </w:trPr>
        <w:tc>
          <w:tcPr>
            <w:tcW w:w="60" w:type="dxa"/>
            <w:vAlign w:val="bottom"/>
          </w:tcPr>
          <w:p>
            <w:pPr>
              <w:spacing w:after="0"/>
              <w:rPr>
                <w:sz w:val="19"/>
                <w:szCs w:val="19"/>
                <w:color w:val="auto"/>
              </w:rPr>
            </w:pPr>
          </w:p>
        </w:tc>
        <w:tc>
          <w:tcPr>
            <w:tcW w:w="3780" w:type="dxa"/>
            <w:vAlign w:val="bottom"/>
          </w:tcPr>
          <w:p>
            <w:pPr>
              <w:ind w:left="220"/>
              <w:spacing w:after="0"/>
              <w:rPr>
                <w:sz w:val="20"/>
                <w:szCs w:val="20"/>
                <w:color w:val="auto"/>
              </w:rPr>
            </w:pPr>
            <w:r>
              <w:rPr>
                <w:rFonts w:ascii="Arial" w:cs="Arial" w:eastAsia="Arial" w:hAnsi="Arial"/>
                <w:sz w:val="18"/>
                <w:szCs w:val="18"/>
                <w:color w:val="auto"/>
              </w:rPr>
              <w:t>Selling, general, and administrative</w:t>
            </w:r>
          </w:p>
        </w:tc>
        <w:tc>
          <w:tcPr>
            <w:tcW w:w="2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348.3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715.6</w:t>
            </w:r>
          </w:p>
        </w:tc>
      </w:tr>
      <w:tr>
        <w:trPr>
          <w:trHeight w:val="230"/>
        </w:trPr>
        <w:tc>
          <w:tcPr>
            <w:tcW w:w="60" w:type="dxa"/>
            <w:vAlign w:val="bottom"/>
          </w:tcPr>
          <w:p>
            <w:pPr>
              <w:spacing w:after="0"/>
              <w:rPr>
                <w:sz w:val="19"/>
                <w:szCs w:val="19"/>
                <w:color w:val="auto"/>
              </w:rPr>
            </w:pPr>
          </w:p>
        </w:tc>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goods sold</w:t>
            </w:r>
          </w:p>
        </w:tc>
        <w:tc>
          <w:tcPr>
            <w:tcW w:w="2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w:t>
            </w:r>
          </w:p>
        </w:tc>
      </w:tr>
      <w:tr>
        <w:trPr>
          <w:trHeight w:val="229"/>
        </w:trPr>
        <w:tc>
          <w:tcPr>
            <w:tcW w:w="60" w:type="dxa"/>
            <w:vAlign w:val="bottom"/>
          </w:tcPr>
          <w:p>
            <w:pPr>
              <w:spacing w:after="0"/>
              <w:rPr>
                <w:sz w:val="19"/>
                <w:szCs w:val="19"/>
                <w:color w:val="auto"/>
              </w:rPr>
            </w:pPr>
          </w:p>
        </w:tc>
        <w:tc>
          <w:tcPr>
            <w:tcW w:w="3780" w:type="dxa"/>
            <w:vAlign w:val="bottom"/>
          </w:tcPr>
          <w:p>
            <w:pPr>
              <w:ind w:left="220"/>
              <w:spacing w:after="0"/>
              <w:rPr>
                <w:sz w:val="20"/>
                <w:szCs w:val="20"/>
                <w:color w:val="auto"/>
              </w:rPr>
            </w:pPr>
            <w:r>
              <w:rPr>
                <w:rFonts w:ascii="Arial" w:cs="Arial" w:eastAsia="Arial" w:hAnsi="Arial"/>
                <w:sz w:val="18"/>
                <w:szCs w:val="18"/>
                <w:color w:val="auto"/>
                <w:w w:val="91"/>
              </w:rPr>
              <w:t>Cost of collaboration and contract manufacturing</w:t>
            </w:r>
          </w:p>
        </w:tc>
        <w:tc>
          <w:tcPr>
            <w:tcW w:w="2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311.5</w:t>
            </w:r>
          </w:p>
        </w:tc>
      </w:tr>
      <w:tr>
        <w:trPr>
          <w:trHeight w:val="229"/>
        </w:trPr>
        <w:tc>
          <w:tcPr>
            <w:tcW w:w="60" w:type="dxa"/>
            <w:vAlign w:val="bottom"/>
          </w:tcPr>
          <w:p>
            <w:pPr>
              <w:spacing w:after="0"/>
              <w:rPr>
                <w:sz w:val="19"/>
                <w:szCs w:val="19"/>
                <w:color w:val="auto"/>
              </w:rPr>
            </w:pPr>
          </w:p>
        </w:tc>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operating (income) expense, net</w:t>
            </w:r>
          </w:p>
        </w:tc>
        <w:tc>
          <w:tcPr>
            <w:tcW w:w="25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w:t>
            </w:r>
          </w:p>
        </w:tc>
      </w:tr>
      <w:tr>
        <w:trPr>
          <w:trHeight w:val="223"/>
        </w:trPr>
        <w:tc>
          <w:tcPr>
            <w:tcW w:w="60" w:type="dxa"/>
            <w:vAlign w:val="bottom"/>
          </w:tcPr>
          <w:p>
            <w:pPr>
              <w:spacing w:after="0"/>
              <w:rPr>
                <w:sz w:val="19"/>
                <w:szCs w:val="19"/>
                <w:color w:val="auto"/>
              </w:rPr>
            </w:pPr>
          </w:p>
        </w:tc>
        <w:tc>
          <w:tcPr>
            <w:tcW w:w="3780" w:type="dxa"/>
            <w:vAlign w:val="bottom"/>
            <w:tcBorders>
              <w:bottom w:val="single" w:sz="8" w:color="CCEEFF"/>
            </w:tcBorders>
          </w:tcPr>
          <w:p>
            <w:pPr>
              <w:spacing w:after="0"/>
              <w:rPr>
                <w:sz w:val="19"/>
                <w:szCs w:val="19"/>
                <w:color w:val="auto"/>
              </w:rPr>
            </w:pPr>
          </w:p>
        </w:tc>
        <w:tc>
          <w:tcPr>
            <w:tcW w:w="25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1,791.3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3,207.3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2,423.7</w:t>
            </w:r>
          </w:p>
        </w:tc>
      </w:tr>
      <w:tr>
        <w:trPr>
          <w:trHeight w:val="250"/>
        </w:trPr>
        <w:tc>
          <w:tcPr>
            <w:tcW w:w="60" w:type="dxa"/>
            <w:vAlign w:val="bottom"/>
          </w:tcPr>
          <w:p>
            <w:pPr>
              <w:spacing w:after="0"/>
              <w:rPr>
                <w:sz w:val="21"/>
                <w:szCs w:val="21"/>
                <w:color w:val="auto"/>
              </w:rPr>
            </w:pPr>
          </w:p>
        </w:tc>
        <w:tc>
          <w:tcPr>
            <w:tcW w:w="3780" w:type="dxa"/>
            <w:vAlign w:val="bottom"/>
            <w:shd w:val="clear" w:color="auto" w:fill="CCEEFF"/>
          </w:tcPr>
          <w:p>
            <w:pPr>
              <w:spacing w:after="0"/>
              <w:rPr>
                <w:sz w:val="21"/>
                <w:szCs w:val="21"/>
                <w:color w:val="auto"/>
              </w:rPr>
            </w:pPr>
          </w:p>
        </w:tc>
        <w:tc>
          <w:tcPr>
            <w:tcW w:w="25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r>
      <w:tr>
        <w:trPr>
          <w:trHeight w:val="229"/>
        </w:trPr>
        <w:tc>
          <w:tcPr>
            <w:tcW w:w="60" w:type="dxa"/>
            <w:vAlign w:val="bottom"/>
          </w:tcPr>
          <w:p>
            <w:pPr>
              <w:spacing w:after="0"/>
              <w:rPr>
                <w:sz w:val="19"/>
                <w:szCs w:val="19"/>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2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3,347.2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4,459.9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1,356.5</w:t>
            </w:r>
          </w:p>
        </w:tc>
      </w:tr>
      <w:tr>
        <w:trPr>
          <w:trHeight w:val="270"/>
        </w:trPr>
        <w:tc>
          <w:tcPr>
            <w:tcW w:w="60" w:type="dxa"/>
            <w:vAlign w:val="bottom"/>
          </w:tcPr>
          <w:p>
            <w:pPr>
              <w:spacing w:after="0"/>
              <w:rPr>
                <w:sz w:val="23"/>
                <w:szCs w:val="23"/>
                <w:color w:val="auto"/>
              </w:rPr>
            </w:pPr>
          </w:p>
        </w:tc>
        <w:tc>
          <w:tcPr>
            <w:tcW w:w="3780" w:type="dxa"/>
            <w:vAlign w:val="bottom"/>
            <w:shd w:val="clear" w:color="auto" w:fill="CCEEFF"/>
          </w:tcPr>
          <w:p>
            <w:pPr>
              <w:spacing w:after="0"/>
              <w:rPr>
                <w:sz w:val="23"/>
                <w:szCs w:val="23"/>
                <w:color w:val="auto"/>
              </w:rPr>
            </w:pPr>
          </w:p>
        </w:tc>
        <w:tc>
          <w:tcPr>
            <w:tcW w:w="25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r>
      <w:tr>
        <w:trPr>
          <w:trHeight w:val="230"/>
        </w:trPr>
        <w:tc>
          <w:tcPr>
            <w:tcW w:w="60" w:type="dxa"/>
            <w:vAlign w:val="bottom"/>
          </w:tcPr>
          <w:p>
            <w:pPr>
              <w:spacing w:after="0"/>
              <w:rPr>
                <w:sz w:val="19"/>
                <w:szCs w:val="19"/>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2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(expense), net</w:t>
            </w:r>
          </w:p>
        </w:tc>
        <w:tc>
          <w:tcPr>
            <w:tcW w:w="2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246.8</w:t>
            </w:r>
          </w:p>
        </w:tc>
      </w:tr>
      <w:tr>
        <w:trPr>
          <w:trHeight w:val="230"/>
        </w:trPr>
        <w:tc>
          <w:tcPr>
            <w:tcW w:w="60" w:type="dxa"/>
            <w:vAlign w:val="bottom"/>
          </w:tcPr>
          <w:p>
            <w:pPr>
              <w:spacing w:after="0"/>
              <w:rPr>
                <w:sz w:val="19"/>
                <w:szCs w:val="19"/>
                <w:color w:val="auto"/>
              </w:rPr>
            </w:pPr>
          </w:p>
        </w:tc>
        <w:tc>
          <w:tcPr>
            <w:tcW w:w="37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Interest expense</w:t>
            </w:r>
          </w:p>
        </w:tc>
        <w:tc>
          <w:tcPr>
            <w:tcW w:w="25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r>
      <w:tr>
        <w:trPr>
          <w:trHeight w:val="223"/>
        </w:trPr>
        <w:tc>
          <w:tcPr>
            <w:tcW w:w="60" w:type="dxa"/>
            <w:vAlign w:val="bottom"/>
          </w:tcPr>
          <w:p>
            <w:pPr>
              <w:spacing w:after="0"/>
              <w:rPr>
                <w:sz w:val="19"/>
                <w:szCs w:val="19"/>
                <w:color w:val="auto"/>
              </w:rPr>
            </w:pPr>
          </w:p>
        </w:tc>
        <w:tc>
          <w:tcPr>
            <w:tcW w:w="378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231.0</w:t>
            </w:r>
          </w:p>
        </w:tc>
      </w:tr>
      <w:tr>
        <w:trPr>
          <w:trHeight w:val="250"/>
        </w:trPr>
        <w:tc>
          <w:tcPr>
            <w:tcW w:w="6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30"/>
        </w:trPr>
        <w:tc>
          <w:tcPr>
            <w:tcW w:w="60" w:type="dxa"/>
            <w:vAlign w:val="bottom"/>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1,587.5</w:t>
            </w:r>
          </w:p>
        </w:tc>
      </w:tr>
      <w:tr>
        <w:trPr>
          <w:trHeight w:val="270"/>
        </w:trPr>
        <w:tc>
          <w:tcPr>
            <w:tcW w:w="60" w:type="dxa"/>
            <w:vAlign w:val="bottom"/>
          </w:tcPr>
          <w:p>
            <w:pPr>
              <w:spacing w:after="0"/>
              <w:rPr>
                <w:sz w:val="23"/>
                <w:szCs w:val="23"/>
                <w:color w:val="auto"/>
              </w:rPr>
            </w:pPr>
          </w:p>
        </w:tc>
        <w:tc>
          <w:tcPr>
            <w:tcW w:w="378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30"/>
        </w:trPr>
        <w:tc>
          <w:tcPr>
            <w:tcW w:w="60" w:type="dxa"/>
            <w:vAlign w:val="bottom"/>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5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w:t>
            </w:r>
          </w:p>
        </w:tc>
      </w:tr>
      <w:tr>
        <w:trPr>
          <w:trHeight w:val="250"/>
        </w:trPr>
        <w:tc>
          <w:tcPr>
            <w:tcW w:w="6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49"/>
        </w:trPr>
        <w:tc>
          <w:tcPr>
            <w:tcW w:w="60" w:type="dxa"/>
            <w:vAlign w:val="bottom"/>
          </w:tcPr>
          <w:p>
            <w:pPr>
              <w:spacing w:after="0"/>
              <w:rPr>
                <w:sz w:val="21"/>
                <w:szCs w:val="21"/>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3,098.9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4,214.1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1,521.9</w:t>
            </w:r>
          </w:p>
        </w:tc>
      </w:tr>
      <w:tr>
        <w:trPr>
          <w:trHeight w:val="20"/>
        </w:trPr>
        <w:tc>
          <w:tcPr>
            <w:tcW w:w="60" w:type="dxa"/>
            <w:vAlign w:val="bottom"/>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6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0"/>
        </w:trPr>
        <w:tc>
          <w:tcPr>
            <w:tcW w:w="60" w:type="dxa"/>
            <w:vAlign w:val="bottom"/>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 - basic</w:t>
            </w:r>
          </w:p>
        </w:tc>
        <w:tc>
          <w:tcPr>
            <w:tcW w:w="2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w:t>
            </w:r>
          </w:p>
        </w:tc>
      </w:tr>
      <w:tr>
        <w:trPr>
          <w:trHeight w:val="230"/>
        </w:trPr>
        <w:tc>
          <w:tcPr>
            <w:tcW w:w="60" w:type="dxa"/>
            <w:vAlign w:val="bottom"/>
          </w:tcPr>
          <w:p>
            <w:pPr>
              <w:spacing w:after="0"/>
              <w:rPr>
                <w:sz w:val="19"/>
                <w:szCs w:val="19"/>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Net income per share - diluted</w:t>
            </w:r>
          </w:p>
        </w:tc>
        <w:tc>
          <w:tcPr>
            <w:tcW w:w="2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27.97</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38.07</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13.03</w:t>
            </w:r>
          </w:p>
        </w:tc>
      </w:tr>
      <w:tr>
        <w:trPr>
          <w:trHeight w:val="270"/>
        </w:trPr>
        <w:tc>
          <w:tcPr>
            <w:tcW w:w="60" w:type="dxa"/>
            <w:vAlign w:val="bottom"/>
          </w:tcPr>
          <w:p>
            <w:pPr>
              <w:spacing w:after="0"/>
              <w:rPr>
                <w:sz w:val="23"/>
                <w:szCs w:val="23"/>
                <w:color w:val="auto"/>
              </w:rPr>
            </w:pPr>
          </w:p>
        </w:tc>
        <w:tc>
          <w:tcPr>
            <w:tcW w:w="3780" w:type="dxa"/>
            <w:vAlign w:val="bottom"/>
            <w:shd w:val="clear" w:color="auto" w:fill="CCEEFF"/>
          </w:tcPr>
          <w:p>
            <w:pPr>
              <w:spacing w:after="0"/>
              <w:rPr>
                <w:sz w:val="23"/>
                <w:szCs w:val="23"/>
                <w:color w:val="auto"/>
              </w:rPr>
            </w:pPr>
          </w:p>
        </w:tc>
        <w:tc>
          <w:tcPr>
            <w:tcW w:w="25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r>
      <w:tr>
        <w:trPr>
          <w:trHeight w:val="229"/>
        </w:trPr>
        <w:tc>
          <w:tcPr>
            <w:tcW w:w="60" w:type="dxa"/>
            <w:vAlign w:val="bottom"/>
          </w:tcPr>
          <w:p>
            <w:pPr>
              <w:spacing w:after="0"/>
              <w:rPr>
                <w:sz w:val="19"/>
                <w:szCs w:val="19"/>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Weighted average shares outstanding - basic</w:t>
            </w:r>
          </w:p>
        </w:tc>
        <w:tc>
          <w:tcPr>
            <w:tcW w:w="2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109.7</w:t>
            </w:r>
          </w:p>
        </w:tc>
      </w:tr>
      <w:tr>
        <w:trPr>
          <w:trHeight w:val="230"/>
        </w:trPr>
        <w:tc>
          <w:tcPr>
            <w:tcW w:w="60" w:type="dxa"/>
            <w:vAlign w:val="bottom"/>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 diluted</w:t>
            </w:r>
          </w:p>
        </w:tc>
        <w:tc>
          <w:tcPr>
            <w:tcW w:w="2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00"/>
          </w:cols>
          <w:pgMar w:left="320" w:top="895" w:right="37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TABLE 3</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7660" w:type="dxa"/>
            <w:vAlign w:val="bottom"/>
            <w:gridSpan w:val="5"/>
          </w:tcPr>
          <w:p>
            <w:pPr>
              <w:jc w:val="center"/>
              <w:ind w:left="3490"/>
              <w:spacing w:after="0"/>
              <w:rPr>
                <w:sz w:val="20"/>
                <w:szCs w:val="20"/>
                <w:color w:val="auto"/>
              </w:rPr>
            </w:pPr>
            <w:r>
              <w:rPr>
                <w:rFonts w:ascii="Arial" w:cs="Arial" w:eastAsia="Arial" w:hAnsi="Arial"/>
                <w:sz w:val="18"/>
                <w:szCs w:val="18"/>
                <w:b w:val="1"/>
                <w:bCs w:val="1"/>
                <w:color w:val="auto"/>
              </w:rPr>
              <w:t>REGENERON PHARMACEUTICALS, INC.</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9240" w:type="dxa"/>
            <w:vAlign w:val="bottom"/>
            <w:gridSpan w:val="9"/>
          </w:tcPr>
          <w:p>
            <w:pPr>
              <w:jc w:val="center"/>
              <w:ind w:left="1910"/>
              <w:spacing w:after="0"/>
              <w:rPr>
                <w:sz w:val="20"/>
                <w:szCs w:val="20"/>
                <w:color w:val="auto"/>
              </w:rPr>
            </w:pPr>
            <w:r>
              <w:rPr>
                <w:rFonts w:ascii="Arial" w:cs="Arial" w:eastAsia="Arial" w:hAnsi="Arial"/>
                <w:sz w:val="18"/>
                <w:szCs w:val="18"/>
                <w:b w:val="1"/>
                <w:bCs w:val="1"/>
                <w:color w:val="auto"/>
              </w:rPr>
              <w:t>RECONCILIATION OF GAAP TO NON-GAAP FINANCIAL INFORMATION (Unaudited)</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gridSpan w:val="5"/>
          </w:tcPr>
          <w:p>
            <w:pPr>
              <w:jc w:val="center"/>
              <w:ind w:left="3490"/>
              <w:spacing w:after="0"/>
              <w:rPr>
                <w:sz w:val="20"/>
                <w:szCs w:val="20"/>
                <w:color w:val="auto"/>
              </w:rPr>
            </w:pPr>
            <w:r>
              <w:rPr>
                <w:rFonts w:ascii="Arial" w:cs="Arial" w:eastAsia="Arial" w:hAnsi="Arial"/>
                <w:sz w:val="18"/>
                <w:szCs w:val="18"/>
                <w:b w:val="1"/>
                <w:bCs w:val="1"/>
                <w:i w:val="1"/>
                <w:iCs w:val="1"/>
                <w:color w:val="auto"/>
                <w:w w:val="87"/>
              </w:rPr>
              <w:t>(In millions, except per share data)</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gridSpan w:val="5"/>
          </w:tcPr>
          <w:p>
            <w:pPr>
              <w:jc w:val="right"/>
              <w:ind w:right="500"/>
              <w:spacing w:after="0" w:line="202" w:lineRule="exact"/>
              <w:rPr>
                <w:sz w:val="20"/>
                <w:szCs w:val="20"/>
                <w:color w:val="auto"/>
              </w:rPr>
            </w:pPr>
            <w:r>
              <w:rPr>
                <w:rFonts w:ascii="Arial" w:cs="Arial" w:eastAsia="Arial" w:hAnsi="Arial"/>
                <w:sz w:val="18"/>
                <w:szCs w:val="18"/>
                <w:b w:val="1"/>
                <w:bCs w:val="1"/>
                <w:color w:val="auto"/>
                <w:w w:val="96"/>
              </w:rPr>
              <w:t>Three Months Ended</w:t>
            </w:r>
          </w:p>
        </w:tc>
        <w:tc>
          <w:tcPr>
            <w:tcW w:w="340" w:type="dxa"/>
            <w:vAlign w:val="bottom"/>
          </w:tcPr>
          <w:p>
            <w:pPr>
              <w:spacing w:after="0"/>
              <w:rPr>
                <w:sz w:val="17"/>
                <w:szCs w:val="17"/>
                <w:color w:val="auto"/>
              </w:rPr>
            </w:pPr>
          </w:p>
        </w:tc>
        <w:tc>
          <w:tcPr>
            <w:tcW w:w="2000" w:type="dxa"/>
            <w:vAlign w:val="bottom"/>
            <w:gridSpan w:val="4"/>
          </w:tcPr>
          <w:p>
            <w:pPr>
              <w:jc w:val="right"/>
              <w:ind w:right="390"/>
              <w:spacing w:after="0" w:line="202" w:lineRule="exact"/>
              <w:rPr>
                <w:sz w:val="20"/>
                <w:szCs w:val="20"/>
                <w:color w:val="auto"/>
              </w:rPr>
            </w:pPr>
            <w:r>
              <w:rPr>
                <w:rFonts w:ascii="Arial" w:cs="Arial" w:eastAsia="Arial" w:hAnsi="Arial"/>
                <w:sz w:val="18"/>
                <w:szCs w:val="18"/>
                <w:b w:val="1"/>
                <w:bCs w:val="1"/>
                <w:color w:val="auto"/>
                <w:w w:val="96"/>
              </w:rPr>
              <w:t>Six Months Ended</w:t>
            </w:r>
          </w:p>
        </w:tc>
        <w:tc>
          <w:tcPr>
            <w:tcW w:w="0" w:type="dxa"/>
            <w:vAlign w:val="bottom"/>
          </w:tcPr>
          <w:p>
            <w:pPr>
              <w:spacing w:after="0"/>
              <w:rPr>
                <w:sz w:val="1"/>
                <w:szCs w:val="1"/>
                <w:color w:val="auto"/>
              </w:rPr>
            </w:pPr>
          </w:p>
        </w:tc>
      </w:tr>
      <w:tr>
        <w:trPr>
          <w:trHeight w:val="230"/>
        </w:trPr>
        <w:tc>
          <w:tcPr>
            <w:tcW w:w="5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2020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2020</w:t>
            </w: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R&amp;D</w:t>
            </w: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1,305.9</w:t>
            </w:r>
          </w:p>
        </w:tc>
        <w:tc>
          <w:tcPr>
            <w:tcW w:w="0" w:type="dxa"/>
            <w:vAlign w:val="bottom"/>
          </w:tcPr>
          <w:p>
            <w:pPr>
              <w:spacing w:after="0"/>
              <w:rPr>
                <w:sz w:val="1"/>
                <w:szCs w:val="1"/>
                <w:color w:val="auto"/>
              </w:rPr>
            </w:pPr>
          </w:p>
        </w:tc>
      </w:tr>
      <w:tr>
        <w:trPr>
          <w:trHeight w:val="229"/>
        </w:trPr>
        <w:tc>
          <w:tcPr>
            <w:tcW w:w="5520" w:type="dxa"/>
            <w:vAlign w:val="bottom"/>
          </w:tcPr>
          <w:p>
            <w:pPr>
              <w:ind w:left="220"/>
              <w:spacing w:after="0"/>
              <w:rPr>
                <w:sz w:val="20"/>
                <w:szCs w:val="20"/>
                <w:color w:val="auto"/>
              </w:rPr>
            </w:pPr>
            <w:r>
              <w:rPr>
                <w:rFonts w:ascii="Arial" w:cs="Arial" w:eastAsia="Arial" w:hAnsi="Arial"/>
                <w:sz w:val="18"/>
                <w:szCs w:val="18"/>
                <w:color w:val="auto"/>
              </w:rPr>
              <w:t>R&amp;D: Non-cash share-based compensation expense</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113.6</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1"/>
              </w:rPr>
              <w:t>R&amp;D: Up-front payments related to license and collaboration agreements</w:t>
            </w: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23"/>
        </w:trPr>
        <w:tc>
          <w:tcPr>
            <w:tcW w:w="5520" w:type="dxa"/>
            <w:vAlign w:val="bottom"/>
          </w:tcPr>
          <w:p>
            <w:pPr>
              <w:ind w:left="20"/>
              <w:spacing w:after="0"/>
              <w:rPr>
                <w:sz w:val="20"/>
                <w:szCs w:val="20"/>
                <w:color w:val="auto"/>
              </w:rPr>
            </w:pPr>
            <w:r>
              <w:rPr>
                <w:rFonts w:ascii="Arial" w:cs="Arial" w:eastAsia="Arial" w:hAnsi="Arial"/>
                <w:sz w:val="18"/>
                <w:szCs w:val="18"/>
                <w:color w:val="auto"/>
              </w:rPr>
              <w:t>Non-GAAP R&amp;D</w:t>
            </w:r>
          </w:p>
        </w:tc>
        <w:tc>
          <w:tcPr>
            <w:tcW w:w="9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643.3</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580.1</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1,316.5</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1,107.3</w:t>
            </w:r>
          </w:p>
        </w:tc>
        <w:tc>
          <w:tcPr>
            <w:tcW w:w="0" w:type="dxa"/>
            <w:vAlign w:val="bottom"/>
          </w:tcPr>
          <w:p>
            <w:pPr>
              <w:spacing w:after="0"/>
              <w:rPr>
                <w:sz w:val="1"/>
                <w:szCs w:val="1"/>
                <w:color w:val="auto"/>
              </w:rPr>
            </w:pP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55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GAAP SG&amp;A</w:t>
            </w: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414.7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348.3</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820.3</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715.6</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SG&amp;A: Non-cash share-based compensation expense</w:t>
            </w: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29"/>
        </w:trPr>
        <w:tc>
          <w:tcPr>
            <w:tcW w:w="5520" w:type="dxa"/>
            <w:vAlign w:val="bottom"/>
          </w:tcPr>
          <w:p>
            <w:pPr>
              <w:ind w:left="220"/>
              <w:spacing w:after="0"/>
              <w:rPr>
                <w:sz w:val="20"/>
                <w:szCs w:val="20"/>
                <w:color w:val="auto"/>
              </w:rPr>
            </w:pPr>
            <w:r>
              <w:rPr>
                <w:rFonts w:ascii="Arial" w:cs="Arial" w:eastAsia="Arial" w:hAnsi="Arial"/>
                <w:sz w:val="18"/>
                <w:szCs w:val="18"/>
                <w:color w:val="auto"/>
              </w:rPr>
              <w:t>SG&amp;A: Litigation contingencies and other</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48"/>
        </w:trPr>
        <w:tc>
          <w:tcPr>
            <w:tcW w:w="5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SG&amp;A</w:t>
            </w:r>
          </w:p>
        </w:tc>
        <w:tc>
          <w:tcPr>
            <w:tcW w:w="9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608.2</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5520" w:type="dxa"/>
            <w:vAlign w:val="bottom"/>
          </w:tcPr>
          <w:p>
            <w:pPr>
              <w:spacing w:after="0"/>
              <w:rPr>
                <w:sz w:val="4"/>
                <w:szCs w:val="4"/>
                <w:color w:val="auto"/>
              </w:rPr>
            </w:pPr>
          </w:p>
        </w:tc>
        <w:tc>
          <w:tcPr>
            <w:tcW w:w="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COGS</w:t>
            </w: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w:t>
            </w:r>
          </w:p>
        </w:tc>
        <w:tc>
          <w:tcPr>
            <w:tcW w:w="0" w:type="dxa"/>
            <w:vAlign w:val="bottom"/>
          </w:tcPr>
          <w:p>
            <w:pPr>
              <w:spacing w:after="0"/>
              <w:rPr>
                <w:sz w:val="1"/>
                <w:szCs w:val="1"/>
                <w:color w:val="auto"/>
              </w:rPr>
            </w:pPr>
          </w:p>
        </w:tc>
      </w:tr>
      <w:tr>
        <w:trPr>
          <w:trHeight w:val="230"/>
        </w:trPr>
        <w:tc>
          <w:tcPr>
            <w:tcW w:w="5520" w:type="dxa"/>
            <w:vAlign w:val="bottom"/>
          </w:tcPr>
          <w:p>
            <w:pPr>
              <w:ind w:left="220"/>
              <w:spacing w:after="0"/>
              <w:rPr>
                <w:sz w:val="20"/>
                <w:szCs w:val="20"/>
                <w:color w:val="auto"/>
              </w:rPr>
            </w:pPr>
            <w:r>
              <w:rPr>
                <w:rFonts w:ascii="Arial" w:cs="Arial" w:eastAsia="Arial" w:hAnsi="Arial"/>
                <w:sz w:val="18"/>
                <w:szCs w:val="18"/>
                <w:color w:val="auto"/>
              </w:rPr>
              <w:t>COGS: Non-cash share-based compensation expense</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COGS: Other</w:t>
            </w: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3"/>
        </w:trPr>
        <w:tc>
          <w:tcPr>
            <w:tcW w:w="5520" w:type="dxa"/>
            <w:vAlign w:val="bottom"/>
          </w:tcPr>
          <w:p>
            <w:pPr>
              <w:ind w:left="20"/>
              <w:spacing w:after="0"/>
              <w:rPr>
                <w:sz w:val="20"/>
                <w:szCs w:val="20"/>
                <w:color w:val="auto"/>
              </w:rPr>
            </w:pPr>
            <w:r>
              <w:rPr>
                <w:rFonts w:ascii="Arial" w:cs="Arial" w:eastAsia="Arial" w:hAnsi="Arial"/>
                <w:sz w:val="18"/>
                <w:szCs w:val="18"/>
                <w:color w:val="auto"/>
              </w:rPr>
              <w:t>Non-GAAP COGS</w:t>
            </w:r>
          </w:p>
        </w:tc>
        <w:tc>
          <w:tcPr>
            <w:tcW w:w="9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514.4</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93.2</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687.2</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163.2</w:t>
            </w:r>
          </w:p>
        </w:tc>
        <w:tc>
          <w:tcPr>
            <w:tcW w:w="0" w:type="dxa"/>
            <w:vAlign w:val="bottom"/>
          </w:tcPr>
          <w:p>
            <w:pPr>
              <w:spacing w:after="0"/>
              <w:rPr>
                <w:sz w:val="1"/>
                <w:szCs w:val="1"/>
                <w:color w:val="auto"/>
              </w:rPr>
            </w:pP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55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GAAP other income (expense), net</w:t>
            </w: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405.6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262.5</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545.9</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231.0</w:t>
            </w:r>
          </w:p>
        </w:tc>
        <w:tc>
          <w:tcPr>
            <w:tcW w:w="0" w:type="dxa"/>
            <w:vAlign w:val="bottom"/>
          </w:tcPr>
          <w:p>
            <w:pPr>
              <w:spacing w:after="0"/>
              <w:rPr>
                <w:sz w:val="1"/>
                <w:szCs w:val="1"/>
                <w:color w:val="auto"/>
              </w:rPr>
            </w:pPr>
          </w:p>
        </w:tc>
      </w:tr>
      <w:tr>
        <w:trPr>
          <w:trHeight w:val="243"/>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income/expense: Gains on investments</w:t>
            </w:r>
          </w:p>
        </w:tc>
        <w:tc>
          <w:tcPr>
            <w:tcW w:w="9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(256.1)</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w:t>
            </w:r>
          </w:p>
        </w:tc>
        <w:tc>
          <w:tcPr>
            <w:tcW w:w="0" w:type="dxa"/>
            <w:vAlign w:val="bottom"/>
          </w:tcPr>
          <w:p>
            <w:pPr>
              <w:spacing w:after="0"/>
              <w:rPr>
                <w:sz w:val="1"/>
                <w:szCs w:val="1"/>
                <w:color w:val="auto"/>
              </w:rPr>
            </w:pPr>
          </w:p>
        </w:tc>
      </w:tr>
      <w:tr>
        <w:trPr>
          <w:trHeight w:val="230"/>
        </w:trPr>
        <w:tc>
          <w:tcPr>
            <w:tcW w:w="5520" w:type="dxa"/>
            <w:vAlign w:val="bottom"/>
          </w:tcPr>
          <w:p>
            <w:pPr>
              <w:ind w:left="220"/>
              <w:spacing w:after="0"/>
              <w:rPr>
                <w:sz w:val="20"/>
                <w:szCs w:val="20"/>
                <w:color w:val="auto"/>
              </w:rPr>
            </w:pPr>
            <w:r>
              <w:rPr>
                <w:rFonts w:ascii="Arial" w:cs="Arial" w:eastAsia="Arial" w:hAnsi="Arial"/>
                <w:sz w:val="18"/>
                <w:szCs w:val="18"/>
                <w:color w:val="auto"/>
              </w:rPr>
              <w:t>Interest expense: Other</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8"/>
        </w:trPr>
        <w:tc>
          <w:tcPr>
            <w:tcW w:w="5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other income (expense), net</w:t>
            </w:r>
          </w:p>
        </w:tc>
        <w:tc>
          <w:tcPr>
            <w:tcW w:w="9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5520" w:type="dxa"/>
            <w:vAlign w:val="bottom"/>
          </w:tcPr>
          <w:p>
            <w:pPr>
              <w:spacing w:after="0"/>
              <w:rPr>
                <w:sz w:val="4"/>
                <w:szCs w:val="4"/>
                <w:color w:val="auto"/>
              </w:rPr>
            </w:pPr>
          </w:p>
        </w:tc>
        <w:tc>
          <w:tcPr>
            <w:tcW w:w="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net income</w:t>
            </w: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1,521.9</w:t>
            </w:r>
          </w:p>
        </w:tc>
        <w:tc>
          <w:tcPr>
            <w:tcW w:w="0" w:type="dxa"/>
            <w:vAlign w:val="bottom"/>
          </w:tcPr>
          <w:p>
            <w:pPr>
              <w:spacing w:after="0"/>
              <w:rPr>
                <w:sz w:val="1"/>
                <w:szCs w:val="1"/>
                <w:color w:val="auto"/>
              </w:rPr>
            </w:pPr>
          </w:p>
        </w:tc>
      </w:tr>
      <w:tr>
        <w:trPr>
          <w:trHeight w:val="230"/>
        </w:trPr>
        <w:tc>
          <w:tcPr>
            <w:tcW w:w="5520" w:type="dxa"/>
            <w:vAlign w:val="bottom"/>
          </w:tcPr>
          <w:p>
            <w:pPr>
              <w:ind w:left="220"/>
              <w:spacing w:after="0"/>
              <w:rPr>
                <w:sz w:val="20"/>
                <w:szCs w:val="20"/>
                <w:color w:val="auto"/>
              </w:rPr>
            </w:pPr>
            <w:r>
              <w:rPr>
                <w:rFonts w:ascii="Arial" w:cs="Arial" w:eastAsia="Arial" w:hAnsi="Arial"/>
                <w:sz w:val="18"/>
                <w:szCs w:val="18"/>
                <w:color w:val="auto"/>
              </w:rPr>
              <w:t>Total of GAAP to non-GAAP reconciling items above</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126.3</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effect of GAAP to non-GAAP reconciling items</w:t>
            </w:r>
          </w:p>
        </w:tc>
        <w:tc>
          <w:tcPr>
            <w:tcW w:w="9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23"/>
        </w:trPr>
        <w:tc>
          <w:tcPr>
            <w:tcW w:w="5520" w:type="dxa"/>
            <w:vAlign w:val="bottom"/>
          </w:tcPr>
          <w:p>
            <w:pPr>
              <w:ind w:left="20"/>
              <w:spacing w:after="0"/>
              <w:rPr>
                <w:sz w:val="20"/>
                <w:szCs w:val="20"/>
                <w:color w:val="auto"/>
              </w:rPr>
            </w:pPr>
            <w:r>
              <w:rPr>
                <w:rFonts w:ascii="Arial" w:cs="Arial" w:eastAsia="Arial" w:hAnsi="Arial"/>
                <w:sz w:val="18"/>
                <w:szCs w:val="18"/>
                <w:color w:val="auto"/>
              </w:rPr>
              <w:t>Non-GAAP net income</w:t>
            </w:r>
          </w:p>
        </w:tc>
        <w:tc>
          <w:tcPr>
            <w:tcW w:w="9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2,895.0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854.4</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4,004.2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1,625.0</w:t>
            </w:r>
          </w:p>
        </w:tc>
        <w:tc>
          <w:tcPr>
            <w:tcW w:w="0" w:type="dxa"/>
            <w:vAlign w:val="bottom"/>
          </w:tcPr>
          <w:p>
            <w:pPr>
              <w:spacing w:after="0"/>
              <w:rPr>
                <w:sz w:val="1"/>
                <w:szCs w:val="1"/>
                <w:color w:val="auto"/>
              </w:rPr>
            </w:pP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55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Non-GAAP net income per share - basic</w:t>
            </w: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27.57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7.80</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38.06</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14.81</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net income per share - diluted</w:t>
            </w: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0" w:type="dxa"/>
            <w:vAlign w:val="bottom"/>
          </w:tcPr>
          <w:p>
            <w:pPr>
              <w:spacing w:after="0"/>
              <w:rPr>
                <w:sz w:val="1"/>
                <w:szCs w:val="1"/>
                <w:color w:val="auto"/>
              </w:rPr>
            </w:pPr>
          </w:p>
        </w:tc>
      </w:tr>
      <w:tr>
        <w:trPr>
          <w:trHeight w:val="54"/>
        </w:trPr>
        <w:tc>
          <w:tcPr>
            <w:tcW w:w="5520" w:type="dxa"/>
            <w:vAlign w:val="bottom"/>
          </w:tcPr>
          <w:p>
            <w:pPr>
              <w:spacing w:after="0"/>
              <w:rPr>
                <w:sz w:val="4"/>
                <w:szCs w:val="4"/>
                <w:color w:val="auto"/>
              </w:rPr>
            </w:pPr>
          </w:p>
        </w:tc>
        <w:tc>
          <w:tcPr>
            <w:tcW w:w="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Shares used in calculating:</w:t>
            </w: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Non-GAAP net income per share - basic</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109.6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109.7</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net income per share - diluted</w:t>
            </w: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Effective tax rate reconciliation:</w:t>
            </w: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GAAP effective tax rate</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effect of GAAP to non-GAAP reconciling items</w:t>
            </w:r>
          </w:p>
        </w:tc>
        <w:tc>
          <w:tcPr>
            <w:tcW w:w="9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5520" w:type="dxa"/>
            <w:vAlign w:val="bottom"/>
          </w:tcPr>
          <w:p>
            <w:pPr>
              <w:ind w:left="20"/>
              <w:spacing w:after="0"/>
              <w:rPr>
                <w:sz w:val="20"/>
                <w:szCs w:val="20"/>
                <w:color w:val="auto"/>
              </w:rPr>
            </w:pPr>
            <w:r>
              <w:rPr>
                <w:rFonts w:ascii="Arial" w:cs="Arial" w:eastAsia="Arial" w:hAnsi="Arial"/>
                <w:sz w:val="18"/>
                <w:szCs w:val="18"/>
                <w:color w:val="auto"/>
              </w:rPr>
              <w:t>Non-GAAP effective tax rate</w:t>
            </w:r>
          </w:p>
        </w:tc>
        <w:tc>
          <w:tcPr>
            <w:tcW w:w="9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55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i w:val="1"/>
                <w:iCs w:val="1"/>
                <w:color w:val="auto"/>
              </w:rPr>
              <w:t>Free cash flow reconciliation:</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1,641.4</w:t>
            </w:r>
          </w:p>
        </w:tc>
        <w:tc>
          <w:tcPr>
            <w:tcW w:w="0" w:type="dxa"/>
            <w:vAlign w:val="bottom"/>
          </w:tcPr>
          <w:p>
            <w:pPr>
              <w:spacing w:after="0"/>
              <w:rPr>
                <w:sz w:val="1"/>
                <w:szCs w:val="1"/>
                <w:color w:val="auto"/>
              </w:rPr>
            </w:pPr>
          </w:p>
        </w:tc>
      </w:tr>
      <w:tr>
        <w:trPr>
          <w:trHeight w:val="230"/>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Capital expenditures</w:t>
            </w:r>
          </w:p>
        </w:tc>
        <w:tc>
          <w:tcPr>
            <w:tcW w:w="9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48"/>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Free cash flow</w:t>
            </w: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1,341.4</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CCEEFF"/>
            </w:tcBorders>
            <w:vMerge w:val="restart"/>
          </w:tcPr>
          <w:p>
            <w:pPr>
              <w:jc w:val="center"/>
              <w:ind w:right="610"/>
              <w:spacing w:after="0"/>
              <w:rPr>
                <w:sz w:val="20"/>
                <w:szCs w:val="20"/>
                <w:color w:val="auto"/>
              </w:rPr>
            </w:pPr>
            <w:r>
              <w:rPr>
                <w:rFonts w:ascii="Arial" w:cs="Arial" w:eastAsia="Arial" w:hAnsi="Arial"/>
                <w:sz w:val="18"/>
                <w:szCs w:val="18"/>
                <w:color w:val="auto"/>
                <w:w w:val="89"/>
              </w:rPr>
              <w:t>15</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552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5" w:right="3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80" w:type="dxa"/>
            <w:vAlign w:val="bottom"/>
          </w:tcPr>
          <w:p>
            <w:pPr>
              <w:spacing w:after="0"/>
              <w:rPr>
                <w:sz w:val="20"/>
                <w:szCs w:val="20"/>
                <w:color w:val="auto"/>
              </w:rPr>
            </w:pPr>
            <w:r>
              <w:rPr>
                <w:rFonts w:ascii="Arial" w:cs="Arial" w:eastAsia="Arial" w:hAnsi="Arial"/>
                <w:sz w:val="18"/>
                <w:szCs w:val="18"/>
                <w:color w:val="auto"/>
              </w:rPr>
              <w:t>TABLE 4</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7620" w:type="dxa"/>
            <w:vAlign w:val="bottom"/>
            <w:gridSpan w:val="4"/>
          </w:tcPr>
          <w:p>
            <w:pPr>
              <w:jc w:val="center"/>
              <w:ind w:left="3530"/>
              <w:spacing w:after="0"/>
              <w:rPr>
                <w:sz w:val="20"/>
                <w:szCs w:val="20"/>
                <w:color w:val="auto"/>
              </w:rPr>
            </w:pPr>
            <w:r>
              <w:rPr>
                <w:rFonts w:ascii="Arial" w:cs="Arial" w:eastAsia="Arial" w:hAnsi="Arial"/>
                <w:sz w:val="18"/>
                <w:szCs w:val="18"/>
                <w:b w:val="1"/>
                <w:bCs w:val="1"/>
                <w:color w:val="auto"/>
              </w:rPr>
              <w:t>REGENERON PHARMACEUTICALS, INC.</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620" w:type="dxa"/>
            <w:vAlign w:val="bottom"/>
            <w:gridSpan w:val="4"/>
          </w:tcPr>
          <w:p>
            <w:pPr>
              <w:jc w:val="center"/>
              <w:ind w:left="3550"/>
              <w:spacing w:after="0"/>
              <w:rPr>
                <w:sz w:val="20"/>
                <w:szCs w:val="20"/>
                <w:color w:val="auto"/>
              </w:rPr>
            </w:pPr>
            <w:r>
              <w:rPr>
                <w:rFonts w:ascii="Arial" w:cs="Arial" w:eastAsia="Arial" w:hAnsi="Arial"/>
                <w:sz w:val="18"/>
                <w:szCs w:val="18"/>
                <w:b w:val="1"/>
                <w:bCs w:val="1"/>
                <w:color w:val="auto"/>
                <w:w w:val="98"/>
              </w:rPr>
              <w:t>COLLABORATION REVENUE (Unaudited)</w:t>
            </w: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80" w:type="dxa"/>
            <w:vAlign w:val="bottom"/>
          </w:tcPr>
          <w:p>
            <w:pPr>
              <w:jc w:val="center"/>
              <w:ind w:left="4790"/>
              <w:spacing w:after="0"/>
              <w:rPr>
                <w:sz w:val="20"/>
                <w:szCs w:val="20"/>
                <w:color w:val="auto"/>
              </w:rPr>
            </w:pPr>
            <w:r>
              <w:rPr>
                <w:rFonts w:ascii="Arial" w:cs="Arial" w:eastAsia="Arial" w:hAnsi="Arial"/>
                <w:sz w:val="18"/>
                <w:szCs w:val="18"/>
                <w:b w:val="1"/>
                <w:bCs w:val="1"/>
                <w:i w:val="1"/>
                <w:iCs w:val="1"/>
                <w:color w:val="auto"/>
                <w:w w:val="93"/>
              </w:rPr>
              <w:t>(In millions)</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60" w:type="dxa"/>
            <w:vAlign w:val="bottom"/>
            <w:gridSpan w:val="5"/>
          </w:tcPr>
          <w:p>
            <w:pPr>
              <w:jc w:val="right"/>
              <w:ind w:right="500"/>
              <w:spacing w:after="0" w:line="202" w:lineRule="exact"/>
              <w:rPr>
                <w:sz w:val="20"/>
                <w:szCs w:val="20"/>
                <w:color w:val="auto"/>
              </w:rPr>
            </w:pPr>
            <w:r>
              <w:rPr>
                <w:rFonts w:ascii="Arial" w:cs="Arial" w:eastAsia="Arial" w:hAnsi="Arial"/>
                <w:sz w:val="18"/>
                <w:szCs w:val="18"/>
                <w:b w:val="1"/>
                <w:bCs w:val="1"/>
                <w:color w:val="auto"/>
                <w:w w:val="97"/>
              </w:rPr>
              <w:t>Three Months Ended</w:t>
            </w:r>
          </w:p>
        </w:tc>
        <w:tc>
          <w:tcPr>
            <w:tcW w:w="260" w:type="dxa"/>
            <w:vAlign w:val="bottom"/>
          </w:tcPr>
          <w:p>
            <w:pPr>
              <w:spacing w:after="0"/>
              <w:rPr>
                <w:sz w:val="17"/>
                <w:szCs w:val="17"/>
                <w:color w:val="auto"/>
              </w:rPr>
            </w:pPr>
          </w:p>
        </w:tc>
        <w:tc>
          <w:tcPr>
            <w:tcW w:w="2120" w:type="dxa"/>
            <w:vAlign w:val="bottom"/>
            <w:gridSpan w:val="4"/>
          </w:tcPr>
          <w:p>
            <w:pPr>
              <w:jc w:val="right"/>
              <w:ind w:right="410"/>
              <w:spacing w:after="0" w:line="202" w:lineRule="exact"/>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0"/>
        </w:trPr>
        <w:tc>
          <w:tcPr>
            <w:tcW w:w="63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2020</w:t>
            </w:r>
          </w:p>
        </w:tc>
        <w:tc>
          <w:tcPr>
            <w:tcW w:w="0" w:type="dxa"/>
            <w:vAlign w:val="bottom"/>
          </w:tcPr>
          <w:p>
            <w:pPr>
              <w:spacing w:after="0"/>
              <w:rPr>
                <w:sz w:val="1"/>
                <w:szCs w:val="1"/>
                <w:color w:val="auto"/>
              </w:rPr>
            </w:pPr>
          </w:p>
        </w:tc>
      </w:tr>
      <w:tr>
        <w:trPr>
          <w:trHeight w:val="210"/>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Sanofi collaboration revenue:</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80" w:type="dxa"/>
            <w:vAlign w:val="bottom"/>
          </w:tcPr>
          <w:p>
            <w:pPr>
              <w:ind w:left="180"/>
              <w:spacing w:after="0"/>
              <w:rPr>
                <w:sz w:val="20"/>
                <w:szCs w:val="20"/>
                <w:color w:val="auto"/>
              </w:rPr>
            </w:pPr>
            <w:r>
              <w:rPr>
                <w:rFonts w:ascii="Arial" w:cs="Arial" w:eastAsia="Arial" w:hAnsi="Arial"/>
                <w:sz w:val="18"/>
                <w:szCs w:val="18"/>
                <w:color w:val="auto"/>
              </w:rPr>
              <w:t>Antibody:</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5"/>
              </w:rPr>
              <w:t>Regeneron's share of profits in connection with commercialization of antibodies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342.8</w:t>
            </w:r>
          </w:p>
        </w:tc>
        <w:tc>
          <w:tcPr>
            <w:tcW w:w="0" w:type="dxa"/>
            <w:vAlign w:val="bottom"/>
          </w:tcPr>
          <w:p>
            <w:pPr>
              <w:spacing w:after="0"/>
              <w:rPr>
                <w:sz w:val="1"/>
                <w:szCs w:val="1"/>
                <w:color w:val="auto"/>
              </w:rPr>
            </w:pPr>
          </w:p>
        </w:tc>
      </w:tr>
      <w:tr>
        <w:trPr>
          <w:trHeight w:val="230"/>
        </w:trPr>
        <w:tc>
          <w:tcPr>
            <w:tcW w:w="6380" w:type="dxa"/>
            <w:vAlign w:val="bottom"/>
          </w:tcPr>
          <w:p>
            <w:pPr>
              <w:ind w:left="360"/>
              <w:spacing w:after="0"/>
              <w:rPr>
                <w:sz w:val="20"/>
                <w:szCs w:val="20"/>
                <w:color w:val="auto"/>
              </w:rPr>
            </w:pPr>
            <w:r>
              <w:rPr>
                <w:rFonts w:ascii="Arial" w:cs="Arial" w:eastAsia="Arial" w:hAnsi="Arial"/>
                <w:sz w:val="18"/>
                <w:szCs w:val="18"/>
                <w:color w:val="auto"/>
              </w:rPr>
              <w:t>Reimbursement for manufacturing of commercial supplies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180.7</w:t>
            </w: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Immuno-oncology:</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380" w:type="dxa"/>
            <w:vAlign w:val="bottom"/>
          </w:tcPr>
          <w:p>
            <w:pPr>
              <w:ind w:left="360"/>
              <w:spacing w:after="0" w:line="176" w:lineRule="exact"/>
              <w:rPr>
                <w:sz w:val="20"/>
                <w:szCs w:val="20"/>
                <w:color w:val="auto"/>
              </w:rPr>
            </w:pPr>
            <w:r>
              <w:rPr>
                <w:rFonts w:ascii="Arial" w:cs="Arial" w:eastAsia="Arial" w:hAnsi="Arial"/>
                <w:sz w:val="18"/>
                <w:szCs w:val="18"/>
                <w:color w:val="auto"/>
                <w:w w:val="98"/>
              </w:rPr>
              <w:t>Regeneron's share of losses in connection with commercialization of Libtayo</w:t>
            </w:r>
          </w:p>
        </w:tc>
        <w:tc>
          <w:tcPr>
            <w:tcW w:w="2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9"/>
        </w:trPr>
        <w:tc>
          <w:tcPr>
            <w:tcW w:w="6380" w:type="dxa"/>
            <w:vAlign w:val="bottom"/>
          </w:tcPr>
          <w:p>
            <w:pPr>
              <w:ind w:left="520"/>
              <w:spacing w:after="0"/>
              <w:rPr>
                <w:sz w:val="20"/>
                <w:szCs w:val="20"/>
                <w:color w:val="auto"/>
              </w:rPr>
            </w:pPr>
            <w:r>
              <w:rPr>
                <w:rFonts w:ascii="Arial" w:cs="Arial" w:eastAsia="Arial" w:hAnsi="Arial"/>
                <w:sz w:val="18"/>
                <w:szCs w:val="18"/>
                <w:color w:val="auto"/>
              </w:rPr>
              <w:t>outside the United States</w:t>
            </w:r>
          </w:p>
        </w:tc>
        <w:tc>
          <w:tcPr>
            <w:tcW w:w="2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Reimbursement for manufacturing of commercial supplies</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3"/>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Sanofi collaboration revenue</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516.0</w:t>
            </w:r>
          </w:p>
        </w:tc>
        <w:tc>
          <w:tcPr>
            <w:tcW w:w="0" w:type="dxa"/>
            <w:vAlign w:val="bottom"/>
          </w:tcPr>
          <w:p>
            <w:pPr>
              <w:spacing w:after="0"/>
              <w:rPr>
                <w:sz w:val="1"/>
                <w:szCs w:val="1"/>
                <w:color w:val="auto"/>
              </w:rPr>
            </w:pPr>
          </w:p>
        </w:tc>
      </w:tr>
      <w:tr>
        <w:trPr>
          <w:trHeight w:val="250"/>
        </w:trPr>
        <w:tc>
          <w:tcPr>
            <w:tcW w:w="63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380" w:type="dxa"/>
            <w:vAlign w:val="bottom"/>
          </w:tcPr>
          <w:p>
            <w:pPr>
              <w:ind w:left="20"/>
              <w:spacing w:after="0"/>
              <w:rPr>
                <w:sz w:val="20"/>
                <w:szCs w:val="20"/>
                <w:color w:val="auto"/>
              </w:rPr>
            </w:pPr>
            <w:r>
              <w:rPr>
                <w:rFonts w:ascii="Arial" w:cs="Arial" w:eastAsia="Arial" w:hAnsi="Arial"/>
                <w:sz w:val="18"/>
                <w:szCs w:val="18"/>
                <w:i w:val="1"/>
                <w:iCs w:val="1"/>
                <w:color w:val="auto"/>
              </w:rPr>
              <w:t>Bayer collaboration revenue:</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38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6"/>
              </w:rPr>
              <w:t>Regeneron's net profit in connection with commercialization of EYLEA outside</w:t>
            </w:r>
          </w:p>
        </w:tc>
        <w:tc>
          <w:tcPr>
            <w:tcW w:w="2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335.4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230.9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644.3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484.7</w:t>
            </w: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the United States</w:t>
            </w:r>
          </w:p>
        </w:tc>
        <w:tc>
          <w:tcPr>
            <w:tcW w:w="22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Reimbursement for manufacturing of commercial supplies</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23"/>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Bayer collaboration revenue</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525.6</w:t>
            </w:r>
          </w:p>
        </w:tc>
        <w:tc>
          <w:tcPr>
            <w:tcW w:w="0" w:type="dxa"/>
            <w:vAlign w:val="bottom"/>
          </w:tcPr>
          <w:p>
            <w:pPr>
              <w:spacing w:after="0"/>
              <w:rPr>
                <w:sz w:val="1"/>
                <w:szCs w:val="1"/>
                <w:color w:val="auto"/>
              </w:rPr>
            </w:pPr>
          </w:p>
        </w:tc>
      </w:tr>
      <w:tr>
        <w:trPr>
          <w:trHeight w:val="250"/>
        </w:trPr>
        <w:tc>
          <w:tcPr>
            <w:tcW w:w="6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Roche collaboration revenue:</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380" w:type="dxa"/>
            <w:vAlign w:val="bottom"/>
          </w:tcPr>
          <w:p>
            <w:pPr>
              <w:ind w:left="360"/>
              <w:spacing w:after="0" w:line="176" w:lineRule="exact"/>
              <w:rPr>
                <w:sz w:val="20"/>
                <w:szCs w:val="20"/>
                <w:color w:val="auto"/>
              </w:rPr>
            </w:pPr>
            <w:r>
              <w:rPr>
                <w:rFonts w:ascii="Arial" w:cs="Arial" w:eastAsia="Arial" w:hAnsi="Arial"/>
                <w:sz w:val="18"/>
                <w:szCs w:val="18"/>
                <w:color w:val="auto"/>
                <w:w w:val="96"/>
              </w:rPr>
              <w:t>Regeneron's share of gross profits in connection with sales of casirivimab and</w:t>
            </w:r>
          </w:p>
        </w:tc>
        <w:tc>
          <w:tcPr>
            <w:tcW w:w="2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167.9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234.7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80" w:type="dxa"/>
            <w:vAlign w:val="bottom"/>
          </w:tcPr>
          <w:p>
            <w:pPr>
              <w:ind w:left="520"/>
              <w:spacing w:after="0"/>
              <w:rPr>
                <w:sz w:val="20"/>
                <w:szCs w:val="20"/>
                <w:color w:val="auto"/>
              </w:rPr>
            </w:pPr>
            <w:r>
              <w:rPr>
                <w:rFonts w:ascii="Arial" w:cs="Arial" w:eastAsia="Arial" w:hAnsi="Arial"/>
                <w:sz w:val="18"/>
                <w:szCs w:val="18"/>
                <w:color w:val="auto"/>
              </w:rPr>
              <w:t>imdevimab</w:t>
            </w:r>
          </w:p>
        </w:tc>
        <w:tc>
          <w:tcPr>
            <w:tcW w:w="2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38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6380" w:type="dxa"/>
            <w:vAlign w:val="bottom"/>
          </w:tcPr>
          <w:p>
            <w:pPr>
              <w:ind w:left="20"/>
              <w:spacing w:after="0"/>
              <w:rPr>
                <w:sz w:val="20"/>
                <w:szCs w:val="20"/>
                <w:color w:val="auto"/>
              </w:rPr>
            </w:pPr>
            <w:r>
              <w:rPr>
                <w:rFonts w:ascii="Arial" w:cs="Arial" w:eastAsia="Arial" w:hAnsi="Arial"/>
                <w:sz w:val="18"/>
                <w:szCs w:val="18"/>
                <w:color w:val="auto"/>
              </w:rPr>
              <w:t>Total collaboration revenue</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1,709.1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1,041.6</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895"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0"/>
        </w:trPr>
        <w:tc>
          <w:tcPr>
            <w:tcW w:w="1740" w:type="dxa"/>
            <w:vAlign w:val="bottom"/>
            <w:gridSpan w:val="2"/>
          </w:tcPr>
          <w:p>
            <w:pPr>
              <w:spacing w:after="0"/>
              <w:rPr>
                <w:sz w:val="20"/>
                <w:szCs w:val="20"/>
                <w:color w:val="auto"/>
              </w:rPr>
            </w:pPr>
            <w:r>
              <w:rPr>
                <w:rFonts w:ascii="Arial" w:cs="Arial" w:eastAsia="Arial" w:hAnsi="Arial"/>
                <w:sz w:val="18"/>
                <w:szCs w:val="18"/>
                <w:color w:val="auto"/>
              </w:rPr>
              <w:t>TABLE 5</w:t>
            </w: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41"/>
        </w:trPr>
        <w:tc>
          <w:tcPr>
            <w:tcW w:w="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00" w:type="dxa"/>
            <w:vAlign w:val="bottom"/>
            <w:gridSpan w:val="9"/>
          </w:tcPr>
          <w:p>
            <w:pPr>
              <w:jc w:val="center"/>
              <w:ind w:right="10"/>
              <w:spacing w:after="0"/>
              <w:rPr>
                <w:sz w:val="20"/>
                <w:szCs w:val="20"/>
                <w:color w:val="auto"/>
              </w:rPr>
            </w:pPr>
            <w:r>
              <w:rPr>
                <w:rFonts w:ascii="Arial" w:cs="Arial" w:eastAsia="Arial" w:hAnsi="Arial"/>
                <w:sz w:val="18"/>
                <w:szCs w:val="18"/>
                <w:b w:val="1"/>
                <w:bCs w:val="1"/>
                <w:color w:val="auto"/>
              </w:rPr>
              <w:t>REGENERON PHARMACEUTICALS, INC.</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20"/>
        </w:trPr>
        <w:tc>
          <w:tcPr>
            <w:tcW w:w="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000" w:type="dxa"/>
            <w:vAlign w:val="bottom"/>
            <w:gridSpan w:val="19"/>
          </w:tcPr>
          <w:p>
            <w:pPr>
              <w:jc w:val="center"/>
              <w:ind w:right="240"/>
              <w:spacing w:after="0"/>
              <w:rPr>
                <w:sz w:val="20"/>
                <w:szCs w:val="20"/>
                <w:color w:val="auto"/>
              </w:rPr>
            </w:pPr>
            <w:r>
              <w:rPr>
                <w:rFonts w:ascii="Arial" w:cs="Arial" w:eastAsia="Arial" w:hAnsi="Arial"/>
                <w:sz w:val="18"/>
                <w:szCs w:val="18"/>
                <w:b w:val="1"/>
                <w:bCs w:val="1"/>
                <w:color w:val="auto"/>
                <w:w w:val="97"/>
              </w:rPr>
              <w:t>NET PRODUCT SALES OF REGENERON-DISCOVERED PRODUCTS (Unaudited)</w:t>
            </w:r>
          </w:p>
        </w:tc>
        <w:tc>
          <w:tcPr>
            <w:tcW w:w="148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center"/>
              <w:spacing w:after="0"/>
              <w:rPr>
                <w:sz w:val="20"/>
                <w:szCs w:val="20"/>
                <w:color w:val="auto"/>
              </w:rPr>
            </w:pPr>
            <w:r>
              <w:rPr>
                <w:rFonts w:ascii="Arial" w:cs="Arial" w:eastAsia="Arial" w:hAnsi="Arial"/>
                <w:sz w:val="18"/>
                <w:szCs w:val="18"/>
                <w:b w:val="1"/>
                <w:bCs w:val="1"/>
                <w:i w:val="1"/>
                <w:iCs w:val="1"/>
                <w:color w:val="auto"/>
                <w:w w:val="93"/>
              </w:rPr>
              <w:t>(In millions)</w:t>
            </w: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51"/>
        </w:trPr>
        <w:tc>
          <w:tcPr>
            <w:tcW w:w="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4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2"/>
              </w:rPr>
              <w:t>Three Months Ended</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30"/>
        </w:trPr>
        <w:tc>
          <w:tcPr>
            <w:tcW w:w="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center"/>
              <w:ind w:left="530"/>
              <w:spacing w:after="0"/>
              <w:rPr>
                <w:sz w:val="20"/>
                <w:szCs w:val="20"/>
                <w:color w:val="auto"/>
              </w:rPr>
            </w:pPr>
            <w:r>
              <w:rPr>
                <w:rFonts w:ascii="Arial" w:cs="Arial" w:eastAsia="Arial" w:hAnsi="Arial"/>
                <w:sz w:val="18"/>
                <w:szCs w:val="18"/>
                <w:b w:val="1"/>
                <w:bCs w:val="1"/>
                <w:color w:val="auto"/>
                <w:w w:val="88"/>
              </w:rPr>
              <w:t>June 30,</w:t>
            </w:r>
          </w:p>
        </w:tc>
        <w:tc>
          <w:tcPr>
            <w:tcW w:w="7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1"/>
              </w:rPr>
              <w:t>% Change</w:t>
            </w:r>
          </w:p>
        </w:tc>
      </w:tr>
      <w:tr>
        <w:trPr>
          <w:trHeight w:val="223"/>
        </w:trPr>
        <w:tc>
          <w:tcPr>
            <w:tcW w:w="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ind w:left="140"/>
              <w:spacing w:after="0"/>
              <w:rPr>
                <w:sz w:val="20"/>
                <w:szCs w:val="20"/>
                <w:color w:val="auto"/>
              </w:rPr>
            </w:pPr>
            <w:r>
              <w:rPr>
                <w:rFonts w:ascii="Arial" w:cs="Arial" w:eastAsia="Arial" w:hAnsi="Arial"/>
                <w:sz w:val="18"/>
                <w:szCs w:val="18"/>
                <w:b w:val="1"/>
                <w:bCs w:val="1"/>
                <w:color w:val="auto"/>
              </w:rPr>
              <w:t>U.S.</w:t>
            </w:r>
          </w:p>
        </w:tc>
        <w:tc>
          <w:tcPr>
            <w:tcW w:w="120" w:type="dxa"/>
            <w:vAlign w:val="bottom"/>
          </w:tcPr>
          <w:p>
            <w:pPr>
              <w:spacing w:after="0"/>
              <w:rPr>
                <w:sz w:val="19"/>
                <w:szCs w:val="19"/>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ROW</w:t>
            </w:r>
          </w:p>
        </w:tc>
        <w:tc>
          <w:tcPr>
            <w:tcW w:w="180" w:type="dxa"/>
            <w:vAlign w:val="bottom"/>
          </w:tcPr>
          <w:p>
            <w:pPr>
              <w:spacing w:after="0"/>
              <w:rPr>
                <w:sz w:val="19"/>
                <w:szCs w:val="19"/>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ind w:left="60"/>
              <w:spacing w:after="0"/>
              <w:rPr>
                <w:sz w:val="20"/>
                <w:szCs w:val="20"/>
                <w:color w:val="auto"/>
              </w:rPr>
            </w:pPr>
            <w:r>
              <w:rPr>
                <w:rFonts w:ascii="Arial" w:cs="Arial" w:eastAsia="Arial" w:hAnsi="Arial"/>
                <w:sz w:val="18"/>
                <w:szCs w:val="18"/>
                <w:b w:val="1"/>
                <w:bCs w:val="1"/>
                <w:color w:val="auto"/>
              </w:rPr>
              <w:t>U.S.</w:t>
            </w:r>
          </w:p>
        </w:tc>
        <w:tc>
          <w:tcPr>
            <w:tcW w:w="200" w:type="dxa"/>
            <w:vAlign w:val="bottom"/>
          </w:tcPr>
          <w:p>
            <w:pPr>
              <w:spacing w:after="0"/>
              <w:rPr>
                <w:sz w:val="19"/>
                <w:szCs w:val="19"/>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ROW</w:t>
            </w:r>
          </w:p>
        </w:tc>
        <w:tc>
          <w:tcPr>
            <w:tcW w:w="240" w:type="dxa"/>
            <w:vAlign w:val="bottom"/>
          </w:tcPr>
          <w:p>
            <w:pPr>
              <w:spacing w:after="0"/>
              <w:rPr>
                <w:sz w:val="19"/>
                <w:szCs w:val="19"/>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9"/>
              </w:rPr>
              <w:t>(Total Sales)</w:t>
            </w:r>
          </w:p>
        </w:tc>
      </w:tr>
      <w:tr>
        <w:trPr>
          <w:trHeight w:val="223"/>
        </w:trPr>
        <w:tc>
          <w:tcPr>
            <w:tcW w:w="40" w:type="dxa"/>
            <w:vAlign w:val="bottom"/>
          </w:tcPr>
          <w:p>
            <w:pPr>
              <w:spacing w:after="0"/>
              <w:rPr>
                <w:sz w:val="19"/>
                <w:szCs w:val="19"/>
                <w:color w:val="auto"/>
              </w:rPr>
            </w:pPr>
          </w:p>
        </w:tc>
        <w:tc>
          <w:tcPr>
            <w:tcW w:w="1700" w:type="dxa"/>
            <w:vAlign w:val="bottom"/>
            <w:tcBorders>
              <w:top w:val="single" w:sz="8" w:color="CCEEFF"/>
            </w:tcBorders>
            <w:shd w:val="clear" w:color="auto" w:fill="CCEEFF"/>
          </w:tcPr>
          <w:p>
            <w:pPr>
              <w:spacing w:after="0" w:line="223" w:lineRule="exact"/>
              <w:rPr>
                <w:sz w:val="20"/>
                <w:szCs w:val="20"/>
                <w:color w:val="auto"/>
              </w:rPr>
            </w:pPr>
            <w:r>
              <w:rPr>
                <w:rFonts w:ascii="Arial" w:cs="Arial" w:eastAsia="Arial" w:hAnsi="Arial"/>
                <w:sz w:val="18"/>
                <w:szCs w:val="18"/>
                <w:color w:val="auto"/>
              </w:rPr>
              <w:t>EYLEA</w:t>
            </w:r>
            <w:r>
              <w:rPr>
                <w:rFonts w:ascii="Arial" w:cs="Arial" w:eastAsia="Arial" w:hAnsi="Arial"/>
                <w:sz w:val="23"/>
                <w:szCs w:val="23"/>
                <w:color w:val="auto"/>
                <w:vertAlign w:val="superscript"/>
              </w:rPr>
              <w:t>(a)</w:t>
            </w:r>
          </w:p>
        </w:tc>
        <w:tc>
          <w:tcPr>
            <w:tcW w:w="7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1,424.7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2,328.5</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1,754.7</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33 %</w:t>
            </w:r>
          </w:p>
        </w:tc>
      </w:tr>
      <w:tr>
        <w:trPr>
          <w:trHeight w:val="229"/>
        </w:trPr>
        <w:tc>
          <w:tcPr>
            <w:tcW w:w="40" w:type="dxa"/>
            <w:vAlign w:val="bottom"/>
          </w:tcPr>
          <w:p>
            <w:pPr>
              <w:spacing w:after="0"/>
              <w:rPr>
                <w:sz w:val="19"/>
                <w:szCs w:val="19"/>
                <w:color w:val="auto"/>
              </w:rPr>
            </w:pPr>
          </w:p>
        </w:tc>
        <w:tc>
          <w:tcPr>
            <w:tcW w:w="1700" w:type="dxa"/>
            <w:vAlign w:val="bottom"/>
          </w:tcPr>
          <w:p>
            <w:pPr>
              <w:spacing w:after="0" w:line="230" w:lineRule="exact"/>
              <w:rPr>
                <w:sz w:val="20"/>
                <w:szCs w:val="20"/>
                <w:color w:val="auto"/>
              </w:rPr>
            </w:pPr>
            <w:r>
              <w:rPr>
                <w:rFonts w:ascii="Arial" w:cs="Arial" w:eastAsia="Arial" w:hAnsi="Arial"/>
                <w:sz w:val="18"/>
                <w:szCs w:val="18"/>
                <w:color w:val="auto"/>
              </w:rPr>
              <w:t>Dupixent</w:t>
            </w:r>
            <w:r>
              <w:rPr>
                <w:rFonts w:ascii="Arial" w:cs="Arial" w:eastAsia="Arial" w:hAnsi="Arial"/>
                <w:sz w:val="23"/>
                <w:szCs w:val="23"/>
                <w:color w:val="auto"/>
                <w:vertAlign w:val="superscript"/>
              </w:rPr>
              <w:t>(b)</w:t>
            </w:r>
          </w:p>
        </w:tc>
        <w:tc>
          <w:tcPr>
            <w:tcW w:w="10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1,146.6</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352.4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1,499.0</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770.4</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174.6</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945.0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59 %</w:t>
            </w:r>
          </w:p>
        </w:tc>
      </w:tr>
      <w:tr>
        <w:trPr>
          <w:trHeight w:val="229"/>
        </w:trPr>
        <w:tc>
          <w:tcPr>
            <w:tcW w:w="40" w:type="dxa"/>
            <w:vAlign w:val="bottom"/>
          </w:tcPr>
          <w:p>
            <w:pPr>
              <w:spacing w:after="0"/>
              <w:rPr>
                <w:sz w:val="19"/>
                <w:szCs w:val="19"/>
                <w:color w:val="auto"/>
              </w:rPr>
            </w:pPr>
          </w:p>
        </w:tc>
        <w:tc>
          <w:tcPr>
            <w:tcW w:w="170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Libtayo</w:t>
            </w:r>
            <w:r>
              <w:rPr>
                <w:rFonts w:ascii="Arial" w:cs="Arial" w:eastAsia="Arial" w:hAnsi="Arial"/>
                <w:sz w:val="23"/>
                <w:szCs w:val="23"/>
                <w:color w:val="auto"/>
                <w:vertAlign w:val="superscript"/>
              </w:rPr>
              <w:t>(c)</w:t>
            </w:r>
          </w:p>
        </w:tc>
        <w:tc>
          <w:tcPr>
            <w:tcW w:w="10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46 %</w:t>
            </w:r>
          </w:p>
        </w:tc>
      </w:tr>
      <w:tr>
        <w:trPr>
          <w:trHeight w:val="230"/>
        </w:trPr>
        <w:tc>
          <w:tcPr>
            <w:tcW w:w="40" w:type="dxa"/>
            <w:vAlign w:val="bottom"/>
          </w:tcPr>
          <w:p>
            <w:pPr>
              <w:spacing w:after="0"/>
              <w:rPr>
                <w:sz w:val="19"/>
                <w:szCs w:val="19"/>
                <w:color w:val="auto"/>
              </w:rPr>
            </w:pPr>
          </w:p>
        </w:tc>
        <w:tc>
          <w:tcPr>
            <w:tcW w:w="1700" w:type="dxa"/>
            <w:vAlign w:val="bottom"/>
          </w:tcPr>
          <w:p>
            <w:pPr>
              <w:spacing w:after="0" w:line="230" w:lineRule="exact"/>
              <w:rPr>
                <w:sz w:val="20"/>
                <w:szCs w:val="20"/>
                <w:color w:val="auto"/>
              </w:rPr>
            </w:pPr>
            <w:r>
              <w:rPr>
                <w:rFonts w:ascii="Arial" w:cs="Arial" w:eastAsia="Arial" w:hAnsi="Arial"/>
                <w:sz w:val="18"/>
                <w:szCs w:val="18"/>
                <w:color w:val="auto"/>
              </w:rPr>
              <w:t>Praluent</w:t>
            </w:r>
            <w:r>
              <w:rPr>
                <w:rFonts w:ascii="Arial" w:cs="Arial" w:eastAsia="Arial" w:hAnsi="Arial"/>
                <w:sz w:val="23"/>
                <w:szCs w:val="23"/>
                <w:color w:val="auto"/>
                <w:vertAlign w:val="superscript"/>
              </w:rPr>
              <w:t>(d)</w:t>
            </w:r>
          </w:p>
        </w:tc>
        <w:tc>
          <w:tcPr>
            <w:tcW w:w="10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41.9</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57.5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99.4</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86.6</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15 %</w:t>
            </w:r>
          </w:p>
        </w:tc>
      </w:tr>
      <w:tr>
        <w:trPr>
          <w:trHeight w:val="229"/>
        </w:trPr>
        <w:tc>
          <w:tcPr>
            <w:tcW w:w="40" w:type="dxa"/>
            <w:vAlign w:val="bottom"/>
          </w:tcPr>
          <w:p>
            <w:pPr>
              <w:spacing w:after="0"/>
              <w:rPr>
                <w:sz w:val="19"/>
                <w:szCs w:val="19"/>
                <w:color w:val="auto"/>
              </w:rPr>
            </w:pPr>
          </w:p>
        </w:tc>
        <w:tc>
          <w:tcPr>
            <w:tcW w:w="170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REGEN-COV</w:t>
            </w:r>
            <w:r>
              <w:rPr>
                <w:rFonts w:ascii="Arial" w:cs="Arial" w:eastAsia="Arial" w:hAnsi="Arial"/>
                <w:sz w:val="23"/>
                <w:szCs w:val="23"/>
                <w:color w:val="auto"/>
                <w:vertAlign w:val="superscript"/>
              </w:rPr>
              <w:t>(e)</w:t>
            </w:r>
          </w:p>
        </w:tc>
        <w:tc>
          <w:tcPr>
            <w:tcW w:w="10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3,061.4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(h)</w:t>
            </w:r>
          </w:p>
        </w:tc>
      </w:tr>
      <w:tr>
        <w:trPr>
          <w:trHeight w:val="229"/>
        </w:trPr>
        <w:tc>
          <w:tcPr>
            <w:tcW w:w="40" w:type="dxa"/>
            <w:vAlign w:val="bottom"/>
          </w:tcPr>
          <w:p>
            <w:pPr>
              <w:spacing w:after="0"/>
              <w:rPr>
                <w:sz w:val="19"/>
                <w:szCs w:val="19"/>
                <w:color w:val="auto"/>
              </w:rPr>
            </w:pPr>
          </w:p>
        </w:tc>
        <w:tc>
          <w:tcPr>
            <w:tcW w:w="1700" w:type="dxa"/>
            <w:vAlign w:val="bottom"/>
          </w:tcPr>
          <w:p>
            <w:pPr>
              <w:spacing w:after="0" w:line="230" w:lineRule="exact"/>
              <w:rPr>
                <w:sz w:val="20"/>
                <w:szCs w:val="20"/>
                <w:color w:val="auto"/>
              </w:rPr>
            </w:pPr>
            <w:r>
              <w:rPr>
                <w:rFonts w:ascii="Arial" w:cs="Arial" w:eastAsia="Arial" w:hAnsi="Arial"/>
                <w:sz w:val="18"/>
                <w:szCs w:val="18"/>
                <w:color w:val="auto"/>
              </w:rPr>
              <w:t>Kevzara</w:t>
            </w:r>
            <w:r>
              <w:rPr>
                <w:rFonts w:ascii="Arial" w:cs="Arial" w:eastAsia="Arial" w:hAnsi="Arial"/>
                <w:sz w:val="23"/>
                <w:szCs w:val="23"/>
                <w:color w:val="auto"/>
                <w:vertAlign w:val="superscript"/>
              </w:rPr>
              <w:t>(b)</w:t>
            </w:r>
          </w:p>
        </w:tc>
        <w:tc>
          <w:tcPr>
            <w:tcW w:w="10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66.7</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68.3</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(2 %)</w:t>
            </w:r>
          </w:p>
        </w:tc>
      </w:tr>
      <w:tr>
        <w:trPr>
          <w:trHeight w:val="230"/>
        </w:trPr>
        <w:tc>
          <w:tcPr>
            <w:tcW w:w="40" w:type="dxa"/>
            <w:vAlign w:val="bottom"/>
          </w:tcPr>
          <w:p>
            <w:pPr>
              <w:spacing w:after="0"/>
              <w:rPr>
                <w:sz w:val="19"/>
                <w:szCs w:val="19"/>
                <w:color w:val="auto"/>
              </w:rPr>
            </w:pPr>
          </w:p>
        </w:tc>
        <w:tc>
          <w:tcPr>
            <w:tcW w:w="170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Evkeeza</w:t>
            </w:r>
            <w:r>
              <w:rPr>
                <w:rFonts w:ascii="Arial" w:cs="Arial" w:eastAsia="Arial" w:hAnsi="Arial"/>
                <w:sz w:val="23"/>
                <w:szCs w:val="23"/>
                <w:color w:val="auto"/>
                <w:vertAlign w:val="superscript"/>
              </w:rPr>
              <w:t>(f)</w:t>
            </w:r>
          </w:p>
        </w:tc>
        <w:tc>
          <w:tcPr>
            <w:tcW w:w="10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(h)</w:t>
            </w:r>
          </w:p>
        </w:tc>
      </w:tr>
      <w:tr>
        <w:trPr>
          <w:trHeight w:val="229"/>
        </w:trPr>
        <w:tc>
          <w:tcPr>
            <w:tcW w:w="40" w:type="dxa"/>
            <w:vAlign w:val="bottom"/>
          </w:tcPr>
          <w:p>
            <w:pPr>
              <w:spacing w:after="0"/>
              <w:rPr>
                <w:sz w:val="19"/>
                <w:szCs w:val="19"/>
                <w:color w:val="auto"/>
              </w:rPr>
            </w:pPr>
          </w:p>
        </w:tc>
        <w:tc>
          <w:tcPr>
            <w:tcW w:w="1700" w:type="dxa"/>
            <w:vAlign w:val="bottom"/>
          </w:tcPr>
          <w:p>
            <w:pPr>
              <w:spacing w:after="0" w:line="230" w:lineRule="exact"/>
              <w:rPr>
                <w:sz w:val="20"/>
                <w:szCs w:val="20"/>
                <w:color w:val="auto"/>
              </w:rPr>
            </w:pPr>
            <w:r>
              <w:rPr>
                <w:rFonts w:ascii="Arial" w:cs="Arial" w:eastAsia="Arial" w:hAnsi="Arial"/>
                <w:sz w:val="18"/>
                <w:szCs w:val="18"/>
                <w:color w:val="auto"/>
              </w:rPr>
              <w:t>ARCALYST</w:t>
            </w:r>
            <w:r>
              <w:rPr>
                <w:rFonts w:ascii="Arial" w:cs="Arial" w:eastAsia="Arial" w:hAnsi="Arial"/>
                <w:sz w:val="23"/>
                <w:szCs w:val="23"/>
                <w:color w:val="auto"/>
                <w:vertAlign w:val="superscript"/>
              </w:rPr>
              <w:t>(g)</w:t>
            </w:r>
          </w:p>
        </w:tc>
        <w:tc>
          <w:tcPr>
            <w:tcW w:w="10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185 %</w:t>
            </w:r>
          </w:p>
        </w:tc>
      </w:tr>
      <w:tr>
        <w:trPr>
          <w:trHeight w:val="230"/>
        </w:trPr>
        <w:tc>
          <w:tcPr>
            <w:tcW w:w="40" w:type="dxa"/>
            <w:vAlign w:val="bottom"/>
          </w:tcPr>
          <w:p>
            <w:pPr>
              <w:spacing w:after="0"/>
              <w:rPr>
                <w:sz w:val="19"/>
                <w:szCs w:val="19"/>
                <w:color w:val="auto"/>
              </w:rPr>
            </w:pPr>
          </w:p>
        </w:tc>
        <w:tc>
          <w:tcPr>
            <w:tcW w:w="170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ZALTRAP</w:t>
            </w:r>
            <w:r>
              <w:rPr>
                <w:rFonts w:ascii="Arial" w:cs="Arial" w:eastAsia="Arial" w:hAnsi="Arial"/>
                <w:sz w:val="23"/>
                <w:szCs w:val="23"/>
                <w:color w:val="auto"/>
                <w:vertAlign w:val="superscript"/>
              </w:rPr>
              <w:t>(b)</w:t>
            </w:r>
          </w:p>
        </w:tc>
        <w:tc>
          <w:tcPr>
            <w:tcW w:w="10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445"/>
        </w:trPr>
        <w:tc>
          <w:tcPr>
            <w:tcW w:w="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4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0"/>
              </w:rPr>
              <w:t>Six Months Ended</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30"/>
        </w:trPr>
        <w:tc>
          <w:tcPr>
            <w:tcW w:w="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center"/>
              <w:ind w:left="530"/>
              <w:spacing w:after="0"/>
              <w:rPr>
                <w:sz w:val="20"/>
                <w:szCs w:val="20"/>
                <w:color w:val="auto"/>
              </w:rPr>
            </w:pPr>
            <w:r>
              <w:rPr>
                <w:rFonts w:ascii="Arial" w:cs="Arial" w:eastAsia="Arial" w:hAnsi="Arial"/>
                <w:sz w:val="18"/>
                <w:szCs w:val="18"/>
                <w:b w:val="1"/>
                <w:bCs w:val="1"/>
                <w:color w:val="auto"/>
                <w:w w:val="88"/>
              </w:rPr>
              <w:t>June 30,</w:t>
            </w:r>
          </w:p>
        </w:tc>
        <w:tc>
          <w:tcPr>
            <w:tcW w:w="7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1"/>
              </w:rPr>
              <w:t>% Change</w:t>
            </w:r>
          </w:p>
        </w:tc>
      </w:tr>
      <w:tr>
        <w:trPr>
          <w:trHeight w:val="223"/>
        </w:trPr>
        <w:tc>
          <w:tcPr>
            <w:tcW w:w="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ind w:left="140"/>
              <w:spacing w:after="0"/>
              <w:rPr>
                <w:sz w:val="20"/>
                <w:szCs w:val="20"/>
                <w:color w:val="auto"/>
              </w:rPr>
            </w:pPr>
            <w:r>
              <w:rPr>
                <w:rFonts w:ascii="Arial" w:cs="Arial" w:eastAsia="Arial" w:hAnsi="Arial"/>
                <w:sz w:val="18"/>
                <w:szCs w:val="18"/>
                <w:b w:val="1"/>
                <w:bCs w:val="1"/>
                <w:color w:val="auto"/>
              </w:rPr>
              <w:t>U.S.</w:t>
            </w:r>
          </w:p>
        </w:tc>
        <w:tc>
          <w:tcPr>
            <w:tcW w:w="120" w:type="dxa"/>
            <w:vAlign w:val="bottom"/>
          </w:tcPr>
          <w:p>
            <w:pPr>
              <w:spacing w:after="0"/>
              <w:rPr>
                <w:sz w:val="19"/>
                <w:szCs w:val="19"/>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ROW</w:t>
            </w:r>
          </w:p>
        </w:tc>
        <w:tc>
          <w:tcPr>
            <w:tcW w:w="180" w:type="dxa"/>
            <w:vAlign w:val="bottom"/>
          </w:tcPr>
          <w:p>
            <w:pPr>
              <w:spacing w:after="0"/>
              <w:rPr>
                <w:sz w:val="19"/>
                <w:szCs w:val="19"/>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ind w:left="60"/>
              <w:spacing w:after="0"/>
              <w:rPr>
                <w:sz w:val="20"/>
                <w:szCs w:val="20"/>
                <w:color w:val="auto"/>
              </w:rPr>
            </w:pPr>
            <w:r>
              <w:rPr>
                <w:rFonts w:ascii="Arial" w:cs="Arial" w:eastAsia="Arial" w:hAnsi="Arial"/>
                <w:sz w:val="18"/>
                <w:szCs w:val="18"/>
                <w:b w:val="1"/>
                <w:bCs w:val="1"/>
                <w:color w:val="auto"/>
              </w:rPr>
              <w:t>U.S.</w:t>
            </w:r>
          </w:p>
        </w:tc>
        <w:tc>
          <w:tcPr>
            <w:tcW w:w="200" w:type="dxa"/>
            <w:vAlign w:val="bottom"/>
          </w:tcPr>
          <w:p>
            <w:pPr>
              <w:spacing w:after="0"/>
              <w:rPr>
                <w:sz w:val="19"/>
                <w:szCs w:val="19"/>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ROW</w:t>
            </w:r>
          </w:p>
        </w:tc>
        <w:tc>
          <w:tcPr>
            <w:tcW w:w="240" w:type="dxa"/>
            <w:vAlign w:val="bottom"/>
          </w:tcPr>
          <w:p>
            <w:pPr>
              <w:spacing w:after="0"/>
              <w:rPr>
                <w:sz w:val="19"/>
                <w:szCs w:val="19"/>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9"/>
              </w:rPr>
              <w:t>(Total Sales)</w:t>
            </w:r>
          </w:p>
        </w:tc>
      </w:tr>
      <w:tr>
        <w:trPr>
          <w:trHeight w:val="223"/>
        </w:trPr>
        <w:tc>
          <w:tcPr>
            <w:tcW w:w="40" w:type="dxa"/>
            <w:vAlign w:val="bottom"/>
          </w:tcPr>
          <w:p>
            <w:pPr>
              <w:spacing w:after="0"/>
              <w:rPr>
                <w:sz w:val="19"/>
                <w:szCs w:val="19"/>
                <w:color w:val="auto"/>
              </w:rPr>
            </w:pPr>
          </w:p>
        </w:tc>
        <w:tc>
          <w:tcPr>
            <w:tcW w:w="1700" w:type="dxa"/>
            <w:vAlign w:val="bottom"/>
            <w:tcBorders>
              <w:top w:val="single" w:sz="8" w:color="CCEEFF"/>
            </w:tcBorders>
            <w:shd w:val="clear" w:color="auto" w:fill="CCEEFF"/>
          </w:tcPr>
          <w:p>
            <w:pPr>
              <w:spacing w:after="0" w:line="223" w:lineRule="exact"/>
              <w:rPr>
                <w:sz w:val="20"/>
                <w:szCs w:val="20"/>
                <w:color w:val="auto"/>
              </w:rPr>
            </w:pPr>
            <w:r>
              <w:rPr>
                <w:rFonts w:ascii="Arial" w:cs="Arial" w:eastAsia="Arial" w:hAnsi="Arial"/>
                <w:sz w:val="18"/>
                <w:szCs w:val="18"/>
                <w:color w:val="auto"/>
              </w:rPr>
              <w:t>EYLEA</w:t>
            </w:r>
            <w:r>
              <w:rPr>
                <w:rFonts w:ascii="Arial" w:cs="Arial" w:eastAsia="Arial" w:hAnsi="Arial"/>
                <w:sz w:val="23"/>
                <w:szCs w:val="23"/>
                <w:color w:val="auto"/>
                <w:vertAlign w:val="superscript"/>
              </w:rPr>
              <w:t>(a)</w:t>
            </w:r>
          </w:p>
        </w:tc>
        <w:tc>
          <w:tcPr>
            <w:tcW w:w="7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2,771.7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1,728.1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4,499.8</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2,285.7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3,608.4</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230"/>
        </w:trPr>
        <w:tc>
          <w:tcPr>
            <w:tcW w:w="40" w:type="dxa"/>
            <w:vAlign w:val="bottom"/>
          </w:tcPr>
          <w:p>
            <w:pPr>
              <w:spacing w:after="0"/>
              <w:rPr>
                <w:sz w:val="19"/>
                <w:szCs w:val="19"/>
                <w:color w:val="auto"/>
              </w:rPr>
            </w:pPr>
          </w:p>
        </w:tc>
        <w:tc>
          <w:tcPr>
            <w:tcW w:w="1700" w:type="dxa"/>
            <w:vAlign w:val="bottom"/>
          </w:tcPr>
          <w:p>
            <w:pPr>
              <w:spacing w:after="0" w:line="230" w:lineRule="exact"/>
              <w:rPr>
                <w:sz w:val="20"/>
                <w:szCs w:val="20"/>
                <w:color w:val="auto"/>
              </w:rPr>
            </w:pPr>
            <w:r>
              <w:rPr>
                <w:rFonts w:ascii="Arial" w:cs="Arial" w:eastAsia="Arial" w:hAnsi="Arial"/>
                <w:sz w:val="18"/>
                <w:szCs w:val="18"/>
                <w:color w:val="auto"/>
              </w:rPr>
              <w:t>Dupixent</w:t>
            </w:r>
            <w:r>
              <w:rPr>
                <w:rFonts w:ascii="Arial" w:cs="Arial" w:eastAsia="Arial" w:hAnsi="Arial"/>
                <w:sz w:val="23"/>
                <w:szCs w:val="23"/>
                <w:color w:val="auto"/>
                <w:vertAlign w:val="superscript"/>
              </w:rPr>
              <w:t>(b)</w:t>
            </w:r>
          </w:p>
        </w:tc>
        <w:tc>
          <w:tcPr>
            <w:tcW w:w="10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2,108.1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653.8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2,761.9</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1,449.4</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350.8</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1,800.2</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53 %</w:t>
            </w:r>
          </w:p>
        </w:tc>
      </w:tr>
      <w:tr>
        <w:trPr>
          <w:trHeight w:val="230"/>
        </w:trPr>
        <w:tc>
          <w:tcPr>
            <w:tcW w:w="40" w:type="dxa"/>
            <w:vAlign w:val="bottom"/>
          </w:tcPr>
          <w:p>
            <w:pPr>
              <w:spacing w:after="0"/>
              <w:rPr>
                <w:sz w:val="19"/>
                <w:szCs w:val="19"/>
                <w:color w:val="auto"/>
              </w:rPr>
            </w:pPr>
          </w:p>
        </w:tc>
        <w:tc>
          <w:tcPr>
            <w:tcW w:w="170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Libtayo</w:t>
            </w:r>
            <w:r>
              <w:rPr>
                <w:rFonts w:ascii="Arial" w:cs="Arial" w:eastAsia="Arial" w:hAnsi="Arial"/>
                <w:sz w:val="23"/>
                <w:szCs w:val="23"/>
                <w:color w:val="auto"/>
                <w:vertAlign w:val="superscript"/>
              </w:rPr>
              <w:t>(c)</w:t>
            </w:r>
          </w:p>
        </w:tc>
        <w:tc>
          <w:tcPr>
            <w:tcW w:w="10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w:t>
            </w:r>
          </w:p>
        </w:tc>
      </w:tr>
      <w:tr>
        <w:trPr>
          <w:trHeight w:val="230"/>
        </w:trPr>
        <w:tc>
          <w:tcPr>
            <w:tcW w:w="40" w:type="dxa"/>
            <w:vAlign w:val="bottom"/>
          </w:tcPr>
          <w:p>
            <w:pPr>
              <w:spacing w:after="0"/>
              <w:rPr>
                <w:sz w:val="19"/>
                <w:szCs w:val="19"/>
                <w:color w:val="auto"/>
              </w:rPr>
            </w:pPr>
          </w:p>
        </w:tc>
        <w:tc>
          <w:tcPr>
            <w:tcW w:w="1700" w:type="dxa"/>
            <w:vAlign w:val="bottom"/>
          </w:tcPr>
          <w:p>
            <w:pPr>
              <w:spacing w:after="0" w:line="230" w:lineRule="exact"/>
              <w:rPr>
                <w:sz w:val="20"/>
                <w:szCs w:val="20"/>
                <w:color w:val="auto"/>
              </w:rPr>
            </w:pPr>
            <w:r>
              <w:rPr>
                <w:rFonts w:ascii="Arial" w:cs="Arial" w:eastAsia="Arial" w:hAnsi="Arial"/>
                <w:sz w:val="18"/>
                <w:szCs w:val="18"/>
                <w:color w:val="auto"/>
              </w:rPr>
              <w:t>Praluent</w:t>
            </w:r>
            <w:r>
              <w:rPr>
                <w:rFonts w:ascii="Arial" w:cs="Arial" w:eastAsia="Arial" w:hAnsi="Arial"/>
                <w:sz w:val="23"/>
                <w:szCs w:val="23"/>
                <w:color w:val="auto"/>
                <w:vertAlign w:val="superscript"/>
              </w:rPr>
              <w:t>(d)</w:t>
            </w:r>
          </w:p>
        </w:tc>
        <w:tc>
          <w:tcPr>
            <w:tcW w:w="10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85.2</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118.8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204.0</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82.3</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84.1</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166.4</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23 %</w:t>
            </w:r>
          </w:p>
        </w:tc>
      </w:tr>
      <w:tr>
        <w:trPr>
          <w:trHeight w:val="230"/>
        </w:trPr>
        <w:tc>
          <w:tcPr>
            <w:tcW w:w="40" w:type="dxa"/>
            <w:vAlign w:val="bottom"/>
          </w:tcPr>
          <w:p>
            <w:pPr>
              <w:spacing w:after="0"/>
              <w:rPr>
                <w:sz w:val="19"/>
                <w:szCs w:val="19"/>
                <w:color w:val="auto"/>
              </w:rPr>
            </w:pPr>
          </w:p>
        </w:tc>
        <w:tc>
          <w:tcPr>
            <w:tcW w:w="170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REGEN-COV</w:t>
            </w:r>
            <w:r>
              <w:rPr>
                <w:rFonts w:ascii="Arial" w:cs="Arial" w:eastAsia="Arial" w:hAnsi="Arial"/>
                <w:sz w:val="23"/>
                <w:szCs w:val="23"/>
                <w:color w:val="auto"/>
                <w:vertAlign w:val="superscript"/>
              </w:rPr>
              <w:t>(e)</w:t>
            </w:r>
          </w:p>
        </w:tc>
        <w:tc>
          <w:tcPr>
            <w:tcW w:w="10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2,853.4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3,507.8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(h)</w:t>
            </w:r>
          </w:p>
        </w:tc>
      </w:tr>
      <w:tr>
        <w:trPr>
          <w:trHeight w:val="229"/>
        </w:trPr>
        <w:tc>
          <w:tcPr>
            <w:tcW w:w="40" w:type="dxa"/>
            <w:vAlign w:val="bottom"/>
          </w:tcPr>
          <w:p>
            <w:pPr>
              <w:spacing w:after="0"/>
              <w:rPr>
                <w:sz w:val="19"/>
                <w:szCs w:val="19"/>
                <w:color w:val="auto"/>
              </w:rPr>
            </w:pPr>
          </w:p>
        </w:tc>
        <w:tc>
          <w:tcPr>
            <w:tcW w:w="1700" w:type="dxa"/>
            <w:vAlign w:val="bottom"/>
          </w:tcPr>
          <w:p>
            <w:pPr>
              <w:spacing w:after="0" w:line="230" w:lineRule="exact"/>
              <w:rPr>
                <w:sz w:val="20"/>
                <w:szCs w:val="20"/>
                <w:color w:val="auto"/>
              </w:rPr>
            </w:pPr>
            <w:r>
              <w:rPr>
                <w:rFonts w:ascii="Arial" w:cs="Arial" w:eastAsia="Arial" w:hAnsi="Arial"/>
                <w:sz w:val="18"/>
                <w:szCs w:val="18"/>
                <w:color w:val="auto"/>
              </w:rPr>
              <w:t>Kevzara</w:t>
            </w:r>
            <w:r>
              <w:rPr>
                <w:rFonts w:ascii="Arial" w:cs="Arial" w:eastAsia="Arial" w:hAnsi="Arial"/>
                <w:sz w:val="23"/>
                <w:szCs w:val="23"/>
                <w:color w:val="auto"/>
                <w:vertAlign w:val="superscript"/>
              </w:rPr>
              <w:t>(b)</w:t>
            </w:r>
          </w:p>
        </w:tc>
        <w:tc>
          <w:tcPr>
            <w:tcW w:w="10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61.4</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74.4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135.8</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71.8</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128.4</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6 %</w:t>
            </w:r>
          </w:p>
        </w:tc>
      </w:tr>
      <w:tr>
        <w:trPr>
          <w:trHeight w:val="230"/>
        </w:trPr>
        <w:tc>
          <w:tcPr>
            <w:tcW w:w="40" w:type="dxa"/>
            <w:vAlign w:val="bottom"/>
          </w:tcPr>
          <w:p>
            <w:pPr>
              <w:spacing w:after="0"/>
              <w:rPr>
                <w:sz w:val="19"/>
                <w:szCs w:val="19"/>
                <w:color w:val="auto"/>
              </w:rPr>
            </w:pPr>
          </w:p>
        </w:tc>
        <w:tc>
          <w:tcPr>
            <w:tcW w:w="170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Evkeeza</w:t>
            </w:r>
            <w:r>
              <w:rPr>
                <w:rFonts w:ascii="Arial" w:cs="Arial" w:eastAsia="Arial" w:hAnsi="Arial"/>
                <w:sz w:val="23"/>
                <w:szCs w:val="23"/>
                <w:color w:val="auto"/>
                <w:vertAlign w:val="superscript"/>
              </w:rPr>
              <w:t>(f)</w:t>
            </w:r>
          </w:p>
        </w:tc>
        <w:tc>
          <w:tcPr>
            <w:tcW w:w="10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(h)</w:t>
            </w:r>
          </w:p>
        </w:tc>
      </w:tr>
      <w:tr>
        <w:trPr>
          <w:trHeight w:val="230"/>
        </w:trPr>
        <w:tc>
          <w:tcPr>
            <w:tcW w:w="40" w:type="dxa"/>
            <w:vAlign w:val="bottom"/>
          </w:tcPr>
          <w:p>
            <w:pPr>
              <w:spacing w:after="0"/>
              <w:rPr>
                <w:sz w:val="19"/>
                <w:szCs w:val="19"/>
                <w:color w:val="auto"/>
              </w:rPr>
            </w:pPr>
          </w:p>
        </w:tc>
        <w:tc>
          <w:tcPr>
            <w:tcW w:w="1700" w:type="dxa"/>
            <w:vAlign w:val="bottom"/>
          </w:tcPr>
          <w:p>
            <w:pPr>
              <w:spacing w:after="0" w:line="230" w:lineRule="exact"/>
              <w:rPr>
                <w:sz w:val="20"/>
                <w:szCs w:val="20"/>
                <w:color w:val="auto"/>
              </w:rPr>
            </w:pPr>
            <w:r>
              <w:rPr>
                <w:rFonts w:ascii="Arial" w:cs="Arial" w:eastAsia="Arial" w:hAnsi="Arial"/>
                <w:sz w:val="18"/>
                <w:szCs w:val="18"/>
                <w:color w:val="auto"/>
              </w:rPr>
              <w:t>ARCALYST</w:t>
            </w:r>
            <w:r>
              <w:rPr>
                <w:rFonts w:ascii="Arial" w:cs="Arial" w:eastAsia="Arial" w:hAnsi="Arial"/>
                <w:sz w:val="23"/>
                <w:szCs w:val="23"/>
                <w:color w:val="auto"/>
                <w:vertAlign w:val="superscript"/>
              </w:rPr>
              <w:t>(g)</w:t>
            </w:r>
          </w:p>
        </w:tc>
        <w:tc>
          <w:tcPr>
            <w:tcW w:w="10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74 %</w:t>
            </w:r>
          </w:p>
        </w:tc>
      </w:tr>
      <w:tr>
        <w:trPr>
          <w:trHeight w:val="230"/>
        </w:trPr>
        <w:tc>
          <w:tcPr>
            <w:tcW w:w="40" w:type="dxa"/>
            <w:vAlign w:val="bottom"/>
          </w:tcPr>
          <w:p>
            <w:pPr>
              <w:spacing w:after="0"/>
              <w:rPr>
                <w:sz w:val="19"/>
                <w:szCs w:val="19"/>
                <w:color w:val="auto"/>
              </w:rPr>
            </w:pPr>
          </w:p>
        </w:tc>
        <w:tc>
          <w:tcPr>
            <w:tcW w:w="170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ZALTRAP</w:t>
            </w:r>
            <w:r>
              <w:rPr>
                <w:rFonts w:ascii="Arial" w:cs="Arial" w:eastAsia="Arial" w:hAnsi="Arial"/>
                <w:sz w:val="23"/>
                <w:szCs w:val="23"/>
                <w:color w:val="auto"/>
                <w:vertAlign w:val="superscript"/>
              </w:rPr>
              <w:t>(b)</w:t>
            </w:r>
          </w:p>
        </w:tc>
        <w:tc>
          <w:tcPr>
            <w:tcW w:w="10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r>
    </w:tbl>
    <w:p>
      <w:pPr>
        <w:spacing w:after="0" w:line="98" w:lineRule="exact"/>
        <w:rPr>
          <w:sz w:val="20"/>
          <w:szCs w:val="20"/>
          <w:color w:val="auto"/>
        </w:rPr>
      </w:pPr>
    </w:p>
    <w:p>
      <w:pPr>
        <w:ind w:left="260" w:right="140" w:firstLine="2"/>
        <w:spacing w:after="0" w:line="226" w:lineRule="auto"/>
        <w:tabs>
          <w:tab w:leader="none" w:pos="430" w:val="left"/>
        </w:tabs>
        <w:numPr>
          <w:ilvl w:val="0"/>
          <w:numId w:val="17"/>
        </w:numPr>
        <w:rPr>
          <w:rFonts w:ascii="Arial" w:cs="Arial" w:eastAsia="Arial" w:hAnsi="Arial"/>
          <w:sz w:val="20"/>
          <w:szCs w:val="20"/>
          <w:color w:val="auto"/>
          <w:vertAlign w:val="superscript"/>
        </w:rPr>
      </w:pPr>
      <w:r>
        <w:rPr>
          <w:rFonts w:ascii="Arial" w:cs="Arial" w:eastAsia="Arial" w:hAnsi="Arial"/>
          <w:sz w:val="14"/>
          <w:szCs w:val="14"/>
          <w:color w:val="auto"/>
        </w:rPr>
        <w:t>Regeneron records net product sales of EYLEA in the United States. Bayer records net product sales of EYLEA outside the United States. The Company records its share of profits/losses in connection with sales of EYLEA outside the United States.</w:t>
      </w:r>
    </w:p>
    <w:p>
      <w:pPr>
        <w:spacing w:after="0" w:line="9" w:lineRule="exact"/>
        <w:rPr>
          <w:rFonts w:ascii="Arial" w:cs="Arial" w:eastAsia="Arial" w:hAnsi="Arial"/>
          <w:sz w:val="20"/>
          <w:szCs w:val="20"/>
          <w:color w:val="auto"/>
          <w:vertAlign w:val="superscript"/>
        </w:rPr>
      </w:pPr>
    </w:p>
    <w:p>
      <w:pPr>
        <w:ind w:left="260" w:right="380" w:firstLine="2"/>
        <w:spacing w:after="0" w:line="213" w:lineRule="auto"/>
        <w:tabs>
          <w:tab w:leader="none" w:pos="437" w:val="left"/>
        </w:tabs>
        <w:numPr>
          <w:ilvl w:val="0"/>
          <w:numId w:val="17"/>
        </w:numPr>
        <w:rPr>
          <w:rFonts w:ascii="Arial" w:cs="Arial" w:eastAsia="Arial" w:hAnsi="Arial"/>
          <w:sz w:val="21"/>
          <w:szCs w:val="21"/>
          <w:color w:val="auto"/>
          <w:vertAlign w:val="superscript"/>
        </w:rPr>
      </w:pPr>
      <w:r>
        <w:rPr>
          <w:rFonts w:ascii="Arial" w:cs="Arial" w:eastAsia="Arial" w:hAnsi="Arial"/>
          <w:sz w:val="15"/>
          <w:szCs w:val="15"/>
          <w:color w:val="auto"/>
        </w:rPr>
        <w:t>Sanofi records global net product sales of Dupixent, Kevzara, and ZALTRAP. The Company records its share of profits/losses in connection with global sales of Dupixent and Kevzara, and Sanofi pays the Company a percentage of net sales of ZALTRAP.</w:t>
      </w:r>
    </w:p>
    <w:p>
      <w:pPr>
        <w:spacing w:after="0" w:line="10" w:lineRule="exact"/>
        <w:rPr>
          <w:rFonts w:ascii="Arial" w:cs="Arial" w:eastAsia="Arial" w:hAnsi="Arial"/>
          <w:sz w:val="21"/>
          <w:szCs w:val="21"/>
          <w:color w:val="auto"/>
          <w:vertAlign w:val="superscript"/>
        </w:rPr>
      </w:pPr>
    </w:p>
    <w:p>
      <w:pPr>
        <w:ind w:left="260" w:right="320" w:firstLine="2"/>
        <w:spacing w:after="0" w:line="213" w:lineRule="auto"/>
        <w:tabs>
          <w:tab w:leader="none" w:pos="430" w:val="left"/>
        </w:tabs>
        <w:numPr>
          <w:ilvl w:val="0"/>
          <w:numId w:val="17"/>
        </w:numPr>
        <w:rPr>
          <w:rFonts w:ascii="Arial" w:cs="Arial" w:eastAsia="Arial" w:hAnsi="Arial"/>
          <w:sz w:val="21"/>
          <w:szCs w:val="21"/>
          <w:color w:val="auto"/>
          <w:vertAlign w:val="superscript"/>
        </w:rPr>
      </w:pPr>
      <w:r>
        <w:rPr>
          <w:rFonts w:ascii="Arial" w:cs="Arial" w:eastAsia="Arial" w:hAnsi="Arial"/>
          <w:sz w:val="15"/>
          <w:szCs w:val="15"/>
          <w:color w:val="auto"/>
        </w:rPr>
        <w:t>Regeneron records net product sales of Libtayo in the United States and Sanofi records net product sales of Libtayo outside the United States. The parties equally share profits/losses in connection with global sales of Libtayo.</w:t>
      </w:r>
    </w:p>
    <w:p>
      <w:pPr>
        <w:spacing w:after="0" w:line="10" w:lineRule="exact"/>
        <w:rPr>
          <w:rFonts w:ascii="Arial" w:cs="Arial" w:eastAsia="Arial" w:hAnsi="Arial"/>
          <w:sz w:val="21"/>
          <w:szCs w:val="21"/>
          <w:color w:val="auto"/>
          <w:vertAlign w:val="superscript"/>
        </w:rPr>
      </w:pPr>
    </w:p>
    <w:p>
      <w:pPr>
        <w:ind w:left="260" w:right="340" w:firstLine="2"/>
        <w:spacing w:after="0" w:line="217" w:lineRule="auto"/>
        <w:tabs>
          <w:tab w:leader="none" w:pos="437" w:val="left"/>
        </w:tabs>
        <w:numPr>
          <w:ilvl w:val="0"/>
          <w:numId w:val="17"/>
        </w:numPr>
        <w:rPr>
          <w:rFonts w:ascii="Arial" w:cs="Arial" w:eastAsia="Arial" w:hAnsi="Arial"/>
          <w:sz w:val="21"/>
          <w:szCs w:val="21"/>
          <w:color w:val="auto"/>
          <w:vertAlign w:val="superscript"/>
        </w:rPr>
      </w:pPr>
      <w:r>
        <w:rPr>
          <w:rFonts w:ascii="Arial" w:cs="Arial" w:eastAsia="Arial" w:hAnsi="Arial"/>
          <w:sz w:val="15"/>
          <w:szCs w:val="15"/>
          <w:color w:val="auto"/>
        </w:rPr>
        <w:t>Effective April 1, 2020, Regeneron records net product sales of Praluent in the United States. Also effective April 1, 2020, Sanofi records net product sales of Praluent outside the United States and pays the Company a royalty on such sales. Previously, Sanofi recorded global net product sales of Praluent and the Company recorded its share of profits/losses in connection with such sales.</w:t>
      </w:r>
    </w:p>
    <w:p>
      <w:pPr>
        <w:spacing w:after="0" w:line="9" w:lineRule="exact"/>
        <w:rPr>
          <w:rFonts w:ascii="Arial" w:cs="Arial" w:eastAsia="Arial" w:hAnsi="Arial"/>
          <w:sz w:val="21"/>
          <w:szCs w:val="21"/>
          <w:color w:val="auto"/>
          <w:vertAlign w:val="superscript"/>
        </w:rPr>
      </w:pPr>
    </w:p>
    <w:p>
      <w:pPr>
        <w:ind w:left="260" w:right="200" w:firstLine="2"/>
        <w:spacing w:after="0" w:line="230" w:lineRule="auto"/>
        <w:tabs>
          <w:tab w:leader="none" w:pos="430" w:val="left"/>
        </w:tabs>
        <w:numPr>
          <w:ilvl w:val="0"/>
          <w:numId w:val="17"/>
        </w:numPr>
        <w:rPr>
          <w:rFonts w:ascii="Arial" w:cs="Arial" w:eastAsia="Arial" w:hAnsi="Arial"/>
          <w:sz w:val="20"/>
          <w:szCs w:val="20"/>
          <w:color w:val="auto"/>
          <w:vertAlign w:val="superscript"/>
        </w:rPr>
      </w:pPr>
      <w:r>
        <w:rPr>
          <w:rFonts w:ascii="Arial" w:cs="Arial" w:eastAsia="Arial" w:hAnsi="Arial"/>
          <w:sz w:val="14"/>
          <w:szCs w:val="14"/>
          <w:color w:val="auto"/>
        </w:rPr>
        <w:t>Regeneron records net product sales of REGEN-COV in connection with its agreements with the U.S. government. Roche records net product sales of the antibody cocktail outside the United States and the parties share gross profits from global sales based on a pre-specified formula, depending on the amount of manufactured product supplied by each party to the market.</w:t>
      </w:r>
    </w:p>
    <w:p>
      <w:pPr>
        <w:spacing w:after="0" w:line="1" w:lineRule="exact"/>
        <w:rPr>
          <w:rFonts w:ascii="Arial" w:cs="Arial" w:eastAsia="Arial" w:hAnsi="Arial"/>
          <w:sz w:val="20"/>
          <w:szCs w:val="20"/>
          <w:color w:val="auto"/>
          <w:vertAlign w:val="superscript"/>
        </w:rPr>
      </w:pPr>
    </w:p>
    <w:p>
      <w:pPr>
        <w:ind w:left="420" w:hanging="158"/>
        <w:spacing w:after="0" w:line="196" w:lineRule="auto"/>
        <w:tabs>
          <w:tab w:leader="none" w:pos="420" w:val="left"/>
        </w:tabs>
        <w:numPr>
          <w:ilvl w:val="0"/>
          <w:numId w:val="17"/>
        </w:numPr>
        <w:rPr>
          <w:rFonts w:ascii="Arial" w:cs="Arial" w:eastAsia="Arial" w:hAnsi="Arial"/>
          <w:sz w:val="23"/>
          <w:szCs w:val="23"/>
          <w:color w:val="auto"/>
          <w:vertAlign w:val="superscript"/>
        </w:rPr>
      </w:pPr>
      <w:r>
        <w:rPr>
          <w:rFonts w:ascii="Arial" w:cs="Arial" w:eastAsia="Arial" w:hAnsi="Arial"/>
          <w:sz w:val="16"/>
          <w:szCs w:val="16"/>
          <w:color w:val="auto"/>
        </w:rPr>
        <w:t>Regeneron records net product sales of Evkeeza in the United States.</w:t>
      </w:r>
    </w:p>
    <w:p>
      <w:pPr>
        <w:spacing w:after="0" w:line="23" w:lineRule="exact"/>
        <w:rPr>
          <w:rFonts w:ascii="Arial" w:cs="Arial" w:eastAsia="Arial" w:hAnsi="Arial"/>
          <w:sz w:val="23"/>
          <w:szCs w:val="23"/>
          <w:color w:val="auto"/>
          <w:vertAlign w:val="superscript"/>
        </w:rPr>
      </w:pPr>
    </w:p>
    <w:p>
      <w:pPr>
        <w:ind w:left="260" w:right="140" w:firstLine="2"/>
        <w:spacing w:after="0" w:line="205" w:lineRule="auto"/>
        <w:tabs>
          <w:tab w:leader="none" w:pos="437" w:val="left"/>
        </w:tabs>
        <w:numPr>
          <w:ilvl w:val="0"/>
          <w:numId w:val="17"/>
        </w:numPr>
        <w:rPr>
          <w:rFonts w:ascii="Arial" w:cs="Arial" w:eastAsia="Arial" w:hAnsi="Arial"/>
          <w:sz w:val="21"/>
          <w:szCs w:val="21"/>
          <w:color w:val="auto"/>
          <w:vertAlign w:val="superscript"/>
        </w:rPr>
      </w:pPr>
      <w:r>
        <w:rPr>
          <w:rFonts w:ascii="Arial" w:cs="Arial" w:eastAsia="Arial" w:hAnsi="Arial"/>
          <w:sz w:val="15"/>
          <w:szCs w:val="15"/>
          <w:color w:val="auto"/>
        </w:rPr>
        <w:t>Effective April 1, 2021, Kiniksa records net product sales of ARCALYST in the United States and pays the Company a share of ARCALYST profits, if any. Prior to April 1, 2021, Regeneron recorded net product sales of ARCALYST in the United States.</w:t>
      </w:r>
    </w:p>
    <w:p>
      <w:pPr>
        <w:ind w:left="440" w:hanging="178"/>
        <w:spacing w:after="0" w:line="228" w:lineRule="auto"/>
        <w:tabs>
          <w:tab w:leader="none" w:pos="440" w:val="left"/>
        </w:tabs>
        <w:numPr>
          <w:ilvl w:val="0"/>
          <w:numId w:val="17"/>
        </w:numPr>
        <w:rPr>
          <w:rFonts w:ascii="Arial" w:cs="Arial" w:eastAsia="Arial" w:hAnsi="Arial"/>
          <w:sz w:val="21"/>
          <w:szCs w:val="21"/>
          <w:color w:val="auto"/>
          <w:vertAlign w:val="superscript"/>
        </w:rPr>
      </w:pPr>
      <w:r>
        <w:rPr>
          <w:rFonts w:ascii="Arial" w:cs="Arial" w:eastAsia="Arial" w:hAnsi="Arial"/>
          <w:sz w:val="15"/>
          <w:szCs w:val="15"/>
          <w:color w:val="auto"/>
        </w:rPr>
        <w:t>Percentage not meaningful</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sectPr>
      <w:pgSz w:w="11900" w:h="16838" w:orient="portrait"/>
      <w:cols w:equalWidth="0" w:num="1">
        <w:col w:w="11220"/>
      </w:cols>
      <w:pgMar w:left="320" w:top="89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lvl w:ilvl="1">
      <w:lvlJc w:val="left"/>
      <w:lvlText w:val="•"/>
      <w:numFmt w:val="bullet"/>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2021-08-05T06:10:14Z</dcterms:created>
  <dcterms:modified xsi:type="dcterms:W3CDTF">2021-08-05T06:10:14Z</dcterms:modified>
</cp:coreProperties>
</file>