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05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055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8"/>
                <w:szCs w:val="18"/>
                <w:color w:val="0000FF"/>
              </w:rPr>
              <w:t>SVP Strategy Investor Relation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03/17/2015</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7"/>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80" w:type="dxa"/>
            <w:vAlign w:val="bottom"/>
            <w:gridSpan w:val="5"/>
          </w:tcPr>
          <w:p>
            <w:pPr>
              <w:jc w:val="center"/>
              <w:ind w:left="522"/>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80" w:type="dxa"/>
            <w:vAlign w:val="bottom"/>
            <w:gridSpan w:val="5"/>
          </w:tcPr>
          <w:p>
            <w:pPr>
              <w:jc w:val="center"/>
              <w:ind w:left="522"/>
              <w:spacing w:after="0"/>
              <w:rPr>
                <w:sz w:val="20"/>
                <w:szCs w:val="20"/>
                <w:color w:val="auto"/>
              </w:rPr>
            </w:pPr>
            <w:r>
              <w:rPr>
                <w:rFonts w:ascii="Arial" w:cs="Arial" w:eastAsia="Arial" w:hAnsi="Arial"/>
                <w:sz w:val="18"/>
                <w:szCs w:val="18"/>
                <w:color w:val="0000FF"/>
                <w:w w:val="88"/>
              </w:rPr>
              <w:t>03/17/2015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81"/>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1"/>
              <w:spacing w:after="0"/>
              <w:rPr>
                <w:sz w:val="20"/>
                <w:szCs w:val="20"/>
                <w:color w:val="auto"/>
              </w:rPr>
            </w:pPr>
            <w:r>
              <w:rPr>
                <w:rFonts w:ascii="Arial" w:cs="Arial" w:eastAsia="Arial" w:hAnsi="Arial"/>
                <w:sz w:val="18"/>
                <w:szCs w:val="18"/>
                <w:color w:val="0000FF"/>
                <w:w w:val="88"/>
              </w:rPr>
              <w:t>3,898</w:t>
            </w:r>
          </w:p>
        </w:tc>
        <w:tc>
          <w:tcPr>
            <w:tcW w:w="660" w:type="dxa"/>
            <w:vAlign w:val="bottom"/>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Pr>
          <w:p>
            <w:pPr>
              <w:spacing w:after="0"/>
              <w:rPr>
                <w:sz w:val="23"/>
                <w:szCs w:val="23"/>
                <w:color w:val="auto"/>
              </w:rPr>
            </w:pPr>
          </w:p>
        </w:tc>
        <w:tc>
          <w:tcPr>
            <w:tcW w:w="560" w:type="dxa"/>
            <w:vAlign w:val="bottom"/>
            <w:gridSpan w:val="2"/>
          </w:tcPr>
          <w:p>
            <w:pPr>
              <w:jc w:val="cente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22,498</w:t>
            </w:r>
          </w:p>
        </w:tc>
        <w:tc>
          <w:tcPr>
            <w:tcW w:w="280" w:type="dxa"/>
            <w:vAlign w:val="bottom"/>
          </w:tcPr>
          <w:p>
            <w:pPr>
              <w:spacing w:after="0"/>
              <w:rPr>
                <w:sz w:val="23"/>
                <w:szCs w:val="23"/>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41"/>
              <w:spacing w:after="0"/>
              <w:rPr>
                <w:sz w:val="20"/>
                <w:szCs w:val="20"/>
                <w:color w:val="auto"/>
              </w:rPr>
            </w:pPr>
            <w:r>
              <w:rPr>
                <w:rFonts w:ascii="Arial" w:cs="Arial" w:eastAsia="Arial" w:hAnsi="Arial"/>
                <w:sz w:val="18"/>
                <w:szCs w:val="18"/>
                <w:color w:val="0000FF"/>
                <w:w w:val="88"/>
              </w:rPr>
              <w:t>7,500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29,998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393</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457.91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29,605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1"/>
              <w:spacing w:after="0"/>
              <w:rPr>
                <w:sz w:val="20"/>
                <w:szCs w:val="20"/>
                <w:color w:val="auto"/>
              </w:rPr>
            </w:pPr>
            <w:r>
              <w:rPr>
                <w:rFonts w:ascii="Arial" w:cs="Arial" w:eastAsia="Arial" w:hAnsi="Arial"/>
                <w:sz w:val="18"/>
                <w:szCs w:val="18"/>
                <w:color w:val="0000FF"/>
                <w:w w:val="88"/>
              </w:rPr>
              <w:t>3,665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457.91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25,940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400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462.84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25,540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1"/>
              <w:spacing w:after="0"/>
              <w:rPr>
                <w:sz w:val="20"/>
                <w:szCs w:val="20"/>
                <w:color w:val="auto"/>
              </w:rPr>
            </w:pPr>
            <w:r>
              <w:rPr>
                <w:rFonts w:ascii="Arial" w:cs="Arial" w:eastAsia="Arial" w:hAnsi="Arial"/>
                <w:sz w:val="18"/>
                <w:szCs w:val="18"/>
                <w:color w:val="0000FF"/>
                <w:w w:val="88"/>
              </w:rPr>
              <w:t>1,500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463.6</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24,040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500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464.44</w:t>
            </w:r>
            <w:r>
              <w:rPr>
                <w:rFonts w:ascii="Arial" w:cs="Arial" w:eastAsia="Arial" w:hAnsi="Arial"/>
                <w:sz w:val="22"/>
                <w:szCs w:val="22"/>
                <w:color w:val="008000"/>
                <w:w w:val="84"/>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23,540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500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465.42</w:t>
            </w:r>
            <w:r>
              <w:rPr>
                <w:rFonts w:ascii="Arial" w:cs="Arial" w:eastAsia="Arial" w:hAnsi="Arial"/>
                <w:sz w:val="22"/>
                <w:szCs w:val="22"/>
                <w:color w:val="008000"/>
                <w:w w:val="84"/>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23,040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468.92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22,940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469.68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142</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470.97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22,698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471.24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22,598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2"/>
              <w:spacing w:after="0"/>
              <w:rPr>
                <w:sz w:val="20"/>
                <w:szCs w:val="20"/>
                <w:color w:val="auto"/>
              </w:rPr>
            </w:pPr>
            <w:r>
              <w:rPr>
                <w:rFonts w:ascii="Arial" w:cs="Arial" w:eastAsia="Arial" w:hAnsi="Arial"/>
                <w:sz w:val="18"/>
                <w:szCs w:val="18"/>
                <w:color w:val="0000FF"/>
                <w:w w:val="88"/>
              </w:rPr>
              <w:t>03/18/2015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472.14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22,498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407</w:t>
            </w:r>
          </w:p>
        </w:tc>
        <w:tc>
          <w:tcPr>
            <w:tcW w:w="280" w:type="dxa"/>
            <w:vAlign w:val="bottom"/>
          </w:tcPr>
          <w:p>
            <w:pPr>
              <w:spacing w:after="0"/>
              <w:rPr>
                <w:sz w:val="18"/>
                <w:szCs w:val="18"/>
                <w:color w:val="auto"/>
              </w:rPr>
            </w:pPr>
          </w:p>
        </w:tc>
        <w:tc>
          <w:tcPr>
            <w:tcW w:w="700" w:type="dxa"/>
            <w:vAlign w:val="bottom"/>
          </w:tcPr>
          <w:p>
            <w:pPr>
              <w:jc w:val="center"/>
              <w:ind w:right="323"/>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3"/>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12"/>
                <w:szCs w:val="12"/>
                <w:color w:val="auto"/>
              </w:rPr>
            </w:pP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0000FF"/>
                <w:w w:val="87"/>
              </w:rPr>
              <w:t>Common</w:t>
            </w:r>
          </w:p>
        </w:tc>
        <w:tc>
          <w:tcPr>
            <w:tcW w:w="2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3,898</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03/17/2015</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3"/>
          </w:tcPr>
          <w:p>
            <w:pPr>
              <w:jc w:val="center"/>
              <w:ind w:right="46"/>
              <w:spacing w:after="0" w:line="133" w:lineRule="exact"/>
              <w:rPr>
                <w:sz w:val="20"/>
                <w:szCs w:val="20"/>
                <w:color w:val="auto"/>
              </w:rPr>
            </w:pPr>
            <w:r>
              <w:rPr>
                <w:rFonts w:ascii="Arial" w:cs="Arial" w:eastAsia="Arial" w:hAnsi="Arial"/>
                <w:sz w:val="14"/>
                <w:szCs w:val="14"/>
                <w:color w:val="0000FF"/>
              </w:rPr>
              <w:t>M</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320"/>
              <w:spacing w:after="0" w:line="133" w:lineRule="exact"/>
              <w:rPr>
                <w:sz w:val="20"/>
                <w:szCs w:val="20"/>
                <w:color w:val="auto"/>
              </w:rPr>
            </w:pPr>
            <w:r>
              <w:rPr>
                <w:rFonts w:ascii="Arial" w:cs="Arial" w:eastAsia="Arial" w:hAnsi="Arial"/>
                <w:sz w:val="14"/>
                <w:szCs w:val="14"/>
                <w:color w:val="0000FF"/>
              </w:rPr>
              <w:t>3,898</w:t>
            </w:r>
          </w:p>
        </w:tc>
        <w:tc>
          <w:tcPr>
            <w:tcW w:w="780" w:type="dxa"/>
            <w:vAlign w:val="bottom"/>
            <w:vMerge w:val="continue"/>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4"/>
                <w:szCs w:val="14"/>
                <w:color w:val="0000FF"/>
                <w:w w:val="96"/>
              </w:rPr>
              <w:t>03/22/2020</w:t>
            </w: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0000FF"/>
              </w:rPr>
              <w:t>4,166</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03/17/2015</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center"/>
              <w:ind w:right="66"/>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7,500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03/22/2020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20" w:type="dxa"/>
            <w:vAlign w:val="bottom"/>
          </w:tcPr>
          <w:p>
            <w:pPr>
              <w:spacing w:after="0"/>
              <w:rPr>
                <w:sz w:val="17"/>
                <w:szCs w:val="17"/>
                <w:color w:val="auto"/>
              </w:rPr>
            </w:pP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7,500</w:t>
            </w:r>
          </w:p>
        </w:tc>
        <w:tc>
          <w:tcPr>
            <w:tcW w:w="20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jc w:val="right"/>
              <w:spacing w:after="0"/>
              <w:rPr>
                <w:sz w:val="20"/>
                <w:szCs w:val="20"/>
                <w:color w:val="auto"/>
              </w:rPr>
            </w:pPr>
            <w:r>
              <w:rPr>
                <w:rFonts w:ascii="Arial" w:cs="Arial" w:eastAsia="Arial" w:hAnsi="Arial"/>
                <w:sz w:val="14"/>
                <w:szCs w:val="14"/>
                <w:color w:val="0000FF"/>
              </w:rPr>
              <w:t>14,168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Disposition/acquisition made pursuant to a plan intended to comply with Rule 10b5-1(c).</w:t>
      </w:r>
    </w:p>
    <w:p>
      <w:pPr>
        <w:sectPr>
          <w:pgSz w:w="11900" w:h="16838" w:orient="portrait"/>
          <w:cols w:equalWidth="0" w:num="1">
            <w:col w:w="11520"/>
          </w:cols>
          <w:pgMar w:left="240" w:top="226" w:right="139" w:bottom="0" w:gutter="0" w:footer="0" w:header="0"/>
          <w:type w:val="continuous"/>
        </w:sectPr>
      </w:pPr>
    </w:p>
    <w:bookmarkStart w:id="1" w:name="page2"/>
    <w:bookmarkEnd w:id="1"/>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400 shares of Company stock on March 18, 2015 at prices ranging from $462.69 to $462.97. Upon request by the Commission staff, the Company, or a security holder of the Company, the reporting person will provide full information regarding the number of shares sold by the reporting person on March 18, 2015 at each separate price.</w:t>
      </w:r>
    </w:p>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1,500 shares of Company stock on March 18, 2015 at prices ranging from $463.24 to $463.96. Upon request by the Commission staff, the Company, or a security holder of the Company, the reporting person will provide full information regarding the number of shares sold by the reporting person on March 18, 2015 at each separate price.</w:t>
      </w:r>
    </w:p>
    <w:p>
      <w:pPr>
        <w:ind w:right="2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500 shares of Company stock on March 18, 2015 at prices ranging from $464.11 to $464.95. Upon request by the Commission staff, the Company, or a security holder of the Company, the reporting person will provide full information regarding the number of shares sold by the reporting person on March 18, 2015 at each separate price.</w:t>
      </w:r>
    </w:p>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500 shares of Company stock on March 18, 2015 at prices ranging from $465.02 to $465.75. Upon request by the Commission staff, the Company, or a security holder of the Company, the reporting person will provide full information regarding the number of shares sold by the reporting person on March 18, 2015 at each separate price.</w:t>
      </w:r>
    </w:p>
    <w:p>
      <w:pPr>
        <w:ind w:right="100" w:firstLine="9"/>
        <w:spacing w:after="0" w:line="31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tbl>
      <w:tblPr>
        <w:tblLayout w:type="fixed"/>
        <w:tblInd w:w="682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/s/**Michael S. Aberman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03/19/2015</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2019-12-24T06:25:11Z</dcterms:created>
  <dcterms:modified xsi:type="dcterms:W3CDTF">2019-12-24T06:25:11Z</dcterms:modified>
</cp:coreProperties>
</file>