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0"/>
        <w:spacing w:after="0"/>
        <w:rPr>
          <w:sz w:val="20"/>
          <w:szCs w:val="20"/>
          <w:color w:val="auto"/>
        </w:rPr>
      </w:pPr>
      <w:r>
        <w:rPr>
          <w:rFonts w:ascii="Calibri" w:cs="Calibri" w:eastAsia="Calibri" w:hAnsi="Calibri"/>
          <w:sz w:val="11"/>
          <w:szCs w:val="11"/>
          <w:color w:val="003366"/>
        </w:rPr>
        <w:t>TABLE OF CONTENTS</w:t>
      </w: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October 31, 2024</w:t>
      </w:r>
    </w:p>
    <w:p>
      <w:pPr>
        <w:spacing w:after="0" w:line="33" w:lineRule="exact"/>
        <w:rPr>
          <w:sz w:val="24"/>
          <w:szCs w:val="24"/>
          <w:color w:val="auto"/>
        </w:rPr>
      </w:pPr>
    </w:p>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Registration No. 333-          ​</w:t>
      </w:r>
    </w:p>
    <w:p>
      <w:pPr>
        <w:spacing w:after="0" w:line="26"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2540</wp:posOffset>
            </wp:positionV>
            <wp:extent cx="4930775"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30775" cy="1397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36830</wp:posOffset>
            </wp:positionV>
            <wp:extent cx="49307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30775" cy="6985"/>
                    </a:xfrm>
                    <a:prstGeom prst="rect">
                      <a:avLst/>
                    </a:prstGeom>
                    <a:noFill/>
                  </pic:spPr>
                </pic:pic>
              </a:graphicData>
            </a:graphic>
          </wp:anchor>
        </w:drawing>
      </w:r>
    </w:p>
    <w:p>
      <w:pPr>
        <w:spacing w:after="0" w:line="1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ind w:right="19"/>
        <w:spacing w:after="0" w:line="206"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63500</wp:posOffset>
            </wp:positionV>
            <wp:extent cx="9848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4885" cy="698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S-3</w:t>
      </w:r>
    </w:p>
    <w:p>
      <w:pPr>
        <w:ind w:left="3560"/>
        <w:spacing w:after="0" w:line="224" w:lineRule="auto"/>
        <w:rPr>
          <w:sz w:val="20"/>
          <w:szCs w:val="20"/>
          <w:color w:val="auto"/>
        </w:rPr>
      </w:pPr>
      <w:r>
        <w:rPr>
          <w:rFonts w:ascii="Times New Roman" w:cs="Times New Roman" w:eastAsia="Times New Roman" w:hAnsi="Times New Roman"/>
          <w:sz w:val="14"/>
          <w:szCs w:val="14"/>
          <w:b w:val="1"/>
          <w:bCs w:val="1"/>
          <w:color w:val="auto"/>
        </w:rPr>
        <w:t>REGISTRATION STATEMENT</w:t>
      </w:r>
    </w:p>
    <w:p>
      <w:pPr>
        <w:ind w:left="4260"/>
        <w:spacing w:after="0" w:line="209" w:lineRule="auto"/>
        <w:rPr>
          <w:sz w:val="20"/>
          <w:szCs w:val="20"/>
          <w:color w:val="auto"/>
        </w:rPr>
      </w:pPr>
      <w:r>
        <w:rPr>
          <w:rFonts w:ascii="Times New Roman" w:cs="Times New Roman" w:eastAsia="Times New Roman" w:hAnsi="Times New Roman"/>
          <w:sz w:val="14"/>
          <w:szCs w:val="14"/>
          <w:b w:val="1"/>
          <w:bCs w:val="1"/>
          <w:color w:val="auto"/>
        </w:rPr>
        <w:t>UNDER</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57150</wp:posOffset>
            </wp:positionV>
            <wp:extent cx="9848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4885" cy="698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Regeneron Pharmaceuticals, Inc.</w:t>
      </w:r>
    </w:p>
    <w:p>
      <w:pPr>
        <w:jc w:val="center"/>
        <w:ind w:right="-2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193" w:right="1440" w:bottom="1440" w:gutter="0" w:footer="0" w:header="0"/>
        </w:sectPr>
      </w:pPr>
    </w:p>
    <w:p>
      <w:pPr>
        <w:spacing w:after="0" w:line="62"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2"/>
          <w:szCs w:val="12"/>
          <w:b w:val="1"/>
          <w:bCs w:val="1"/>
          <w:color w:val="auto"/>
        </w:rPr>
        <w:t>New York</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1"/>
          <w:szCs w:val="11"/>
          <w:color w:val="auto"/>
        </w:rPr>
        <w:t>​ ​</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2"/>
          <w:szCs w:val="12"/>
          <w:b w:val="1"/>
          <w:bCs w:val="1"/>
          <w:color w:val="auto"/>
        </w:rPr>
        <w:t>13-3444607</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8" w:lineRule="exact"/>
        <w:rPr>
          <w:sz w:val="24"/>
          <w:szCs w:val="24"/>
          <w:color w:val="auto"/>
        </w:rPr>
      </w:pPr>
    </w:p>
    <w:p>
      <w:pPr>
        <w:sectPr>
          <w:pgSz w:w="11900" w:h="16838" w:orient="portrait"/>
          <w:cols w:equalWidth="0" w:num="5">
            <w:col w:w="1520" w:space="720"/>
            <w:col w:w="1500" w:space="720"/>
            <w:col w:w="980" w:space="720"/>
            <w:col w:w="1500" w:space="720"/>
            <w:col w:w="639"/>
          </w:cols>
          <w:pgMar w:left="1440" w:top="193" w:right="1440"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1"/>
          <w:szCs w:val="11"/>
          <w:color w:val="auto"/>
        </w:rPr>
        <w:t>(State or Other Jurisdiction of</w:t>
      </w:r>
    </w:p>
    <w:p>
      <w:pPr>
        <w:spacing w:after="0" w:line="1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1"/>
          <w:szCs w:val="11"/>
          <w:color w:val="auto"/>
        </w:rPr>
        <w:t>(I.R.S. Employer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38" w:lineRule="exact"/>
        <w:rPr>
          <w:sz w:val="24"/>
          <w:szCs w:val="24"/>
          <w:color w:val="auto"/>
        </w:rPr>
      </w:pPr>
    </w:p>
    <w:p>
      <w:pPr>
        <w:sectPr>
          <w:pgSz w:w="11900" w:h="16838" w:orient="portrait"/>
          <w:cols w:equalWidth="0" w:num="2">
            <w:col w:w="5300" w:space="720"/>
            <w:col w:w="2999"/>
          </w:cols>
          <w:pgMar w:left="1440" w:top="193" w:right="1440"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777 Old Saw Mill River Road</w:t>
      </w:r>
    </w:p>
    <w:p>
      <w:pPr>
        <w:jc w:val="center"/>
        <w:ind w:right="39"/>
        <w:spacing w:after="0" w:line="224" w:lineRule="auto"/>
        <w:rPr>
          <w:sz w:val="20"/>
          <w:szCs w:val="20"/>
          <w:color w:val="auto"/>
        </w:rPr>
      </w:pPr>
      <w:r>
        <w:rPr>
          <w:rFonts w:ascii="Times New Roman" w:cs="Times New Roman" w:eastAsia="Times New Roman" w:hAnsi="Times New Roman"/>
          <w:sz w:val="14"/>
          <w:szCs w:val="14"/>
          <w:b w:val="1"/>
          <w:bCs w:val="1"/>
          <w:color w:val="auto"/>
        </w:rPr>
        <w:t>Tarrytown, New York 10591-6707</w:t>
      </w:r>
    </w:p>
    <w:p>
      <w:pPr>
        <w:jc w:val="center"/>
        <w:spacing w:after="0" w:line="225" w:lineRule="auto"/>
        <w:rPr>
          <w:sz w:val="20"/>
          <w:szCs w:val="20"/>
          <w:color w:val="auto"/>
        </w:rPr>
      </w:pPr>
      <w:r>
        <w:rPr>
          <w:rFonts w:ascii="Times New Roman" w:cs="Times New Roman" w:eastAsia="Times New Roman" w:hAnsi="Times New Roman"/>
          <w:sz w:val="14"/>
          <w:szCs w:val="14"/>
          <w:b w:val="1"/>
          <w:bCs w:val="1"/>
          <w:color w:val="auto"/>
        </w:rPr>
        <w:t>(914) 847-7000</w:t>
      </w:r>
    </w:p>
    <w:p>
      <w:pPr>
        <w:jc w:val="center"/>
        <w:ind w:right="-20"/>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r>
        <w:rPr>
          <w:rFonts w:ascii="Times New Roman" w:cs="Times New Roman" w:eastAsia="Times New Roman" w:hAnsi="Times New Roman"/>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64135</wp:posOffset>
            </wp:positionV>
            <wp:extent cx="9848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4885" cy="6985"/>
                    </a:xfrm>
                    <a:prstGeom prst="rect">
                      <a:avLst/>
                    </a:prstGeom>
                    <a:noFill/>
                  </pic:spPr>
                </pic:pic>
              </a:graphicData>
            </a:graphic>
          </wp:anchor>
        </w:drawing>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Joseph J. LaRosa, Esq.</w:t>
      </w:r>
    </w:p>
    <w:p>
      <w:pPr>
        <w:jc w:val="center"/>
        <w:ind w:right="39"/>
        <w:spacing w:after="0" w:line="208" w:lineRule="auto"/>
        <w:rPr>
          <w:sz w:val="20"/>
          <w:szCs w:val="20"/>
          <w:color w:val="auto"/>
        </w:rPr>
      </w:pPr>
      <w:r>
        <w:rPr>
          <w:rFonts w:ascii="Times New Roman" w:cs="Times New Roman" w:eastAsia="Times New Roman" w:hAnsi="Times New Roman"/>
          <w:sz w:val="14"/>
          <w:szCs w:val="14"/>
          <w:b w:val="1"/>
          <w:bCs w:val="1"/>
          <w:color w:val="auto"/>
        </w:rPr>
        <w:t>Executive Vice President, General Counsel and Secretary</w:t>
      </w:r>
    </w:p>
    <w:p>
      <w:pPr>
        <w:jc w:val="center"/>
        <w:ind w:right="39"/>
        <w:spacing w:after="0" w:line="225" w:lineRule="auto"/>
        <w:rPr>
          <w:sz w:val="20"/>
          <w:szCs w:val="20"/>
          <w:color w:val="auto"/>
        </w:rPr>
      </w:pPr>
      <w:r>
        <w:rPr>
          <w:rFonts w:ascii="Times New Roman" w:cs="Times New Roman" w:eastAsia="Times New Roman" w:hAnsi="Times New Roman"/>
          <w:sz w:val="14"/>
          <w:szCs w:val="14"/>
          <w:b w:val="1"/>
          <w:bCs w:val="1"/>
          <w:color w:val="auto"/>
        </w:rPr>
        <w:t>Regeneron Pharmaceuticals, Inc.</w:t>
      </w:r>
    </w:p>
    <w:p>
      <w:pPr>
        <w:jc w:val="center"/>
        <w:ind w:right="39"/>
        <w:spacing w:after="0" w:line="209" w:lineRule="auto"/>
        <w:rPr>
          <w:sz w:val="20"/>
          <w:szCs w:val="20"/>
          <w:color w:val="auto"/>
        </w:rPr>
      </w:pPr>
      <w:r>
        <w:rPr>
          <w:rFonts w:ascii="Times New Roman" w:cs="Times New Roman" w:eastAsia="Times New Roman" w:hAnsi="Times New Roman"/>
          <w:sz w:val="14"/>
          <w:szCs w:val="14"/>
          <w:b w:val="1"/>
          <w:bCs w:val="1"/>
          <w:color w:val="auto"/>
        </w:rPr>
        <w:t>777 Old Saw Mill River Road</w:t>
      </w:r>
    </w:p>
    <w:p>
      <w:pPr>
        <w:jc w:val="center"/>
        <w:ind w:right="39"/>
        <w:spacing w:after="0" w:line="208" w:lineRule="auto"/>
        <w:rPr>
          <w:sz w:val="20"/>
          <w:szCs w:val="20"/>
          <w:color w:val="auto"/>
        </w:rPr>
      </w:pPr>
      <w:r>
        <w:rPr>
          <w:rFonts w:ascii="Times New Roman" w:cs="Times New Roman" w:eastAsia="Times New Roman" w:hAnsi="Times New Roman"/>
          <w:sz w:val="14"/>
          <w:szCs w:val="14"/>
          <w:b w:val="1"/>
          <w:bCs w:val="1"/>
          <w:color w:val="auto"/>
        </w:rPr>
        <w:t>Tarrytown, New York 10591-6707</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(914) 847-7000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67310</wp:posOffset>
            </wp:positionV>
            <wp:extent cx="9848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4885" cy="698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With a copy to:</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David J. Goldschmidt, Esq.</w:t>
      </w:r>
    </w:p>
    <w:p>
      <w:pPr>
        <w:jc w:val="center"/>
        <w:ind w:right="39"/>
        <w:spacing w:after="0" w:line="224" w:lineRule="auto"/>
        <w:rPr>
          <w:sz w:val="20"/>
          <w:szCs w:val="20"/>
          <w:color w:val="auto"/>
        </w:rPr>
      </w:pPr>
      <w:r>
        <w:rPr>
          <w:rFonts w:ascii="Times New Roman" w:cs="Times New Roman" w:eastAsia="Times New Roman" w:hAnsi="Times New Roman"/>
          <w:sz w:val="14"/>
          <w:szCs w:val="14"/>
          <w:b w:val="1"/>
          <w:bCs w:val="1"/>
          <w:color w:val="auto"/>
        </w:rPr>
        <w:t>Skadden, Arps, Slate, Meagher &amp; Flom LLP</w:t>
      </w:r>
    </w:p>
    <w:p>
      <w:pPr>
        <w:jc w:val="center"/>
        <w:ind w:right="39"/>
        <w:spacing w:after="0" w:line="209" w:lineRule="auto"/>
        <w:rPr>
          <w:sz w:val="20"/>
          <w:szCs w:val="20"/>
          <w:color w:val="auto"/>
        </w:rPr>
      </w:pPr>
      <w:r>
        <w:rPr>
          <w:rFonts w:ascii="Times New Roman" w:cs="Times New Roman" w:eastAsia="Times New Roman" w:hAnsi="Times New Roman"/>
          <w:sz w:val="14"/>
          <w:szCs w:val="14"/>
          <w:b w:val="1"/>
          <w:bCs w:val="1"/>
          <w:color w:val="auto"/>
        </w:rPr>
        <w:t>One Manhattan West</w:t>
      </w:r>
    </w:p>
    <w:p>
      <w:pPr>
        <w:jc w:val="center"/>
        <w:ind w:right="39"/>
        <w:spacing w:after="0" w:line="209" w:lineRule="auto"/>
        <w:rPr>
          <w:sz w:val="20"/>
          <w:szCs w:val="20"/>
          <w:color w:val="auto"/>
        </w:rPr>
      </w:pPr>
      <w:r>
        <w:rPr>
          <w:rFonts w:ascii="Times New Roman" w:cs="Times New Roman" w:eastAsia="Times New Roman" w:hAnsi="Times New Roman"/>
          <w:sz w:val="14"/>
          <w:szCs w:val="14"/>
          <w:b w:val="1"/>
          <w:bCs w:val="1"/>
          <w:color w:val="auto"/>
        </w:rPr>
        <w:t>New York, New York 10001</w:t>
      </w: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(212) 735-3000</w:t>
      </w:r>
    </w:p>
    <w:p>
      <w:pPr>
        <w:spacing w:after="0" w:line="15" w:lineRule="exact"/>
        <w:rPr>
          <w:sz w:val="24"/>
          <w:szCs w:val="24"/>
          <w:color w:val="auto"/>
        </w:rPr>
      </w:pPr>
    </w:p>
    <w:p>
      <w:pPr>
        <w:ind w:left="620" w:right="1019" w:firstLine="287"/>
        <w:spacing w:after="0" w:line="252" w:lineRule="auto"/>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From time to time after the effective date of this registration statement as determined by the Registrant</w:t>
      </w:r>
    </w:p>
    <w:p>
      <w:pPr>
        <w:spacing w:after="0" w:line="11" w:lineRule="exact"/>
        <w:rPr>
          <w:sz w:val="24"/>
          <w:szCs w:val="24"/>
          <w:color w:val="auto"/>
        </w:rPr>
      </w:pPr>
    </w:p>
    <w:p>
      <w:pPr>
        <w:ind w:left="620" w:right="839" w:firstLine="287"/>
        <w:spacing w:after="0" w:line="169"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620" w:right="639" w:firstLine="287"/>
        <w:spacing w:after="0" w:line="220" w:lineRule="auto"/>
        <w:rPr>
          <w:sz w:val="20"/>
          <w:szCs w:val="20"/>
          <w:color w:val="auto"/>
        </w:rPr>
      </w:pPr>
      <w:r>
        <w:rPr>
          <w:rFonts w:ascii="Times New Roman" w:cs="Times New Roman" w:eastAsia="Times New Roman" w:hAnsi="Times New Roman"/>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w:t>
      </w:r>
    </w:p>
    <w:p>
      <w:pPr>
        <w:spacing w:after="0" w:line="1" w:lineRule="exact"/>
        <w:rPr>
          <w:sz w:val="24"/>
          <w:szCs w:val="24"/>
          <w:color w:val="auto"/>
        </w:rPr>
      </w:pPr>
    </w:p>
    <w:p>
      <w:pPr>
        <w:ind w:left="620"/>
        <w:spacing w:after="0" w:line="161" w:lineRule="exact"/>
        <w:tabs>
          <w:tab w:leader="none" w:pos="1540" w:val="left"/>
        </w:tabs>
        <w:rPr>
          <w:sz w:val="20"/>
          <w:szCs w:val="20"/>
          <w:color w:val="auto"/>
        </w:rPr>
      </w:pPr>
      <w:r>
        <w:rPr>
          <w:rFonts w:ascii="Times New Roman" w:cs="Times New Roman" w:eastAsia="Times New Roman" w:hAnsi="Times New Roman"/>
          <w:sz w:val="14"/>
          <w:szCs w:val="14"/>
          <w:color w:val="auto"/>
        </w:rPr>
        <w:t>following box.</w:t>
      </w:r>
      <w:r>
        <w:rPr>
          <w:sz w:val="20"/>
          <w:szCs w:val="20"/>
          <w:color w:val="auto"/>
        </w:rPr>
        <w:tab/>
      </w:r>
      <w:r>
        <w:rPr>
          <w:rFonts w:ascii="MS PGothic" w:cs="MS PGothic" w:eastAsia="MS PGothic" w:hAnsi="MS PGothic"/>
          <w:sz w:val="14"/>
          <w:szCs w:val="14"/>
          <w:color w:val="auto"/>
        </w:rPr>
        <w:t>☒</w:t>
      </w:r>
    </w:p>
    <w:p>
      <w:pPr>
        <w:spacing w:after="0" w:line="28" w:lineRule="exact"/>
        <w:rPr>
          <w:sz w:val="24"/>
          <w:szCs w:val="24"/>
          <w:color w:val="auto"/>
        </w:rPr>
      </w:pPr>
    </w:p>
    <w:p>
      <w:pPr>
        <w:ind w:left="620" w:right="719" w:firstLine="287"/>
        <w:spacing w:after="0" w:line="158"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620" w:right="659" w:firstLine="287"/>
        <w:spacing w:after="0" w:line="167"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620" w:right="979" w:firstLine="287"/>
        <w:spacing w:after="0" w:line="172"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620" w:right="779" w:firstLine="287"/>
        <w:spacing w:after="0" w:line="167"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620" w:right="839" w:firstLine="287"/>
        <w:spacing w:after="0" w:line="22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w:t>
      </w:r>
    </w:p>
    <w:p>
      <w:pPr>
        <w:spacing w:after="0" w:line="1"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reporting company” and “emerging growth company” in Rule 12b-2 of the Exchange Act.</w:t>
      </w:r>
    </w:p>
    <w:tbl>
      <w:tblPr>
        <w:tblLayout w:type="fixed"/>
        <w:tblInd w:w="1200" w:type="dxa"/>
        <w:tblCellMar>
          <w:top w:w="0" w:type="dxa"/>
          <w:left w:w="0" w:type="dxa"/>
          <w:bottom w:w="0" w:type="dxa"/>
          <w:right w:w="0" w:type="dxa"/>
        </w:tblCellMar>
      </w:tblPr>
      <w:tr>
        <w:trPr>
          <w:trHeight w:val="165"/>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04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26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 ​ Accelerated filer</w:t>
            </w:r>
          </w:p>
        </w:tc>
        <w:tc>
          <w:tcPr>
            <w:tcW w:w="8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140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920" w:type="dxa"/>
            <w:vAlign w:val="bottom"/>
          </w:tcPr>
          <w:p>
            <w:pPr>
              <w:ind w:left="780"/>
              <w:spacing w:after="0" w:line="140" w:lineRule="exact"/>
              <w:rPr>
                <w:sz w:val="20"/>
                <w:szCs w:val="20"/>
                <w:color w:val="auto"/>
              </w:rPr>
            </w:pPr>
            <w:r>
              <w:rPr>
                <w:rFonts w:ascii="Times New Roman" w:cs="Times New Roman" w:eastAsia="Times New Roman" w:hAnsi="Times New Roman"/>
                <w:sz w:val="14"/>
                <w:szCs w:val="14"/>
                <w:color w:val="auto"/>
              </w:rPr>
              <w:t>​ ​</w:t>
            </w:r>
          </w:p>
        </w:tc>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600"/>
              <w:spacing w:after="0" w:line="140"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1400" w:type="dxa"/>
            <w:vAlign w:val="bottom"/>
          </w:tcPr>
          <w:p>
            <w:pPr>
              <w:spacing w:after="0" w:line="22" w:lineRule="exact"/>
              <w:rPr>
                <w:sz w:val="20"/>
                <w:szCs w:val="20"/>
                <w:color w:val="auto"/>
              </w:rPr>
            </w:pPr>
            <w:r>
              <w:rPr>
                <w:rFonts w:ascii="Times New Roman" w:cs="Times New Roman" w:eastAsia="Times New Roman" w:hAnsi="Times New Roman"/>
                <w:sz w:val="2"/>
                <w:szCs w:val="2"/>
                <w:color w:val="auto"/>
              </w:rPr>
              <w:t>Non-accelerated filer</w:t>
            </w:r>
          </w:p>
        </w:tc>
        <w:tc>
          <w:tcPr>
            <w:tcW w:w="1040" w:type="dxa"/>
            <w:vAlign w:val="bottom"/>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9"/>
                <w:szCs w:val="19"/>
                <w:color w:val="auto"/>
              </w:rPr>
            </w:pPr>
          </w:p>
        </w:tc>
        <w:tc>
          <w:tcPr>
            <w:tcW w:w="26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 ​ Emerging growth company</w:t>
            </w:r>
          </w:p>
        </w:tc>
        <w:tc>
          <w:tcPr>
            <w:tcW w:w="8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99" w:lineRule="exact"/>
        <w:rPr>
          <w:sz w:val="24"/>
          <w:szCs w:val="24"/>
          <w:color w:val="auto"/>
        </w:rPr>
      </w:pPr>
    </w:p>
    <w:p>
      <w:pPr>
        <w:ind w:left="620" w:right="759" w:firstLine="287"/>
        <w:spacing w:after="0" w:line="16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29210</wp:posOffset>
            </wp:positionV>
            <wp:extent cx="49307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30775" cy="6985"/>
                    </a:xfrm>
                    <a:prstGeom prst="rect">
                      <a:avLst/>
                    </a:prstGeom>
                    <a:noFill/>
                  </pic:spPr>
                </pic:pic>
              </a:graphicData>
            </a:graphic>
          </wp:anchor>
        </w:drawing>
      </w:r>
    </w:p>
    <w:p>
      <w:pPr>
        <w:spacing w:after="0" w:line="31"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2540</wp:posOffset>
            </wp:positionV>
            <wp:extent cx="4930775"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0775" cy="1397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type w:val="continuous"/>
        </w:sectPr>
      </w:pPr>
    </w:p>
    <w:bookmarkStart w:id="1" w:name="page2"/>
    <w:bookmarkEnd w:id="1"/>
    <w:p>
      <w:pPr>
        <w:ind w:left="240"/>
        <w:spacing w:after="0"/>
        <w:rPr>
          <w:sz w:val="20"/>
          <w:szCs w:val="20"/>
          <w:color w:val="auto"/>
        </w:rPr>
      </w:pPr>
      <w:r>
        <w:rPr>
          <w:rFonts w:ascii="Calibri" w:cs="Calibri" w:eastAsia="Calibri" w:hAnsi="Calibri"/>
          <w:sz w:val="11"/>
          <w:szCs w:val="11"/>
          <w:color w:val="003366"/>
        </w:rPr>
        <w:t>TABLE OF CONTENTS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Regeneron Pharmaceuticals, Inc.</w:t>
      </w:r>
    </w:p>
    <w:p>
      <w:pPr>
        <w:spacing w:after="0" w:line="17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PREFERRED STOCK</w:t>
      </w:r>
    </w:p>
    <w:p>
      <w:pPr>
        <w:ind w:left="3600"/>
        <w:spacing w:after="0" w:line="236" w:lineRule="auto"/>
        <w:rPr>
          <w:sz w:val="20"/>
          <w:szCs w:val="20"/>
          <w:color w:val="auto"/>
        </w:rPr>
      </w:pPr>
      <w:r>
        <w:rPr>
          <w:rFonts w:ascii="Times New Roman" w:cs="Times New Roman" w:eastAsia="Times New Roman" w:hAnsi="Times New Roman"/>
          <w:sz w:val="20"/>
          <w:szCs w:val="20"/>
          <w:b w:val="1"/>
          <w:bCs w:val="1"/>
          <w:color w:val="auto"/>
        </w:rPr>
        <w:t>DEBT SECURITIES</w:t>
      </w:r>
    </w:p>
    <w:p>
      <w:pPr>
        <w:ind w:left="3940"/>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9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We may from time to time offer to sell together or separately in one or more offerings:</w:t>
      </w:r>
    </w:p>
    <w:p>
      <w:pPr>
        <w:spacing w:after="0" w:line="97" w:lineRule="exact"/>
        <w:rPr>
          <w:sz w:val="20"/>
          <w:szCs w:val="20"/>
          <w:color w:val="auto"/>
        </w:rPr>
      </w:pPr>
    </w:p>
    <w:p>
      <w:pPr>
        <w:ind w:left="1660" w:hanging="143"/>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w:t>
      </w:r>
    </w:p>
    <w:p>
      <w:pPr>
        <w:spacing w:after="0" w:line="97" w:lineRule="exact"/>
        <w:rPr>
          <w:rFonts w:ascii="Times New Roman" w:cs="Times New Roman" w:eastAsia="Times New Roman" w:hAnsi="Times New Roman"/>
          <w:sz w:val="14"/>
          <w:szCs w:val="14"/>
          <w:color w:val="auto"/>
        </w:rPr>
      </w:pPr>
    </w:p>
    <w:p>
      <w:pPr>
        <w:ind w:left="1660" w:right="1399" w:hanging="143"/>
        <w:spacing w:after="0" w:line="294"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which may be senior, senior subordinated, subordinated, or junior subordinated and convertible, non-convertible, exchangeable, or non-exchangeable; and</w:t>
      </w:r>
    </w:p>
    <w:p>
      <w:pPr>
        <w:spacing w:after="0" w:line="3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our Common Stock, preferred stock, or debt securities.</w:t>
      </w:r>
    </w:p>
    <w:p>
      <w:pPr>
        <w:spacing w:after="0" w:line="130" w:lineRule="exact"/>
        <w:rPr>
          <w:sz w:val="20"/>
          <w:szCs w:val="20"/>
          <w:color w:val="auto"/>
        </w:rPr>
      </w:pPr>
    </w:p>
    <w:p>
      <w:pPr>
        <w:jc w:val="both"/>
        <w:ind w:left="1240" w:right="1279" w:firstLine="287"/>
        <w:spacing w:after="0" w:line="269" w:lineRule="auto"/>
        <w:rPr>
          <w:sz w:val="20"/>
          <w:szCs w:val="20"/>
          <w:color w:val="auto"/>
        </w:rPr>
      </w:pPr>
      <w:r>
        <w:rPr>
          <w:rFonts w:ascii="Times New Roman" w:cs="Times New Roman" w:eastAsia="Times New Roman" w:hAnsi="Times New Roman"/>
          <w:sz w:val="14"/>
          <w:szCs w:val="14"/>
          <w:color w:val="auto"/>
        </w:rPr>
        <w:t>This prospectus describes some of the general terms that may apply to these securities. We will provide the specific prices and terms of these securities in one or more supplements to this prospectus at the time of the offering. You should read this prospectus and the accompanying prospectus supplement carefully before you make your investment decision.</w:t>
      </w:r>
    </w:p>
    <w:p>
      <w:pPr>
        <w:spacing w:after="0" w:line="86" w:lineRule="exact"/>
        <w:rPr>
          <w:sz w:val="20"/>
          <w:szCs w:val="20"/>
          <w:color w:val="auto"/>
        </w:rPr>
      </w:pPr>
    </w:p>
    <w:p>
      <w:pPr>
        <w:ind w:left="1240" w:right="1259" w:firstLine="287"/>
        <w:spacing w:after="0" w:line="269" w:lineRule="auto"/>
        <w:rPr>
          <w:sz w:val="20"/>
          <w:szCs w:val="20"/>
          <w:color w:val="auto"/>
        </w:rPr>
      </w:pPr>
      <w:r>
        <w:rPr>
          <w:rFonts w:ascii="Times New Roman" w:cs="Times New Roman" w:eastAsia="Times New Roman" w:hAnsi="Times New Roman"/>
          <w:sz w:val="14"/>
          <w:szCs w:val="14"/>
          <w:color w:val="auto"/>
        </w:rPr>
        <w:t>We may offer and sell these securities through underwriters, dealers, or agents or directly to purchasers, on a continuous or delayed basis. The prospectus supplement for each offering will describe in detail the plan of distribution for that offering and will set forth the names of any underwriters, dealers, or agents involved in the offering and any applicable fees, commissions, or discount arrangements.</w:t>
      </w:r>
    </w:p>
    <w:p>
      <w:pPr>
        <w:spacing w:after="0" w:line="75" w:lineRule="exact"/>
        <w:rPr>
          <w:sz w:val="20"/>
          <w:szCs w:val="20"/>
          <w:color w:val="auto"/>
        </w:rPr>
      </w:pPr>
    </w:p>
    <w:p>
      <w:pPr>
        <w:ind w:left="1240" w:right="1299" w:firstLine="287"/>
        <w:spacing w:after="0" w:line="294" w:lineRule="auto"/>
        <w:rPr>
          <w:sz w:val="20"/>
          <w:szCs w:val="20"/>
          <w:color w:val="auto"/>
        </w:rPr>
      </w:pPr>
      <w:r>
        <w:rPr>
          <w:rFonts w:ascii="Times New Roman" w:cs="Times New Roman" w:eastAsia="Times New Roman" w:hAnsi="Times New Roman"/>
          <w:sz w:val="14"/>
          <w:szCs w:val="14"/>
          <w:color w:val="auto"/>
        </w:rPr>
        <w:t>This prospectus may not be used to sell securities unless accompanied by a prospectus supplement or a free writing prospectus.</w:t>
      </w:r>
    </w:p>
    <w:p>
      <w:pPr>
        <w:spacing w:after="0" w:line="69" w:lineRule="exact"/>
        <w:rPr>
          <w:sz w:val="20"/>
          <w:szCs w:val="20"/>
          <w:color w:val="auto"/>
        </w:rPr>
      </w:pPr>
    </w:p>
    <w:p>
      <w:pPr>
        <w:ind w:left="1240" w:right="1359" w:firstLine="287"/>
        <w:spacing w:after="0" w:line="287"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trading symbol “REGN.” Each prospectus supplement will indicate if the securities offered thereby will be listed on any securities exchange.</w:t>
      </w:r>
    </w:p>
    <w:p>
      <w:pPr>
        <w:spacing w:after="0" w:line="248" w:lineRule="exact"/>
        <w:rPr>
          <w:sz w:val="20"/>
          <w:szCs w:val="20"/>
          <w:color w:val="auto"/>
        </w:rPr>
      </w:pPr>
    </w:p>
    <w:p>
      <w:pPr>
        <w:ind w:left="1240" w:right="1499" w:firstLine="287"/>
        <w:spacing w:after="0" w:line="297" w:lineRule="auto"/>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a high degree of risk. See “Risk Factors” on page </w:t>
      </w:r>
      <w:r>
        <w:rPr>
          <w:rFonts w:ascii="Times New Roman" w:cs="Times New Roman" w:eastAsia="Times New Roman" w:hAnsi="Times New Roman"/>
          <w:sz w:val="14"/>
          <w:szCs w:val="14"/>
          <w:b w:val="1"/>
          <w:bCs w:val="1"/>
          <w:u w:val="single" w:color="auto"/>
          <w:color w:val="0000EE"/>
        </w:rPr>
        <w:t>2</w:t>
      </w:r>
      <w:r>
        <w:rPr>
          <w:rFonts w:ascii="Times New Roman" w:cs="Times New Roman" w:eastAsia="Times New Roman" w:hAnsi="Times New Roman"/>
          <w:sz w:val="14"/>
          <w:szCs w:val="14"/>
          <w:b w:val="1"/>
          <w:bCs w:val="1"/>
          <w:color w:val="auto"/>
        </w:rPr>
        <w:t xml:space="preserve"> before you make your investment decision.</w:t>
      </w:r>
    </w:p>
    <w:p>
      <w:pPr>
        <w:spacing w:after="0" w:line="54" w:lineRule="exact"/>
        <w:rPr>
          <w:sz w:val="20"/>
          <w:szCs w:val="20"/>
          <w:color w:val="auto"/>
        </w:rPr>
      </w:pPr>
    </w:p>
    <w:p>
      <w:pPr>
        <w:ind w:left="1240" w:right="1359" w:firstLine="287"/>
        <w:spacing w:after="0" w:line="27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203200</wp:posOffset>
            </wp:positionV>
            <wp:extent cx="544830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 w:name="page3"/>
    <w:bookmarkEnd w:id="2"/>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13970</wp:posOffset>
            </wp:positionV>
            <wp:extent cx="4157980" cy="136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57980" cy="136525"/>
                    </a:xfrm>
                    <a:prstGeom prst="rect">
                      <a:avLst/>
                    </a:prstGeom>
                    <a:noFill/>
                  </pic:spPr>
                </pic:pic>
              </a:graphicData>
            </a:graphic>
          </wp:anchor>
        </w:drawing>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EE"/>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16510</wp:posOffset>
            </wp:positionV>
            <wp:extent cx="4157980" cy="130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57980" cy="130175"/>
                    </a:xfrm>
                    <a:prstGeom prst="rect">
                      <a:avLst/>
                    </a:prstGeom>
                    <a:noFill/>
                  </pic:spPr>
                </pic:pic>
              </a:graphicData>
            </a:graphic>
          </wp:anchor>
        </w:drawing>
      </w:r>
    </w:p>
    <w:p>
      <w:pPr>
        <w:spacing w:after="0" w:line="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EE"/>
        </w:rPr>
        <w:t>NOTE REGARDING TRADEMARKS</w:t>
      </w:r>
    </w:p>
    <w:p>
      <w:pPr>
        <w:spacing w:after="0" w:line="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EE"/>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16510</wp:posOffset>
            </wp:positionV>
            <wp:extent cx="4157980" cy="136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57980" cy="136525"/>
                    </a:xfrm>
                    <a:prstGeom prst="rect">
                      <a:avLst/>
                    </a:prstGeom>
                    <a:noFill/>
                  </pic:spPr>
                </pic:pic>
              </a:graphicData>
            </a:graphic>
          </wp:anchor>
        </w:drawing>
      </w:r>
    </w:p>
    <w:p>
      <w:pPr>
        <w:spacing w:after="0" w:line="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5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16510</wp:posOffset>
            </wp:positionV>
            <wp:extent cx="4157980" cy="136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57980" cy="136525"/>
                    </a:xfrm>
                    <a:prstGeom prst="rect">
                      <a:avLst/>
                    </a:prstGeom>
                    <a:noFill/>
                  </pic:spPr>
                </pic:pic>
              </a:graphicData>
            </a:graphic>
          </wp:anchor>
        </w:drawing>
      </w:r>
    </w:p>
    <w:p>
      <w:pPr>
        <w:spacing w:after="0" w:line="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EE"/>
        </w:rPr>
        <w:t>DESCRIPTION OF SECURITIES</w:t>
      </w:r>
    </w:p>
    <w:p>
      <w:pPr>
        <w:spacing w:after="0" w:line="5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16510</wp:posOffset>
            </wp:positionV>
            <wp:extent cx="4157980" cy="136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57980" cy="136525"/>
                    </a:xfrm>
                    <a:prstGeom prst="rect">
                      <a:avLst/>
                    </a:prstGeom>
                    <a:noFill/>
                  </pic:spPr>
                </pic:pic>
              </a:graphicData>
            </a:graphic>
          </wp:anchor>
        </w:drawing>
      </w:r>
    </w:p>
    <w:p>
      <w:pPr>
        <w:spacing w:after="0" w:line="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EE"/>
        </w:rPr>
        <w:t>DESCRIPTION OF DEBT SECURITIES</w:t>
      </w:r>
    </w:p>
    <w:p>
      <w:pPr>
        <w:spacing w:after="0" w:line="5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16510</wp:posOffset>
            </wp:positionV>
            <wp:extent cx="4157980"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57980" cy="136525"/>
                    </a:xfrm>
                    <a:prstGeom prst="rect">
                      <a:avLst/>
                    </a:prstGeom>
                    <a:noFill/>
                  </pic:spPr>
                </pic:pic>
              </a:graphicData>
            </a:graphic>
          </wp:anchor>
        </w:drawing>
      </w:r>
    </w:p>
    <w:p>
      <w:pPr>
        <w:spacing w:after="0" w:line="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5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16510</wp:posOffset>
            </wp:positionV>
            <wp:extent cx="4157980" cy="136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57980" cy="136525"/>
                    </a:xfrm>
                    <a:prstGeom prst="rect">
                      <a:avLst/>
                    </a:prstGeom>
                    <a:noFill/>
                  </pic:spPr>
                </pic:pic>
              </a:graphicData>
            </a:graphic>
          </wp:anchor>
        </w:drawing>
      </w:r>
    </w:p>
    <w:p>
      <w:pPr>
        <w:spacing w:after="0" w:line="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5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iv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ectPr>
          <w:pgSz w:w="11900" w:h="16838" w:orient="portrait"/>
          <w:cols w:equalWidth="0" w:num="2">
            <w:col w:w="6620" w:space="720"/>
            <w:col w:w="1679"/>
          </w:cols>
          <w:pgMar w:left="1440" w:top="108" w:right="1440" w:bottom="1440" w:gutter="0" w:footer="0" w:header="0"/>
        </w:sectPr>
      </w:pPr>
    </w:p>
    <w:bookmarkStart w:id="3" w:name="page4"/>
    <w:bookmarkEnd w:id="3"/>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32" w:lineRule="exact"/>
        <w:rPr>
          <w:sz w:val="20"/>
          <w:szCs w:val="20"/>
          <w:color w:val="auto"/>
        </w:rPr>
      </w:pPr>
    </w:p>
    <w:p>
      <w:pPr>
        <w:ind w:left="1240" w:right="1579" w:firstLine="287"/>
        <w:spacing w:after="0" w:line="275"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Securities and Exchange Commission (the “SEC”) using a “shelf” registration process. Under the shelf process, we may sell any combination of the securities described in this prospectus in one or more offerings.</w:t>
      </w:r>
    </w:p>
    <w:p>
      <w:pPr>
        <w:spacing w:after="0" w:line="82" w:lineRule="exact"/>
        <w:rPr>
          <w:sz w:val="20"/>
          <w:szCs w:val="20"/>
          <w:color w:val="auto"/>
        </w:rPr>
      </w:pPr>
    </w:p>
    <w:p>
      <w:pPr>
        <w:ind w:left="1240" w:right="1279" w:firstLine="287"/>
        <w:spacing w:after="0" w:line="263" w:lineRule="auto"/>
        <w:rPr>
          <w:sz w:val="20"/>
          <w:szCs w:val="20"/>
          <w:color w:val="auto"/>
        </w:rPr>
      </w:pPr>
      <w:r>
        <w:rPr>
          <w:rFonts w:ascii="Times New Roman" w:cs="Times New Roman" w:eastAsia="Times New Roman" w:hAnsi="Times New Roman"/>
          <w:sz w:val="14"/>
          <w:szCs w:val="14"/>
          <w:color w:val="auto"/>
        </w:rPr>
        <w:t>This prospectus only provides you with a general description of the securities we may offer. Each time we sell securities, we will provide a supplement to this prospectus that will contain specific information about the terms of that offering, including the specific amounts, prices, and terms of the securities offered. The prospectus supplement may also add, update, or change information contained in this prospectus. You should carefully read both this prospectus and any accompanying prospectus supplement or other offering materials, together with the additional information described under the heading “Where You Can Find More Information.”</w:t>
      </w:r>
    </w:p>
    <w:p>
      <w:pPr>
        <w:spacing w:after="0" w:line="255" w:lineRule="exact"/>
        <w:rPr>
          <w:sz w:val="20"/>
          <w:szCs w:val="20"/>
          <w:color w:val="auto"/>
        </w:rPr>
      </w:pPr>
    </w:p>
    <w:p>
      <w:pPr>
        <w:ind w:left="1240" w:right="1279" w:firstLine="287"/>
        <w:spacing w:after="0" w:line="269"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86" w:lineRule="exact"/>
        <w:rPr>
          <w:sz w:val="20"/>
          <w:szCs w:val="20"/>
          <w:color w:val="auto"/>
        </w:rPr>
      </w:pPr>
    </w:p>
    <w:p>
      <w:pPr>
        <w:ind w:left="1240" w:right="1259" w:firstLine="287"/>
        <w:spacing w:after="0" w:line="261"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or other offering materials do not contain all of the information included in the registration statement as permitted by the rules and regulations of the SEC. For further information, we refer you to the registration statement on Form S-3, including its exhibits. We are subject to the informational requirements of the Securities Exchange Act of 1934, as amended (“Exchange Act”), and, therefore, file reports and other information with the SEC. Statements contained in this prospectus and any accompanying prospectus supplement or other offering materials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269" w:lineRule="exact"/>
        <w:rPr>
          <w:sz w:val="20"/>
          <w:szCs w:val="20"/>
          <w:color w:val="auto"/>
        </w:rPr>
      </w:pPr>
    </w:p>
    <w:p>
      <w:pPr>
        <w:jc w:val="both"/>
        <w:ind w:left="1240" w:right="1259" w:firstLine="287"/>
        <w:spacing w:after="0" w:line="275" w:lineRule="auto"/>
        <w:rPr>
          <w:sz w:val="20"/>
          <w:szCs w:val="20"/>
          <w:color w:val="auto"/>
        </w:rPr>
      </w:pPr>
      <w:r>
        <w:rPr>
          <w:rFonts w:ascii="Times New Roman" w:cs="Times New Roman" w:eastAsia="Times New Roman" w:hAnsi="Times New Roman"/>
          <w:sz w:val="14"/>
          <w:szCs w:val="14"/>
          <w:color w:val="auto"/>
        </w:rPr>
        <w:t>You should not assume that the information in this prospectus, any prospectus supplement, or any other offering materials is accurate as of any date other than the date on the front of each document. Our business, financial condition, results of operations, and prospects may have changed since then.</w:t>
      </w:r>
    </w:p>
    <w:p>
      <w:pPr>
        <w:spacing w:after="0" w:line="71" w:lineRule="exact"/>
        <w:rPr>
          <w:sz w:val="20"/>
          <w:szCs w:val="20"/>
          <w:color w:val="auto"/>
        </w:rPr>
      </w:pPr>
    </w:p>
    <w:p>
      <w:pPr>
        <w:ind w:left="1240" w:right="1299" w:firstLine="287"/>
        <w:spacing w:after="0" w:line="264" w:lineRule="auto"/>
        <w:rPr>
          <w:sz w:val="20"/>
          <w:szCs w:val="20"/>
          <w:color w:val="auto"/>
        </w:rPr>
      </w:pPr>
      <w:r>
        <w:rPr>
          <w:rFonts w:ascii="Times New Roman" w:cs="Times New Roman" w:eastAsia="Times New Roman" w:hAnsi="Times New Roman"/>
          <w:sz w:val="14"/>
          <w:szCs w:val="14"/>
          <w:color w:val="auto"/>
        </w:rPr>
        <w:t>In this prospectus, unless otherwise specified or the context requires otherwise, we use the terms “Regeneron,” “Company,” “we,” “us,” and “our” to refer to Regeneron Pharmaceuticals, Inc. References to “preferred stock” refer to shares of our preferred stock, par value $0.01 per share; references to “Common Stock” refer to shares of our common stock, par value $0.001 per share; references to “Class A Stock” refer to our Class A Stock, par value $0.001 per share; and references to “common shares” mean, collectively, shares of Common Stock and shares of Class A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32" w:lineRule="exact"/>
        <w:rPr>
          <w:sz w:val="20"/>
          <w:szCs w:val="20"/>
          <w:color w:val="auto"/>
        </w:rPr>
      </w:pPr>
    </w:p>
    <w:p>
      <w:pPr>
        <w:ind w:left="1240" w:right="1279" w:firstLine="287"/>
        <w:spacing w:after="0" w:line="263" w:lineRule="auto"/>
        <w:rPr>
          <w:sz w:val="20"/>
          <w:szCs w:val="20"/>
          <w:color w:val="auto"/>
        </w:rPr>
      </w:pPr>
      <w:r>
        <w:rPr>
          <w:rFonts w:ascii="Times New Roman" w:cs="Times New Roman" w:eastAsia="Times New Roman" w:hAnsi="Times New Roman"/>
          <w:sz w:val="14"/>
          <w:szCs w:val="14"/>
          <w:color w:val="auto"/>
        </w:rPr>
        <w:t>This prospectus, any accompanying prospectus supplements, and the documents incorporated by reference herein and therein contain forward-looking statements that involve risks and uncertainties relating to future events and our future performance,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57" w:lineRule="exact"/>
        <w:rPr>
          <w:sz w:val="20"/>
          <w:szCs w:val="20"/>
          <w:color w:val="auto"/>
        </w:rPr>
      </w:pPr>
    </w:p>
    <w:p>
      <w:pPr>
        <w:ind w:left="1660" w:right="1279" w:hanging="143"/>
        <w:spacing w:after="0" w:line="263"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timing, and possible success and therapeutic applications of products marketed or otherwise commercialized by us and/or our collaborators or licensees (collectively, “Regeneron’s Products”) and product candidates being developed by us and/or our collaborators or licensees (collectively, “Regeneron’s Product Candidates”) and research and clinical programs now underway or planned, including without limitation those discussed or referenced in the documents incorporated by reference into this prospectus, our and our collaborators’ earlier-stage programs, and the use of human genetics in our research programs;</w:t>
      </w:r>
    </w:p>
    <w:p>
      <w:pPr>
        <w:spacing w:after="0" w:line="233"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and timing of achieving any of our anticipated development milestones;</w:t>
      </w:r>
    </w:p>
    <w:p>
      <w:pPr>
        <w:spacing w:after="0" w:line="108" w:lineRule="exact"/>
        <w:rPr>
          <w:rFonts w:ascii="Times New Roman" w:cs="Times New Roman" w:eastAsia="Times New Roman" w:hAnsi="Times New Roman"/>
          <w:sz w:val="14"/>
          <w:szCs w:val="14"/>
          <w:color w:val="auto"/>
        </w:rPr>
      </w:pPr>
    </w:p>
    <w:p>
      <w:pPr>
        <w:ind w:left="1660" w:right="1359" w:hanging="143"/>
        <w:spacing w:after="0" w:line="275"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spacing w:after="0" w:line="49" w:lineRule="exact"/>
        <w:rPr>
          <w:rFonts w:ascii="Times New Roman" w:cs="Times New Roman" w:eastAsia="Times New Roman" w:hAnsi="Times New Roman"/>
          <w:sz w:val="14"/>
          <w:szCs w:val="14"/>
          <w:color w:val="auto"/>
        </w:rPr>
      </w:pPr>
    </w:p>
    <w:p>
      <w:pPr>
        <w:ind w:left="1660" w:right="1859" w:hanging="143"/>
        <w:spacing w:after="0" w:line="294"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timing, and scope of possible regulatory approval and commercial launch of Regeneron’s Product Candidates and new indications for Regeneron’s Products;</w:t>
      </w:r>
    </w:p>
    <w:p>
      <w:pPr>
        <w:spacing w:after="0" w:line="36" w:lineRule="exact"/>
        <w:rPr>
          <w:rFonts w:ascii="Times New Roman" w:cs="Times New Roman" w:eastAsia="Times New Roman" w:hAnsi="Times New Roman"/>
          <w:sz w:val="14"/>
          <w:szCs w:val="14"/>
          <w:color w:val="auto"/>
        </w:rPr>
      </w:pPr>
    </w:p>
    <w:p>
      <w:pPr>
        <w:ind w:left="1660" w:right="1359" w:hanging="143"/>
        <w:spacing w:after="0" w:line="275"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results from the research and development programs conducted by us and/or our collaborators may be replicated in other studies and/or lead to advancement of product candidates to clinical trials, therapeutic applications, or regulatory approval;</w:t>
      </w:r>
    </w:p>
    <w:p>
      <w:pPr>
        <w:spacing w:after="0" w:line="60" w:lineRule="exact"/>
        <w:rPr>
          <w:rFonts w:ascii="Times New Roman" w:cs="Times New Roman" w:eastAsia="Times New Roman" w:hAnsi="Times New Roman"/>
          <w:sz w:val="14"/>
          <w:szCs w:val="14"/>
          <w:color w:val="auto"/>
        </w:rPr>
      </w:pPr>
    </w:p>
    <w:p>
      <w:pPr>
        <w:ind w:left="1660" w:right="1339" w:hanging="143"/>
        <w:spacing w:after="0" w:line="294"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ongoing regulatory obligations and oversight impacting Regeneron’s Products, research and clinical programs, and business, including those relating to patient privacy;</w:t>
      </w:r>
    </w:p>
    <w:p>
      <w:pPr>
        <w:spacing w:after="0" w:line="36" w:lineRule="exact"/>
        <w:rPr>
          <w:rFonts w:ascii="Times New Roman" w:cs="Times New Roman" w:eastAsia="Times New Roman" w:hAnsi="Times New Roman"/>
          <w:sz w:val="14"/>
          <w:szCs w:val="14"/>
          <w:color w:val="auto"/>
        </w:rPr>
      </w:pPr>
    </w:p>
    <w:p>
      <w:pPr>
        <w:ind w:left="1660" w:right="1419" w:hanging="143"/>
        <w:spacing w:after="0" w:line="275"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determinations by regulatory and administrative governmental authorities which may delay or restrict our ability to continue to develop or commercialize Regeneron’s Products and Regeneron’s Product Candidates;</w:t>
      </w:r>
    </w:p>
    <w:p>
      <w:pPr>
        <w:spacing w:after="0" w:line="49" w:lineRule="exact"/>
        <w:rPr>
          <w:rFonts w:ascii="Times New Roman" w:cs="Times New Roman" w:eastAsia="Times New Roman" w:hAnsi="Times New Roman"/>
          <w:sz w:val="14"/>
          <w:szCs w:val="14"/>
          <w:color w:val="auto"/>
        </w:rPr>
      </w:pPr>
    </w:p>
    <w:p>
      <w:pPr>
        <w:jc w:val="both"/>
        <w:ind w:left="1660" w:right="1779" w:hanging="143"/>
        <w:spacing w:after="0" w:line="275"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drugs and product candidates that may be superior to, or more cost effective than, Regeneron’s Products and Regeneron’s Product Candidates (including biosimilar versions of Regeneron’s Products);</w:t>
      </w:r>
    </w:p>
    <w:p>
      <w:pPr>
        <w:spacing w:after="0" w:line="49" w:lineRule="exact"/>
        <w:rPr>
          <w:rFonts w:ascii="Times New Roman" w:cs="Times New Roman" w:eastAsia="Times New Roman" w:hAnsi="Times New Roman"/>
          <w:sz w:val="14"/>
          <w:szCs w:val="14"/>
          <w:color w:val="auto"/>
        </w:rPr>
      </w:pPr>
    </w:p>
    <w:p>
      <w:pPr>
        <w:ind w:left="1660" w:right="1419" w:hanging="143"/>
        <w:spacing w:after="0" w:line="266"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of the utilization, market acceptance, and commercial success of Regeneron’s Products and Regeneron’s Product Candidates and the impact of studies (whether conducted by us or others and whether mandated or voluntary) or recommendations and guidelines from governmental authorities and other third parties on the commercial success of Regeneron’s Products and Regeneron’s Product Candidates;</w:t>
      </w:r>
    </w:p>
    <w:p>
      <w:pPr>
        <w:spacing w:after="0" w:line="6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and manage supply chains for multiple products and product candidates;</w:t>
      </w:r>
    </w:p>
    <w:p>
      <w:pPr>
        <w:spacing w:after="0" w:line="97" w:lineRule="exact"/>
        <w:rPr>
          <w:rFonts w:ascii="Times New Roman" w:cs="Times New Roman" w:eastAsia="Times New Roman" w:hAnsi="Times New Roman"/>
          <w:sz w:val="14"/>
          <w:szCs w:val="14"/>
          <w:color w:val="auto"/>
        </w:rPr>
      </w:pPr>
    </w:p>
    <w:p>
      <w:pPr>
        <w:ind w:left="1660" w:right="1799" w:hanging="143"/>
        <w:spacing w:after="0" w:line="275"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collaborators, suppliers, or other third parties (as applicable) to perform manufacturing, filling, finishing, packaging, labeling, distribution, and other steps related to Regeneron’s Products and Regeneron’s Product Candidates;</w:t>
      </w:r>
    </w:p>
    <w:p>
      <w:pPr>
        <w:spacing w:after="0" w:line="49" w:lineRule="exact"/>
        <w:rPr>
          <w:rFonts w:ascii="Times New Roman" w:cs="Times New Roman" w:eastAsia="Times New Roman" w:hAnsi="Times New Roman"/>
          <w:sz w:val="14"/>
          <w:szCs w:val="14"/>
          <w:color w:val="auto"/>
        </w:rPr>
      </w:pPr>
    </w:p>
    <w:p>
      <w:pPr>
        <w:ind w:left="1660" w:right="1679" w:hanging="143"/>
        <w:spacing w:after="0" w:line="269"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extent of reimbursement of Regeneron’s Products from third-party payors, including private payor healthcare and insurance programs, health maintenance organizations, pharmacy benefit management companies, and government programs such as Medicare and Medicaid;</w:t>
      </w:r>
    </w:p>
    <w:p>
      <w:pPr>
        <w:spacing w:after="0" w:line="53" w:lineRule="exact"/>
        <w:rPr>
          <w:rFonts w:ascii="Times New Roman" w:cs="Times New Roman" w:eastAsia="Times New Roman" w:hAnsi="Times New Roman"/>
          <w:sz w:val="14"/>
          <w:szCs w:val="14"/>
          <w:color w:val="auto"/>
        </w:rPr>
      </w:pPr>
    </w:p>
    <w:p>
      <w:pPr>
        <w:ind w:left="1660" w:right="1759" w:hanging="143"/>
        <w:spacing w:after="0" w:line="294"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coverage and reimbursement determinations by such payors and new policies and procedures adopted by such payors;</w:t>
      </w:r>
    </w:p>
    <w:p>
      <w:pPr>
        <w:spacing w:after="0" w:line="4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developing, producing, and selling products or unanticipated expenses;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60" w:right="1359" w:hanging="143"/>
        <w:spacing w:after="0" w:line="29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any of our financial projections or guidance, including without limitation capital expenditures, and changes to the assumptions underlying those projections or guidance;</w:t>
      </w:r>
    </w:p>
    <w:p>
      <w:pPr>
        <w:spacing w:after="0" w:line="36" w:lineRule="exact"/>
        <w:rPr>
          <w:rFonts w:ascii="Times New Roman" w:cs="Times New Roman" w:eastAsia="Times New Roman" w:hAnsi="Times New Roman"/>
          <w:sz w:val="14"/>
          <w:szCs w:val="14"/>
          <w:color w:val="auto"/>
        </w:rPr>
      </w:pPr>
    </w:p>
    <w:p>
      <w:pPr>
        <w:ind w:left="1660" w:right="1419" w:hanging="143"/>
        <w:spacing w:after="0" w:line="29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any license or collaboration agreement, including our agreements with Sanofi and Bayer (or their respective affiliated companies, as applicable), to be cancelled or terminated;</w:t>
      </w:r>
    </w:p>
    <w:p>
      <w:pPr>
        <w:spacing w:after="0" w:line="36" w:lineRule="exact"/>
        <w:rPr>
          <w:rFonts w:ascii="Times New Roman" w:cs="Times New Roman" w:eastAsia="Times New Roman" w:hAnsi="Times New Roman"/>
          <w:sz w:val="14"/>
          <w:szCs w:val="14"/>
          <w:color w:val="auto"/>
        </w:rPr>
      </w:pPr>
    </w:p>
    <w:p>
      <w:pPr>
        <w:ind w:left="1660" w:right="1419" w:hanging="143"/>
        <w:spacing w:after="0" w:line="29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public health outbreaks, epidemics, or pandemics (such as the COVID-19 pandemic) on our business; and</w:t>
      </w:r>
    </w:p>
    <w:p>
      <w:pPr>
        <w:spacing w:after="0" w:line="36" w:lineRule="exact"/>
        <w:rPr>
          <w:rFonts w:ascii="Times New Roman" w:cs="Times New Roman" w:eastAsia="Times New Roman" w:hAnsi="Times New Roman"/>
          <w:sz w:val="14"/>
          <w:szCs w:val="14"/>
          <w:color w:val="auto"/>
        </w:rPr>
      </w:pPr>
    </w:p>
    <w:p>
      <w:pPr>
        <w:ind w:left="1660" w:right="1319" w:hanging="143"/>
        <w:spacing w:after="0" w:line="263"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intellectual property of other parties and pending or future litigation relating thereto (including without limitation those described in the notes to our financial statements incorporated by reference into this prospectus), other litigation and other proceedings and government investigations relating to the Company and/or its operations (including without limitation those described in the notes to our financial statements incorporated by reference into this prospectus), the ultimate outcome of any such proceedings and investigations, and the impact any of the foregoing may have on our business, prospects, operating results, and financial condition.</w:t>
      </w:r>
    </w:p>
    <w:p>
      <w:pPr>
        <w:spacing w:after="0" w:line="90" w:lineRule="exact"/>
        <w:rPr>
          <w:sz w:val="20"/>
          <w:szCs w:val="20"/>
          <w:color w:val="auto"/>
        </w:rPr>
      </w:pPr>
    </w:p>
    <w:p>
      <w:pPr>
        <w:ind w:left="1240" w:right="1359" w:firstLine="287"/>
        <w:spacing w:after="0" w:line="261" w:lineRule="auto"/>
        <w:rPr>
          <w:sz w:val="20"/>
          <w:szCs w:val="20"/>
          <w:color w:val="auto"/>
        </w:rPr>
      </w:pPr>
      <w:r>
        <w:rPr>
          <w:rFonts w:ascii="Times New Roman" w:cs="Times New Roman" w:eastAsia="Times New Roman" w:hAnsi="Times New Roman"/>
          <w:sz w:val="14"/>
          <w:szCs w:val="14"/>
          <w:color w:val="auto"/>
        </w:rPr>
        <w:t>Any forward-looking statements are made based on management’s current beliefs and judgment, and the reader is cautioned not to rely on any such statements. In evaluating such statements, shareholders and potential investors should specifically consider the various factors described in our Annual Report on Form 10-K for the fiscal year ended December 31, 2023, in our Quarterly Report on Form 10-Q for the quarterly period ended September 30, 2024, and in our other reports and filings with the SEC, in each case including in the sections thereof captioned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 REGARDING TRADEMARKS</w:t>
      </w:r>
    </w:p>
    <w:p>
      <w:pPr>
        <w:spacing w:after="0" w:line="103" w:lineRule="exact"/>
        <w:rPr>
          <w:sz w:val="20"/>
          <w:szCs w:val="20"/>
          <w:color w:val="auto"/>
        </w:rPr>
      </w:pPr>
    </w:p>
    <w:p>
      <w:pPr>
        <w:ind w:left="1240" w:right="1319" w:firstLine="287"/>
        <w:spacing w:after="0"/>
        <w:rPr>
          <w:sz w:val="20"/>
          <w:szCs w:val="20"/>
          <w:color w:val="auto"/>
        </w:rPr>
      </w:pPr>
      <w:r>
        <w:rPr>
          <w:rFonts w:ascii="Times New Roman" w:cs="Times New Roman" w:eastAsia="Times New Roman" w:hAnsi="Times New Roman"/>
          <w:sz w:val="14"/>
          <w:szCs w:val="14"/>
          <w:color w:val="auto"/>
        </w:rPr>
        <w:t>“Altibodies™,” “ARCALYST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“Evkeeza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“EYLEA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“EYLEA HD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“Inmazeb</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“Libtayo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“Ordspono™,” “Praluent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(in​ the United States), “REGEN-COV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“Regeneron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“Regeneron Genetics Center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“RGC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Veloci-Bi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VelociGene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VelociHum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VelociMab</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VelocImmune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VelociMouse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VelociSuite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VelociT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“Veopoz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and “ZALTRAP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are our trademarks. Trademarks and trade names of other companies appearing in this prospectus are, to our knowledge, the property of their respective owners. This prospectus, any accompanying prospectus supplements, and the documents incorporated by reference herein and therein refer to products of Regeneron Pharmaceuticals, Inc., its collaborators, and other parties. Consult the product label in each territory for specific information about such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260350</wp:posOffset>
            </wp:positionV>
            <wp:extent cx="4396105" cy="6351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96105" cy="6351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30" w:lineRule="exact"/>
        <w:rPr>
          <w:sz w:val="20"/>
          <w:szCs w:val="20"/>
          <w:color w:val="auto"/>
        </w:rPr>
      </w:pPr>
    </w:p>
    <w:p>
      <w:pPr>
        <w:ind w:left="1240" w:right="1459" w:firstLine="287"/>
        <w:spacing w:after="0" w:line="270" w:lineRule="auto"/>
        <w:rPr>
          <w:sz w:val="20"/>
          <w:szCs w:val="20"/>
          <w:color w:val="auto"/>
        </w:rPr>
      </w:pPr>
      <w:r>
        <w:rPr>
          <w:rFonts w:ascii="Times New Roman" w:cs="Times New Roman" w:eastAsia="Times New Roman" w:hAnsi="Times New Roman"/>
          <w:sz w:val="14"/>
          <w:szCs w:val="14"/>
          <w:i w:val="1"/>
          <w:iCs w:val="1"/>
          <w:color w:val="auto"/>
        </w:rPr>
        <w:t>This is only a summary and may not contain all the information that is important to you. You should carefully read both this prospectus and any accompanying prospectus supplement and any other offering materials, together with the additional information described under the heading “Where You Can Find More Information.”</w:t>
      </w:r>
    </w:p>
    <w:p>
      <w:pPr>
        <w:spacing w:after="0" w:line="13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Regeneron Pharmaceuticals, Inc.</w:t>
      </w:r>
    </w:p>
    <w:p>
      <w:pPr>
        <w:spacing w:after="0" w:line="132" w:lineRule="exact"/>
        <w:rPr>
          <w:sz w:val="20"/>
          <w:szCs w:val="20"/>
          <w:color w:val="auto"/>
        </w:rPr>
      </w:pPr>
    </w:p>
    <w:p>
      <w:pPr>
        <w:ind w:left="1240" w:right="1439" w:firstLine="287"/>
        <w:spacing w:after="0" w:line="267" w:lineRule="auto"/>
        <w:rPr>
          <w:sz w:val="20"/>
          <w:szCs w:val="20"/>
          <w:color w:val="auto"/>
        </w:rPr>
      </w:pPr>
      <w:r>
        <w:rPr>
          <w:rFonts w:ascii="Times New Roman" w:cs="Times New Roman" w:eastAsia="Times New Roman" w:hAnsi="Times New Roman"/>
          <w:sz w:val="14"/>
          <w:szCs w:val="14"/>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hematologic conditions, infectious diseases, and rare diseases.</w:t>
      </w:r>
    </w:p>
    <w:p>
      <w:pPr>
        <w:spacing w:after="0" w:line="253" w:lineRule="exact"/>
        <w:rPr>
          <w:sz w:val="20"/>
          <w:szCs w:val="20"/>
          <w:color w:val="auto"/>
        </w:rPr>
      </w:pPr>
    </w:p>
    <w:p>
      <w:pPr>
        <w:ind w:left="1240" w:right="1259" w:firstLine="287"/>
        <w:spacing w:after="0" w:line="266" w:lineRule="auto"/>
        <w:rPr>
          <w:sz w:val="20"/>
          <w:szCs w:val="20"/>
          <w:color w:val="auto"/>
        </w:rPr>
      </w:pPr>
      <w:r>
        <w:rPr>
          <w:rFonts w:ascii="Times New Roman" w:cs="Times New Roman" w:eastAsia="Times New Roman" w:hAnsi="Times New Roman"/>
          <w:sz w:val="14"/>
          <w:szCs w:val="14"/>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advance as an integrated, multi-product biotechnology company that provides patients and medical professionals with important medicines for preventing and treating human diseases.</w:t>
      </w:r>
    </w:p>
    <w:p>
      <w:pPr>
        <w:spacing w:after="0" w:line="14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3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Our principal executive offices are located at 777 Old Saw Mill River Road, Tarrytown,</w:t>
      </w:r>
    </w:p>
    <w:p>
      <w:pPr>
        <w:spacing w:after="0" w:line="25" w:lineRule="exact"/>
        <w:rPr>
          <w:sz w:val="20"/>
          <w:szCs w:val="20"/>
          <w:color w:val="auto"/>
        </w:rPr>
      </w:pPr>
    </w:p>
    <w:p>
      <w:pPr>
        <w:ind w:left="1240" w:right="1399"/>
        <w:spacing w:after="0" w:line="262" w:lineRule="auto"/>
        <w:rPr>
          <w:sz w:val="20"/>
          <w:szCs w:val="20"/>
          <w:color w:val="auto"/>
        </w:rPr>
      </w:pPr>
      <w:r>
        <w:rPr>
          <w:rFonts w:ascii="Times New Roman" w:cs="Times New Roman" w:eastAsia="Times New Roman" w:hAnsi="Times New Roman"/>
          <w:sz w:val="14"/>
          <w:szCs w:val="14"/>
          <w:color w:val="auto"/>
        </w:rPr>
        <w:t>New York 10591, and our telephone number at that address is (914) 847-7000. Our website address is www.regeneron.com. The information on, or accessible through, our website is not part of this prospectus and should not be relied upon in connection with making any investment decision with respect to the securities offered by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 w:name="page8"/>
    <w:bookmarkEnd w:id="7"/>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2" w:lineRule="exact"/>
        <w:rPr>
          <w:sz w:val="20"/>
          <w:szCs w:val="20"/>
          <w:color w:val="auto"/>
        </w:rPr>
      </w:pPr>
    </w:p>
    <w:p>
      <w:pPr>
        <w:ind w:left="1240" w:right="1299" w:firstLine="287"/>
        <w:spacing w:after="0" w:line="262" w:lineRule="auto"/>
        <w:rPr>
          <w:sz w:val="20"/>
          <w:szCs w:val="20"/>
          <w:color w:val="auto"/>
        </w:rPr>
      </w:pPr>
      <w:r>
        <w:rPr>
          <w:rFonts w:ascii="Times New Roman" w:cs="Times New Roman" w:eastAsia="Times New Roman" w:hAnsi="Times New Roman"/>
          <w:sz w:val="14"/>
          <w:szCs w:val="14"/>
          <w:color w:val="auto"/>
        </w:rPr>
        <w:t>You should consider the specific risks described in our Annual Report on Form 10-K for the fiscal year ended December 31, 2023 and our Quarterly Report on Form 10-Q for the quarterly period ended September 30, 2024, the risk factors described under the caption “Risk Factors” in any applicable prospectus supplement, and any risk factors set forth in our other filings with the SEC, pursuant to Sections 13(a), 13(c), 14, or 15(d) of the Exchange Act, before making an investment decision. Each of the risks described in these documents could materially and adversely affect our business, financial condition, results of operations, and prospects, and could result in a partial or complete loss of your investment. See “Where You Can Find More Information”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 w:name="page9"/>
    <w:bookmarkEnd w:id="8"/>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2" w:lineRule="exact"/>
        <w:rPr>
          <w:sz w:val="20"/>
          <w:szCs w:val="20"/>
          <w:color w:val="auto"/>
        </w:rPr>
      </w:pPr>
    </w:p>
    <w:p>
      <w:pPr>
        <w:ind w:left="1240" w:right="1779" w:firstLine="287"/>
        <w:spacing w:after="0" w:line="294" w:lineRule="auto"/>
        <w:rPr>
          <w:sz w:val="20"/>
          <w:szCs w:val="20"/>
          <w:color w:val="auto"/>
        </w:rPr>
      </w:pPr>
      <w:r>
        <w:rPr>
          <w:rFonts w:ascii="Times New Roman" w:cs="Times New Roman" w:eastAsia="Times New Roman" w:hAnsi="Times New Roman"/>
          <w:sz w:val="14"/>
          <w:szCs w:val="14"/>
          <w:color w:val="auto"/>
        </w:rPr>
        <w:t>We intend to use the net proceeds from the sale of securities by us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 w:name="page10"/>
    <w:bookmarkEnd w:id="9"/>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32" w:lineRule="exact"/>
        <w:rPr>
          <w:sz w:val="20"/>
          <w:szCs w:val="20"/>
          <w:color w:val="auto"/>
        </w:rPr>
      </w:pPr>
    </w:p>
    <w:p>
      <w:pPr>
        <w:ind w:left="1240" w:right="1339" w:firstLine="287"/>
        <w:spacing w:after="0" w:line="269" w:lineRule="auto"/>
        <w:rPr>
          <w:sz w:val="20"/>
          <w:szCs w:val="20"/>
          <w:color w:val="auto"/>
        </w:rPr>
      </w:pPr>
      <w:r>
        <w:rPr>
          <w:rFonts w:ascii="Times New Roman" w:cs="Times New Roman" w:eastAsia="Times New Roman" w:hAnsi="Times New Roman"/>
          <w:sz w:val="14"/>
          <w:szCs w:val="14"/>
          <w:color w:val="auto"/>
        </w:rPr>
        <w:t>This prospectus contains summary descriptions of the Common Stock, preferred stock, debt securities, and warrants that we may offer and sell from time to time. These summary descriptions are not meant to be complete descriptions of each security. The particular terms of any security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 w:name="page11"/>
    <w:bookmarkEnd w:id="10"/>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2" w:lineRule="exact"/>
        <w:rPr>
          <w:sz w:val="20"/>
          <w:szCs w:val="20"/>
          <w:color w:val="auto"/>
        </w:rPr>
      </w:pPr>
    </w:p>
    <w:p>
      <w:pPr>
        <w:ind w:left="1240" w:right="1299" w:firstLine="287"/>
        <w:spacing w:after="0" w:line="266" w:lineRule="auto"/>
        <w:rPr>
          <w:sz w:val="20"/>
          <w:szCs w:val="20"/>
          <w:color w:val="auto"/>
        </w:rPr>
      </w:pPr>
      <w:r>
        <w:rPr>
          <w:rFonts w:ascii="Times New Roman" w:cs="Times New Roman" w:eastAsia="Times New Roman" w:hAnsi="Times New Roman"/>
          <w:sz w:val="14"/>
          <w:szCs w:val="14"/>
          <w:color w:val="auto"/>
        </w:rPr>
        <w:t>Our authorized capital stock consists of 320,000,000 shares of Common Stock, par value $0.001 per share, of which 108,263,710 shares were issued and outstanding as of September 30, 2024, 40,000,000 shares of Class A Stock, par value $0.001 per share, of which 1,817,146 shares were issued and outstanding as of September 30, 2024, and 30,000,000 shares of preferred stock, par value $0.01 per share, none of which were issued and outstanding as of September 30, 2024.</w:t>
      </w:r>
    </w:p>
    <w:p>
      <w:pPr>
        <w:spacing w:after="0" w:line="88" w:lineRule="exact"/>
        <w:rPr>
          <w:sz w:val="20"/>
          <w:szCs w:val="20"/>
          <w:color w:val="auto"/>
        </w:rPr>
      </w:pPr>
    </w:p>
    <w:p>
      <w:pPr>
        <w:ind w:left="1240" w:right="1379" w:firstLine="287"/>
        <w:spacing w:after="0" w:line="269" w:lineRule="auto"/>
        <w:rPr>
          <w:sz w:val="20"/>
          <w:szCs w:val="20"/>
          <w:color w:val="auto"/>
        </w:rPr>
      </w:pPr>
      <w:r>
        <w:rPr>
          <w:rFonts w:ascii="Times New Roman" w:cs="Times New Roman" w:eastAsia="Times New Roman" w:hAnsi="Times New Roman"/>
          <w:sz w:val="14"/>
          <w:szCs w:val="14"/>
          <w:color w:val="auto"/>
        </w:rPr>
        <w:t>The following is a description of our capital stock and certain provisions of our certificate of incorporation, by-laws, and certain provisions of applicable law. The following is only a summary and is qualified by applicable law and by the provisions of our certificate of incorporation and by-laws, copies of which are included as exhibits to the registration statement of which this prospectus forms a part.</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Common Stock and Class A Stock</w:t>
      </w:r>
    </w:p>
    <w:p>
      <w:pPr>
        <w:spacing w:after="0" w:line="119" w:lineRule="exact"/>
        <w:rPr>
          <w:sz w:val="20"/>
          <w:szCs w:val="20"/>
          <w:color w:val="auto"/>
        </w:rPr>
      </w:pPr>
    </w:p>
    <w:p>
      <w:pPr>
        <w:ind w:left="1240" w:right="1259" w:firstLine="287"/>
        <w:spacing w:after="0" w:line="297"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The rights of holders of Common Stock and holders of Class A Stock are identical except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voting rights, conversion rights, and restrictions on transferability.</w:t>
      </w:r>
    </w:p>
    <w:p>
      <w:pPr>
        <w:spacing w:after="0" w:line="65" w:lineRule="exact"/>
        <w:rPr>
          <w:sz w:val="20"/>
          <w:szCs w:val="20"/>
          <w:color w:val="auto"/>
        </w:rPr>
      </w:pPr>
    </w:p>
    <w:p>
      <w:pPr>
        <w:ind w:left="1240" w:right="1339" w:firstLine="287"/>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The holders of Class A Stock are entitled to ten votes per share and the holders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are entitled to one vote per share. Except as otherwise expressly provided by law, and subject to any voting rights provided to holders of preferred stock, holders of common shares have exclusive voting rights on all matters requiring a vote of shareholders. Except as provided by law, the holders of Class A Stock and the holders of shares of Common Stock will vote together as a single class on all matters presented to the 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262" w:lineRule="exact"/>
        <w:rPr>
          <w:sz w:val="20"/>
          <w:szCs w:val="20"/>
          <w:color w:val="auto"/>
        </w:rPr>
      </w:pPr>
    </w:p>
    <w:p>
      <w:pPr>
        <w:ind w:left="1240" w:right="1439" w:firstLine="287"/>
        <w:spacing w:after="0" w:line="297" w:lineRule="auto"/>
        <w:rPr>
          <w:sz w:val="20"/>
          <w:szCs w:val="20"/>
          <w:color w:val="auto"/>
        </w:rPr>
      </w:pPr>
      <w:r>
        <w:rPr>
          <w:rFonts w:ascii="Times New Roman" w:cs="Times New Roman" w:eastAsia="Times New Roman" w:hAnsi="Times New Roman"/>
          <w:sz w:val="14"/>
          <w:szCs w:val="14"/>
          <w:i w:val="1"/>
          <w:iCs w:val="1"/>
          <w:color w:val="auto"/>
        </w:rPr>
        <w:t xml:space="preserve">Transfer Restrictions. </w:t>
      </w:r>
      <w:r>
        <w:rPr>
          <w:rFonts w:ascii="Times New Roman" w:cs="Times New Roman" w:eastAsia="Times New Roman" w:hAnsi="Times New Roman"/>
          <w:sz w:val="14"/>
          <w:szCs w:val="14"/>
          <w:color w:val="auto"/>
        </w:rPr>
        <w:t>Class A Stock is subject to certain limitations on transfer that do not apply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Common Stock.</w:t>
      </w:r>
    </w:p>
    <w:p>
      <w:pPr>
        <w:spacing w:after="0" w:line="54" w:lineRule="exact"/>
        <w:rPr>
          <w:sz w:val="20"/>
          <w:szCs w:val="20"/>
          <w:color w:val="auto"/>
        </w:rPr>
      </w:pPr>
    </w:p>
    <w:p>
      <w:pPr>
        <w:ind w:left="1240" w:right="1259" w:firstLine="287"/>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Dividends and Liquidation. </w:t>
      </w:r>
      <w:r>
        <w:rPr>
          <w:rFonts w:ascii="Times New Roman" w:cs="Times New Roman" w:eastAsia="Times New Roman" w:hAnsi="Times New Roman"/>
          <w:sz w:val="14"/>
          <w:szCs w:val="14"/>
          <w:color w:val="auto"/>
        </w:rPr>
        <w:t>Except as described in this paragraph, holders of Class A Stock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266" w:lineRule="exact"/>
        <w:rPr>
          <w:sz w:val="20"/>
          <w:szCs w:val="20"/>
          <w:color w:val="auto"/>
        </w:rPr>
      </w:pPr>
    </w:p>
    <w:p>
      <w:pPr>
        <w:ind w:left="1240" w:right="1299" w:firstLine="287"/>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Optional Conversion Rights. </w:t>
      </w:r>
      <w:r>
        <w:rPr>
          <w:rFonts w:ascii="Times New Roman" w:cs="Times New Roman" w:eastAsia="Times New Roman" w:hAnsi="Times New Roman"/>
          <w:sz w:val="14"/>
          <w:szCs w:val="14"/>
          <w:color w:val="auto"/>
        </w:rPr>
        <w:t>Each share of Class A Stock may, at any time and at the option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our shares or securities.</w:t>
      </w:r>
    </w:p>
    <w:p>
      <w:pPr>
        <w:spacing w:after="0" w:line="90" w:lineRule="exact"/>
        <w:rPr>
          <w:sz w:val="20"/>
          <w:szCs w:val="20"/>
          <w:color w:val="auto"/>
        </w:rPr>
      </w:pPr>
    </w:p>
    <w:p>
      <w:pPr>
        <w:ind w:left="1240" w:right="1339" w:firstLine="287"/>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Other Provisions. </w:t>
      </w:r>
      <w:r>
        <w:rPr>
          <w:rFonts w:ascii="Times New Roman" w:cs="Times New Roman" w:eastAsia="Times New Roman" w:hAnsi="Times New Roman"/>
          <w:sz w:val="14"/>
          <w:szCs w:val="14"/>
          <w:color w:val="auto"/>
        </w:rPr>
        <w:t>Holders of Class A Stock and Common Stock have no preemptive rights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subscribe for any additional securities of any class which we may issue and there are no redemption provisions or sinking fund provisions applicable to either such class, nor are our shares of Class A Stock or the Common Stock subject to calls or assessments.</w:t>
      </w:r>
    </w:p>
    <w:p>
      <w:pPr>
        <w:spacing w:after="0" w:line="73" w:lineRule="exact"/>
        <w:rPr>
          <w:sz w:val="20"/>
          <w:szCs w:val="20"/>
          <w:color w:val="auto"/>
        </w:rPr>
      </w:pPr>
    </w:p>
    <w:p>
      <w:pPr>
        <w:ind w:left="1240" w:right="1259" w:firstLine="287"/>
        <w:spacing w:after="0" w:line="297" w:lineRule="auto"/>
        <w:rPr>
          <w:sz w:val="20"/>
          <w:szCs w:val="20"/>
          <w:color w:val="auto"/>
        </w:rPr>
      </w:pPr>
      <w:r>
        <w:rPr>
          <w:rFonts w:ascii="Times New Roman" w:cs="Times New Roman" w:eastAsia="Times New Roman" w:hAnsi="Times New Roman"/>
          <w:sz w:val="14"/>
          <w:szCs w:val="14"/>
          <w:i w:val="1"/>
          <w:iCs w:val="1"/>
          <w:color w:val="auto"/>
        </w:rPr>
        <w:t xml:space="preserve">Listing. </w:t>
      </w:r>
      <w:r>
        <w:rPr>
          <w:rFonts w:ascii="Times New Roman" w:cs="Times New Roman" w:eastAsia="Times New Roman" w:hAnsi="Times New Roman"/>
          <w:sz w:val="14"/>
          <w:szCs w:val="14"/>
          <w:color w:val="auto"/>
        </w:rPr>
        <w:t>Our Common Stock is listed on The Nasdaq Global Select Market under the symbol “REGN.”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Class A Stock is not listed on a securities exchange.</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 w:name="page12"/>
    <w:bookmarkEnd w:id="11"/>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40" w:right="1259" w:firstLine="287"/>
        <w:spacing w:after="0" w:line="297" w:lineRule="auto"/>
        <w:rPr>
          <w:sz w:val="20"/>
          <w:szCs w:val="20"/>
          <w:color w:val="auto"/>
        </w:rPr>
      </w:pPr>
      <w:r>
        <w:rPr>
          <w:rFonts w:ascii="Times New Roman" w:cs="Times New Roman" w:eastAsia="Times New Roman" w:hAnsi="Times New Roman"/>
          <w:sz w:val="14"/>
          <w:szCs w:val="14"/>
          <w:i w:val="1"/>
          <w:iCs w:val="1"/>
          <w:color w:val="auto"/>
        </w:rPr>
        <w:t xml:space="preserve">Transfer Agent and Registrar. </w:t>
      </w:r>
      <w:r>
        <w:rPr>
          <w:rFonts w:ascii="Times New Roman" w:cs="Times New Roman" w:eastAsia="Times New Roman" w:hAnsi="Times New Roman"/>
          <w:sz w:val="14"/>
          <w:szCs w:val="14"/>
          <w:color w:val="auto"/>
        </w:rPr>
        <w:t>The transfer agent and registrar for our Common Stock is Equiniti Trust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LLC.</w:t>
      </w:r>
    </w:p>
    <w:p>
      <w:pPr>
        <w:spacing w:after="0" w:line="10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32" w:lineRule="exact"/>
        <w:rPr>
          <w:sz w:val="20"/>
          <w:szCs w:val="20"/>
          <w:color w:val="auto"/>
        </w:rPr>
      </w:pPr>
    </w:p>
    <w:p>
      <w:pPr>
        <w:ind w:left="1240" w:right="1259" w:firstLine="287"/>
        <w:spacing w:after="0" w:line="251" w:lineRule="auto"/>
        <w:rPr>
          <w:sz w:val="20"/>
          <w:szCs w:val="20"/>
          <w:color w:val="auto"/>
        </w:rPr>
      </w:pPr>
      <w:r>
        <w:rPr>
          <w:rFonts w:ascii="Times New Roman" w:cs="Times New Roman" w:eastAsia="Times New Roman" w:hAnsi="Times New Roman"/>
          <w:sz w:val="14"/>
          <w:szCs w:val="14"/>
          <w:color w:val="auto"/>
        </w:rPr>
        <w:t>The following is a description of certain general terms and provisions of our preferred stock. The particular terms of any series of preferred stock will be described in a prospectus supplement and the extent, if any, to which the general provisions set forth below may apply to the series of preferred stock so offered will be described in the prospectus supplement. The following description of the preferred stock does not purport to be complete. You should refer to the provisions of our Restated Certificate of Incorporation dated January 25, 2008, as amended (“Certificate of Incorporation”).</w:t>
      </w:r>
    </w:p>
    <w:p>
      <w:pPr>
        <w:spacing w:after="0" w:line="86" w:lineRule="exact"/>
        <w:rPr>
          <w:sz w:val="20"/>
          <w:szCs w:val="20"/>
          <w:color w:val="auto"/>
        </w:rPr>
      </w:pPr>
    </w:p>
    <w:p>
      <w:pPr>
        <w:ind w:left="1240" w:right="1239" w:firstLine="287"/>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Our Certificate of Incorporation allows us to issue up to 30,000,000 shares of preferred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one or more series and as may be determined by our board of directors. As of September 30, 2024, no shares of our preferred stock were outstanding. Our board of directors has the authority, without shareholder consent, to establish from time to time the number of shares to be included in any series of our preferred stock, to fix the designation, powers, preference, and rights of the shares of any such series and any qualifications, limitations, or restrictions thereof and to increase or decrease the number of shares of any such series without any further vote or action by the shareholders. The designation, rights, preferences, and restrictions of any series of preferred stock will be fixed by a Certificate of Amendment of the Certificate of Incorporation relating to such series. A prospectus supplement relating to such series will describe the terms of the preferred stock of the series, including the following:</w:t>
      </w:r>
    </w:p>
    <w:p>
      <w:pPr>
        <w:spacing w:after="0" w:line="227" w:lineRule="exact"/>
        <w:rPr>
          <w:sz w:val="20"/>
          <w:szCs w:val="20"/>
          <w:color w:val="auto"/>
        </w:rPr>
      </w:pPr>
    </w:p>
    <w:p>
      <w:pPr>
        <w:ind w:left="1660" w:hanging="143"/>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in that series;</w:t>
      </w:r>
    </w:p>
    <w:p>
      <w:pPr>
        <w:spacing w:after="0" w:line="97" w:lineRule="exact"/>
        <w:rPr>
          <w:rFonts w:ascii="Times New Roman" w:cs="Times New Roman" w:eastAsia="Times New Roman" w:hAnsi="Times New Roman"/>
          <w:sz w:val="14"/>
          <w:szCs w:val="14"/>
          <w:color w:val="auto"/>
        </w:rPr>
      </w:pPr>
    </w:p>
    <w:p>
      <w:pPr>
        <w:ind w:left="1660" w:right="1559" w:hanging="143"/>
        <w:spacing w:after="0" w:line="294"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for that series by number, letter, or title that shall distinguish the series from any other series of preferred stock;</w:t>
      </w:r>
    </w:p>
    <w:p>
      <w:pPr>
        <w:spacing w:after="0" w:line="36" w:lineRule="exact"/>
        <w:rPr>
          <w:rFonts w:ascii="Times New Roman" w:cs="Times New Roman" w:eastAsia="Times New Roman" w:hAnsi="Times New Roman"/>
          <w:sz w:val="14"/>
          <w:szCs w:val="14"/>
          <w:color w:val="auto"/>
        </w:rPr>
      </w:pPr>
    </w:p>
    <w:p>
      <w:pPr>
        <w:ind w:left="1660" w:right="1419" w:hanging="143"/>
        <w:spacing w:after="0" w:line="294"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(or method for determining the rate) for that series and whether dividends on that series of preferred stock will be cumulative, noncumulative, or partially cumulative;</w:t>
      </w:r>
    </w:p>
    <w:p>
      <w:pPr>
        <w:spacing w:after="0" w:line="25"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liquidation preference per share of that series of preferred stock;</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or exchange provisions applicable to that series of preferred stock;</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sinking fund provisions applicable to that series of preferred stock;</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voting rights of that series of preferred stock; and</w:t>
      </w:r>
    </w:p>
    <w:p>
      <w:pPr>
        <w:spacing w:after="0" w:line="8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other preferences or rights applicable to that series of preferred stock.</w:t>
      </w:r>
    </w:p>
    <w:p>
      <w:pPr>
        <w:spacing w:after="0" w:line="128" w:lineRule="exact"/>
        <w:rPr>
          <w:sz w:val="20"/>
          <w:szCs w:val="20"/>
          <w:color w:val="auto"/>
        </w:rPr>
      </w:pPr>
    </w:p>
    <w:p>
      <w:pPr>
        <w:ind w:left="1240" w:right="1359" w:firstLine="287"/>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Permanent Global Preferred Securities. </w:t>
      </w:r>
      <w:r>
        <w:rPr>
          <w:rFonts w:ascii="Times New Roman" w:cs="Times New Roman" w:eastAsia="Times New Roman" w:hAnsi="Times New Roman"/>
          <w:sz w:val="14"/>
          <w:szCs w:val="14"/>
          <w:color w:val="auto"/>
        </w:rPr>
        <w:t>A series of preferred stock may be issued in whole or in part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form of one or more global securities that will be deposited with a depositary or its nominee identified in the prospectus supplement relating to such series of preferred stock. The terms of the depositary arrangement with respect to any series of preferred stock and the rights of and limitations on owners of beneficial interests in a global security representing a series of preferred stock will be described in the related prospectus supplement.</w:t>
      </w:r>
    </w:p>
    <w:p>
      <w:pPr>
        <w:spacing w:after="0" w:line="254" w:lineRule="exact"/>
        <w:rPr>
          <w:sz w:val="20"/>
          <w:szCs w:val="20"/>
          <w:color w:val="auto"/>
        </w:rPr>
      </w:pPr>
    </w:p>
    <w:p>
      <w:pPr>
        <w:ind w:left="1240" w:right="1419" w:firstLine="287"/>
        <w:spacing w:after="0" w:line="280" w:lineRule="auto"/>
        <w:rPr>
          <w:sz w:val="20"/>
          <w:szCs w:val="20"/>
          <w:color w:val="auto"/>
        </w:rPr>
      </w:pPr>
      <w:r>
        <w:rPr>
          <w:rFonts w:ascii="Times New Roman" w:cs="Times New Roman" w:eastAsia="Times New Roman" w:hAnsi="Times New Roman"/>
          <w:sz w:val="14"/>
          <w:szCs w:val="14"/>
          <w:i w:val="1"/>
          <w:iCs w:val="1"/>
          <w:color w:val="auto"/>
        </w:rPr>
        <w:t xml:space="preserve">Transfer Agent and Registrar. </w:t>
      </w:r>
      <w:r>
        <w:rPr>
          <w:rFonts w:ascii="Times New Roman" w:cs="Times New Roman" w:eastAsia="Times New Roman" w:hAnsi="Times New Roman"/>
          <w:sz w:val="14"/>
          <w:szCs w:val="14"/>
          <w:color w:val="auto"/>
        </w:rPr>
        <w:t>The transfer agent and registrar for each series of preferred stock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set forth in the prospectus supplement.</w:t>
      </w:r>
    </w:p>
    <w:p>
      <w:pPr>
        <w:spacing w:after="0" w:line="66" w:lineRule="exact"/>
        <w:rPr>
          <w:sz w:val="20"/>
          <w:szCs w:val="20"/>
          <w:color w:val="auto"/>
        </w:rPr>
      </w:pPr>
    </w:p>
    <w:p>
      <w:pPr>
        <w:ind w:left="1240" w:right="1419" w:firstLine="287"/>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Anti -Take-Over Effects. </w:t>
      </w:r>
      <w:r>
        <w:rPr>
          <w:rFonts w:ascii="Times New Roman" w:cs="Times New Roman" w:eastAsia="Times New Roman" w:hAnsi="Times New Roman"/>
          <w:sz w:val="14"/>
          <w:szCs w:val="14"/>
          <w:color w:val="auto"/>
        </w:rPr>
        <w:t>Our board of directors may authorize, without shareholder approval,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5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Anti-Takeover Effects of Provisions of the Charter and By-Laws and New York Corporate Law</w:t>
      </w:r>
    </w:p>
    <w:p>
      <w:pPr>
        <w:spacing w:after="0" w:line="1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For a description of anti-takeover effects of various provisions of our charter, by-laws, and the</w:t>
      </w:r>
    </w:p>
    <w:p>
      <w:pPr>
        <w:spacing w:after="0" w:line="25" w:lineRule="exact"/>
        <w:rPr>
          <w:sz w:val="20"/>
          <w:szCs w:val="20"/>
          <w:color w:val="auto"/>
        </w:rPr>
      </w:pPr>
    </w:p>
    <w:p>
      <w:pPr>
        <w:ind w:left="1240" w:right="1359"/>
        <w:spacing w:after="0" w:line="257" w:lineRule="auto"/>
        <w:rPr>
          <w:sz w:val="20"/>
          <w:szCs w:val="20"/>
          <w:color w:val="auto"/>
        </w:rPr>
      </w:pPr>
      <w:r>
        <w:rPr>
          <w:rFonts w:ascii="Times New Roman" w:cs="Times New Roman" w:eastAsia="Times New Roman" w:hAnsi="Times New Roman"/>
          <w:sz w:val="14"/>
          <w:szCs w:val="14"/>
          <w:color w:val="auto"/>
        </w:rPr>
        <w:t xml:space="preserve">New York Business Corporation Law, please see “Risk Factors — Risks Related to Our Common Stock —  </w:t>
      </w:r>
      <w:r>
        <w:rPr>
          <w:rFonts w:ascii="Times New Roman" w:cs="Times New Roman" w:eastAsia="Times New Roman" w:hAnsi="Times New Roman"/>
          <w:sz w:val="14"/>
          <w:szCs w:val="14"/>
          <w:i w:val="1"/>
          <w:iCs w:val="1"/>
          <w:color w:val="auto"/>
        </w:rPr>
        <w:t>The anti-takeover effects of provisions of our charter, by-laws, and of New York corporate law, as</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208915</wp:posOffset>
            </wp:positionV>
            <wp:extent cx="544830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 w:name="page13"/>
    <w:bookmarkEnd w:id="12"/>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40" w:right="1319"/>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well as the contractual provisions in our investor and collaboration agreements and certain provisions of our compensation plans and agreements, could deter, delay, or prevent an acquisition or other “change of control” of us and could adversely affect the price of our Common Stock” </w:t>
      </w:r>
      <w:r>
        <w:rPr>
          <w:rFonts w:ascii="Times New Roman" w:cs="Times New Roman" w:eastAsia="Times New Roman" w:hAnsi="Times New Roman"/>
          <w:sz w:val="14"/>
          <w:szCs w:val="14"/>
          <w:color w:val="auto"/>
        </w:rPr>
        <w:t>in our Quarterly Report on Form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10-Q for the quarterly period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 w:name="page14"/>
    <w:bookmarkEnd w:id="13"/>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32" w:lineRule="exact"/>
        <w:rPr>
          <w:sz w:val="20"/>
          <w:szCs w:val="20"/>
          <w:color w:val="auto"/>
        </w:rPr>
      </w:pPr>
    </w:p>
    <w:p>
      <w:pPr>
        <w:ind w:left="1240" w:right="1439" w:firstLine="287"/>
        <w:spacing w:after="0" w:line="258" w:lineRule="auto"/>
        <w:rPr>
          <w:sz w:val="20"/>
          <w:szCs w:val="20"/>
          <w:color w:val="auto"/>
        </w:rPr>
      </w:pPr>
      <w:r>
        <w:rPr>
          <w:rFonts w:ascii="Times New Roman" w:cs="Times New Roman" w:eastAsia="Times New Roman" w:hAnsi="Times New Roman"/>
          <w:sz w:val="14"/>
          <w:szCs w:val="14"/>
          <w:color w:val="auto"/>
        </w:rPr>
        <w:t>We may issue, from time to time, debt securities, in one or more series, that will consist of either our senior debt, our senior subordinated debt, our subordinated debt, or our junior subordinated debt. Debt securities, whether senior, senior subordinated, subordinated, or junior subordinated, may be issued as convertible debt securities or exchangeable debt securities.</w:t>
      </w:r>
    </w:p>
    <w:p>
      <w:pPr>
        <w:spacing w:after="0" w:line="83" w:lineRule="exact"/>
        <w:rPr>
          <w:sz w:val="20"/>
          <w:szCs w:val="20"/>
          <w:color w:val="auto"/>
        </w:rPr>
      </w:pPr>
    </w:p>
    <w:p>
      <w:pPr>
        <w:ind w:left="1240" w:right="1259" w:firstLine="287"/>
        <w:spacing w:after="0" w:line="249" w:lineRule="auto"/>
        <w:rPr>
          <w:sz w:val="20"/>
          <w:szCs w:val="20"/>
          <w:color w:val="auto"/>
        </w:rPr>
      </w:pPr>
      <w:r>
        <w:rPr>
          <w:rFonts w:ascii="Times New Roman" w:cs="Times New Roman" w:eastAsia="Times New Roman" w:hAnsi="Times New Roman"/>
          <w:sz w:val="14"/>
          <w:szCs w:val="14"/>
          <w:color w:val="auto"/>
        </w:rPr>
        <w:t>The following descriptions of the debt securities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the prospectus supplement. Unless otherwise specified in the prospectus supplement, our debt securities will be issued in one or more series under the indenture, dated August 12, 2020, between us and U.S. Bank Trust Company, National Association, as trustee (the “indenture”). The indenture is filed as an exhibit to the registration statement of which this prospectus forms a part, and any future supplemental indenture or similar document will be filed as an exhibit to a document incorporated by reference herein, in connection with the issuance of any new series of debt securities offered or sold hereunder. You should read the indenture and any supplemental indenture or similar document because they, and not this description, define your rights as a holder of our debt securities. All capitalized terms have the meanings specified in the indenture. The terms of the debt securities will include those set forth in the indenture and those made a part of the indenture by the Trust Indenture Act of 1939, as amended (the “Trust Indenture Act”).</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General Terms of the Indenture</w:t>
      </w:r>
    </w:p>
    <w:p>
      <w:pPr>
        <w:spacing w:after="0" w:line="132" w:lineRule="exact"/>
        <w:rPr>
          <w:sz w:val="20"/>
          <w:szCs w:val="20"/>
          <w:color w:val="auto"/>
        </w:rPr>
      </w:pPr>
    </w:p>
    <w:p>
      <w:pPr>
        <w:ind w:left="1240" w:right="1259" w:firstLine="287"/>
        <w:spacing w:after="0" w:line="254"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76" w:lineRule="exact"/>
        <w:rPr>
          <w:sz w:val="20"/>
          <w:szCs w:val="20"/>
          <w:color w:val="auto"/>
        </w:rPr>
      </w:pPr>
    </w:p>
    <w:p>
      <w:pPr>
        <w:ind w:left="1240" w:right="1299" w:firstLine="287"/>
        <w:spacing w:after="0" w:line="254"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87" w:lineRule="exact"/>
        <w:rPr>
          <w:sz w:val="20"/>
          <w:szCs w:val="20"/>
          <w:color w:val="auto"/>
        </w:rPr>
      </w:pPr>
    </w:p>
    <w:p>
      <w:pPr>
        <w:ind w:left="1240" w:right="1319" w:firstLine="287"/>
        <w:spacing w:after="0" w:line="277" w:lineRule="auto"/>
        <w:rPr>
          <w:sz w:val="20"/>
          <w:szCs w:val="20"/>
          <w:color w:val="auto"/>
        </w:rPr>
      </w:pPr>
      <w:r>
        <w:rPr>
          <w:rFonts w:ascii="Times New Roman" w:cs="Times New Roman" w:eastAsia="Times New Roman" w:hAnsi="Times New Roman"/>
          <w:sz w:val="14"/>
          <w:szCs w:val="14"/>
          <w:color w:val="auto"/>
        </w:rPr>
        <w:t>The applicable prospectus supplement for a series of debt securities that we issue will describe, among other things, the following terms of the offered debt securities:</w:t>
      </w:r>
    </w:p>
    <w:p>
      <w:pPr>
        <w:spacing w:after="0" w:line="38" w:lineRule="exact"/>
        <w:rPr>
          <w:sz w:val="20"/>
          <w:szCs w:val="20"/>
          <w:color w:val="auto"/>
        </w:rPr>
      </w:pPr>
    </w:p>
    <w:p>
      <w:pPr>
        <w:ind w:left="1660" w:hanging="143"/>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w:t>
      </w:r>
    </w:p>
    <w:p>
      <w:pPr>
        <w:spacing w:after="0" w:line="97" w:lineRule="exact"/>
        <w:rPr>
          <w:rFonts w:ascii="Times New Roman" w:cs="Times New Roman" w:eastAsia="Times New Roman" w:hAnsi="Times New Roman"/>
          <w:sz w:val="14"/>
          <w:szCs w:val="14"/>
          <w:color w:val="auto"/>
        </w:rPr>
      </w:pPr>
    </w:p>
    <w:p>
      <w:pPr>
        <w:ind w:left="1660" w:right="1319" w:hanging="143"/>
        <w:spacing w:after="0" w:line="294"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being offered, and, if a series, the total amount authorized and the total amount outstanding;</w:t>
      </w:r>
    </w:p>
    <w:p>
      <w:pPr>
        <w:spacing w:after="0" w:line="3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amount that may be issued;</w:t>
      </w:r>
    </w:p>
    <w:p>
      <w:pPr>
        <w:spacing w:after="0" w:line="97" w:lineRule="exact"/>
        <w:rPr>
          <w:rFonts w:ascii="Times New Roman" w:cs="Times New Roman" w:eastAsia="Times New Roman" w:hAnsi="Times New Roman"/>
          <w:sz w:val="14"/>
          <w:szCs w:val="14"/>
          <w:color w:val="auto"/>
        </w:rPr>
      </w:pPr>
    </w:p>
    <w:p>
      <w:pPr>
        <w:ind w:left="1660" w:right="1299" w:hanging="143"/>
        <w:spacing w:after="0" w:line="294"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we will issue the series of debt securities in global form and, if so, the terms and who the depositary will be;</w:t>
      </w:r>
    </w:p>
    <w:p>
      <w:pPr>
        <w:spacing w:after="0" w:line="25"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w:t>
      </w:r>
    </w:p>
    <w:p>
      <w:pPr>
        <w:spacing w:after="0" w:line="97" w:lineRule="exact"/>
        <w:rPr>
          <w:rFonts w:ascii="Times New Roman" w:cs="Times New Roman" w:eastAsia="Times New Roman" w:hAnsi="Times New Roman"/>
          <w:sz w:val="14"/>
          <w:szCs w:val="14"/>
          <w:color w:val="auto"/>
        </w:rPr>
      </w:pPr>
    </w:p>
    <w:p>
      <w:pPr>
        <w:ind w:left="1660" w:right="1299" w:hanging="143"/>
        <w:spacing w:after="0" w:line="294"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due at maturity, and whether the debt securities will be issued with any original issue discount;</w:t>
      </w:r>
    </w:p>
    <w:p>
      <w:pPr>
        <w:spacing w:after="0" w:line="36" w:lineRule="exact"/>
        <w:rPr>
          <w:rFonts w:ascii="Times New Roman" w:cs="Times New Roman" w:eastAsia="Times New Roman" w:hAnsi="Times New Roman"/>
          <w:sz w:val="14"/>
          <w:szCs w:val="14"/>
          <w:color w:val="auto"/>
        </w:rPr>
      </w:pPr>
    </w:p>
    <w:p>
      <w:pPr>
        <w:ind w:left="1660" w:right="1299" w:hanging="143"/>
        <w:spacing w:after="0" w:line="275"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49" w:lineRule="exact"/>
        <w:rPr>
          <w:rFonts w:ascii="Times New Roman" w:cs="Times New Roman" w:eastAsia="Times New Roman" w:hAnsi="Times New Roman"/>
          <w:sz w:val="14"/>
          <w:szCs w:val="14"/>
          <w:color w:val="auto"/>
        </w:rPr>
      </w:pPr>
    </w:p>
    <w:p>
      <w:pPr>
        <w:jc w:val="both"/>
        <w:ind w:left="1660" w:right="1379" w:hanging="143"/>
        <w:spacing w:after="0" w:line="275"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 w:name="page15"/>
    <w:bookmarkEnd w:id="14"/>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60" w:hanging="143"/>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8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subordination of any series of subordinated debt;</w:t>
      </w:r>
    </w:p>
    <w:p>
      <w:pPr>
        <w:spacing w:after="0" w:line="8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and terms of any guarantee of any debt securities;</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where payments will be payable;</w:t>
      </w:r>
    </w:p>
    <w:p>
      <w:pPr>
        <w:spacing w:after="0" w:line="8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or other assignment, if any;</w:t>
      </w:r>
    </w:p>
    <w:p>
      <w:pPr>
        <w:spacing w:after="0" w:line="8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86" w:lineRule="exact"/>
        <w:rPr>
          <w:rFonts w:ascii="Times New Roman" w:cs="Times New Roman" w:eastAsia="Times New Roman" w:hAnsi="Times New Roman"/>
          <w:sz w:val="14"/>
          <w:szCs w:val="14"/>
          <w:color w:val="auto"/>
        </w:rPr>
      </w:pPr>
    </w:p>
    <w:p>
      <w:pPr>
        <w:ind w:left="1660" w:right="1259" w:hanging="143"/>
        <w:spacing w:after="0" w:line="275"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after which, the conditions upon which, and the price at which we may, at our option, redeem the series of debt securities pursuant to any optional or provisional redemption provisions, and any other applicable terms of those redemption provisions;</w:t>
      </w:r>
    </w:p>
    <w:p>
      <w:pPr>
        <w:spacing w:after="0" w:line="38"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a sinking fund purchase or other analogous fund, if any;</w:t>
      </w:r>
    </w:p>
    <w:p>
      <w:pPr>
        <w:spacing w:after="0" w:line="86" w:lineRule="exact"/>
        <w:rPr>
          <w:rFonts w:ascii="Times New Roman" w:cs="Times New Roman" w:eastAsia="Times New Roman" w:hAnsi="Times New Roman"/>
          <w:sz w:val="14"/>
          <w:szCs w:val="14"/>
          <w:color w:val="auto"/>
        </w:rPr>
      </w:pPr>
    </w:p>
    <w:p>
      <w:pPr>
        <w:jc w:val="both"/>
        <w:ind w:left="1660" w:right="1679" w:hanging="143"/>
        <w:spacing w:after="0" w:line="275"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which, and the price at which we are obligated, pursuant to any mandatory sinking fund or analogous fund provisions or otherwise, to redeem, or at the holder’s option to purchase, the series of debt securities;</w:t>
      </w:r>
    </w:p>
    <w:p>
      <w:pPr>
        <w:spacing w:after="0" w:line="38"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indenture will restrict our ability and/or the ability of our subsidiaries to:</w:t>
      </w:r>
    </w:p>
    <w:p>
      <w:pPr>
        <w:spacing w:after="0" w:line="86" w:lineRule="exact"/>
        <w:rPr>
          <w:rFonts w:ascii="Times New Roman" w:cs="Times New Roman" w:eastAsia="Times New Roman" w:hAnsi="Times New Roman"/>
          <w:sz w:val="14"/>
          <w:szCs w:val="14"/>
          <w:color w:val="auto"/>
        </w:rPr>
      </w:pPr>
    </w:p>
    <w:p>
      <w:pPr>
        <w:ind w:left="1940" w:hanging="135"/>
        <w:spacing w:after="0"/>
        <w:tabs>
          <w:tab w:leader="none" w:pos="1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w:t>
      </w:r>
    </w:p>
    <w:p>
      <w:pPr>
        <w:spacing w:after="0" w:line="86" w:lineRule="exact"/>
        <w:rPr>
          <w:rFonts w:ascii="Times New Roman" w:cs="Times New Roman" w:eastAsia="Times New Roman" w:hAnsi="Times New Roman"/>
          <w:sz w:val="14"/>
          <w:szCs w:val="14"/>
          <w:color w:val="auto"/>
        </w:rPr>
      </w:pPr>
    </w:p>
    <w:p>
      <w:pPr>
        <w:ind w:left="1940" w:hanging="135"/>
        <w:spacing w:after="0"/>
        <w:tabs>
          <w:tab w:leader="none" w:pos="1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additional securities;</w:t>
      </w:r>
    </w:p>
    <w:p>
      <w:pPr>
        <w:spacing w:after="0" w:line="86" w:lineRule="exact"/>
        <w:rPr>
          <w:rFonts w:ascii="Times New Roman" w:cs="Times New Roman" w:eastAsia="Times New Roman" w:hAnsi="Times New Roman"/>
          <w:sz w:val="14"/>
          <w:szCs w:val="14"/>
          <w:color w:val="auto"/>
        </w:rPr>
      </w:pPr>
    </w:p>
    <w:p>
      <w:pPr>
        <w:ind w:left="1940" w:hanging="135"/>
        <w:spacing w:after="0"/>
        <w:tabs>
          <w:tab w:leader="none" w:pos="1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w:t>
      </w:r>
    </w:p>
    <w:p>
      <w:pPr>
        <w:spacing w:after="0" w:line="86" w:lineRule="exact"/>
        <w:rPr>
          <w:rFonts w:ascii="Times New Roman" w:cs="Times New Roman" w:eastAsia="Times New Roman" w:hAnsi="Times New Roman"/>
          <w:sz w:val="14"/>
          <w:szCs w:val="14"/>
          <w:color w:val="auto"/>
        </w:rPr>
      </w:pPr>
    </w:p>
    <w:p>
      <w:pPr>
        <w:ind w:left="1940" w:right="1539" w:hanging="135"/>
        <w:spacing w:after="0" w:line="294" w:lineRule="auto"/>
        <w:tabs>
          <w:tab w:leader="none" w:pos="1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make distributions in respect of our capital stock and the capital stock of our subsidiaries, or transfer assets;</w:t>
      </w:r>
    </w:p>
    <w:p>
      <w:pPr>
        <w:spacing w:after="0" w:line="25" w:lineRule="exact"/>
        <w:rPr>
          <w:rFonts w:ascii="Times New Roman" w:cs="Times New Roman" w:eastAsia="Times New Roman" w:hAnsi="Times New Roman"/>
          <w:sz w:val="14"/>
          <w:szCs w:val="14"/>
          <w:color w:val="auto"/>
        </w:rPr>
      </w:pPr>
    </w:p>
    <w:p>
      <w:pPr>
        <w:ind w:left="1940" w:hanging="135"/>
        <w:spacing w:after="0"/>
        <w:tabs>
          <w:tab w:leader="none" w:pos="1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redeem capital stock;</w:t>
      </w:r>
    </w:p>
    <w:p>
      <w:pPr>
        <w:spacing w:after="0" w:line="86" w:lineRule="exact"/>
        <w:rPr>
          <w:rFonts w:ascii="Times New Roman" w:cs="Times New Roman" w:eastAsia="Times New Roman" w:hAnsi="Times New Roman"/>
          <w:sz w:val="14"/>
          <w:szCs w:val="14"/>
          <w:color w:val="auto"/>
        </w:rPr>
      </w:pPr>
    </w:p>
    <w:p>
      <w:pPr>
        <w:ind w:left="1940" w:hanging="135"/>
        <w:spacing w:after="0"/>
        <w:tabs>
          <w:tab w:leader="none" w:pos="1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or other restricted payments;</w:t>
      </w:r>
    </w:p>
    <w:p>
      <w:pPr>
        <w:spacing w:after="0" w:line="86" w:lineRule="exact"/>
        <w:rPr>
          <w:rFonts w:ascii="Times New Roman" w:cs="Times New Roman" w:eastAsia="Times New Roman" w:hAnsi="Times New Roman"/>
          <w:sz w:val="14"/>
          <w:szCs w:val="14"/>
          <w:color w:val="auto"/>
        </w:rPr>
      </w:pPr>
    </w:p>
    <w:p>
      <w:pPr>
        <w:ind w:left="1940" w:hanging="135"/>
        <w:spacing w:after="0"/>
        <w:tabs>
          <w:tab w:leader="none" w:pos="1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otherwise dispose of assets;</w:t>
      </w:r>
    </w:p>
    <w:p>
      <w:pPr>
        <w:spacing w:after="0" w:line="86" w:lineRule="exact"/>
        <w:rPr>
          <w:rFonts w:ascii="Times New Roman" w:cs="Times New Roman" w:eastAsia="Times New Roman" w:hAnsi="Times New Roman"/>
          <w:sz w:val="14"/>
          <w:szCs w:val="14"/>
          <w:color w:val="auto"/>
        </w:rPr>
      </w:pPr>
    </w:p>
    <w:p>
      <w:pPr>
        <w:ind w:left="1940" w:hanging="135"/>
        <w:spacing w:after="0"/>
        <w:tabs>
          <w:tab w:leader="none" w:pos="1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sale-leaseback transactions;</w:t>
      </w:r>
    </w:p>
    <w:p>
      <w:pPr>
        <w:spacing w:after="0" w:line="86" w:lineRule="exact"/>
        <w:rPr>
          <w:rFonts w:ascii="Times New Roman" w:cs="Times New Roman" w:eastAsia="Times New Roman" w:hAnsi="Times New Roman"/>
          <w:sz w:val="14"/>
          <w:szCs w:val="14"/>
          <w:color w:val="auto"/>
        </w:rPr>
      </w:pPr>
    </w:p>
    <w:p>
      <w:pPr>
        <w:ind w:left="1940" w:hanging="135"/>
        <w:spacing w:after="0"/>
        <w:tabs>
          <w:tab w:leader="none" w:pos="1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transactions with shareholders and affiliates;</w:t>
      </w:r>
    </w:p>
    <w:p>
      <w:pPr>
        <w:spacing w:after="0" w:line="86" w:lineRule="exact"/>
        <w:rPr>
          <w:rFonts w:ascii="Times New Roman" w:cs="Times New Roman" w:eastAsia="Times New Roman" w:hAnsi="Times New Roman"/>
          <w:sz w:val="14"/>
          <w:szCs w:val="14"/>
          <w:color w:val="auto"/>
        </w:rPr>
      </w:pPr>
    </w:p>
    <w:p>
      <w:pPr>
        <w:ind w:left="1940" w:hanging="135"/>
        <w:spacing w:after="0"/>
        <w:tabs>
          <w:tab w:leader="none" w:pos="1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or sell stock of our subsidiaries; or</w:t>
      </w:r>
    </w:p>
    <w:p>
      <w:pPr>
        <w:spacing w:after="0" w:line="86" w:lineRule="exact"/>
        <w:rPr>
          <w:rFonts w:ascii="Times New Roman" w:cs="Times New Roman" w:eastAsia="Times New Roman" w:hAnsi="Times New Roman"/>
          <w:sz w:val="14"/>
          <w:szCs w:val="14"/>
          <w:color w:val="auto"/>
        </w:rPr>
      </w:pPr>
    </w:p>
    <w:p>
      <w:pPr>
        <w:ind w:left="1940" w:hanging="135"/>
        <w:spacing w:after="0"/>
        <w:tabs>
          <w:tab w:leader="none" w:pos="1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a consolidation or merger;</w:t>
      </w:r>
    </w:p>
    <w:p>
      <w:pPr>
        <w:spacing w:after="0" w:line="86" w:lineRule="exact"/>
        <w:rPr>
          <w:rFonts w:ascii="Times New Roman" w:cs="Times New Roman" w:eastAsia="Times New Roman" w:hAnsi="Times New Roman"/>
          <w:sz w:val="14"/>
          <w:szCs w:val="14"/>
          <w:color w:val="auto"/>
        </w:rPr>
      </w:pPr>
    </w:p>
    <w:p>
      <w:pPr>
        <w:ind w:left="1660" w:right="1559" w:hanging="143"/>
        <w:spacing w:after="0" w:line="294"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indenture will require us to maintain any interest coverage, fixed charge, cash flow-based, asset-based, or other financial ratios;</w:t>
      </w:r>
    </w:p>
    <w:p>
      <w:pPr>
        <w:spacing w:after="0" w:line="25"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describing any book-entry features;</w:t>
      </w:r>
    </w:p>
    <w:p>
      <w:pPr>
        <w:spacing w:after="0" w:line="8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any auction and remarketing, if any;</w:t>
      </w:r>
    </w:p>
    <w:p>
      <w:pPr>
        <w:spacing w:after="0" w:line="86" w:lineRule="exact"/>
        <w:rPr>
          <w:rFonts w:ascii="Times New Roman" w:cs="Times New Roman" w:eastAsia="Times New Roman" w:hAnsi="Times New Roman"/>
          <w:sz w:val="14"/>
          <w:szCs w:val="14"/>
          <w:color w:val="auto"/>
        </w:rPr>
      </w:pPr>
    </w:p>
    <w:p>
      <w:pPr>
        <w:ind w:left="1660" w:right="1299" w:hanging="143"/>
        <w:spacing w:after="0" w:line="294"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25"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dollars, the currency in which the series of debt securities will be denominated; and</w:t>
      </w:r>
    </w:p>
    <w:p>
      <w:pPr>
        <w:spacing w:after="0" w:line="86" w:lineRule="exact"/>
        <w:rPr>
          <w:rFonts w:ascii="Times New Roman" w:cs="Times New Roman" w:eastAsia="Times New Roman" w:hAnsi="Times New Roman"/>
          <w:sz w:val="14"/>
          <w:szCs w:val="14"/>
          <w:color w:val="auto"/>
        </w:rPr>
      </w:pPr>
    </w:p>
    <w:p>
      <w:pPr>
        <w:ind w:left="1660" w:right="1359" w:hanging="143"/>
        <w:spacing w:after="0" w:line="266"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which may be required by us or advisable under applicable laws or regulations or advisable in connection with the marketing of the debt securities.</w:t>
      </w:r>
    </w:p>
    <w:p>
      <w:pPr>
        <w:spacing w:after="0" w:line="77" w:lineRule="exact"/>
        <w:rPr>
          <w:sz w:val="20"/>
          <w:szCs w:val="20"/>
          <w:color w:val="auto"/>
        </w:rPr>
      </w:pPr>
    </w:p>
    <w:p>
      <w:pPr>
        <w:jc w:val="both"/>
        <w:ind w:left="1240" w:right="1359" w:firstLine="287"/>
        <w:spacing w:after="0" w:line="267" w:lineRule="auto"/>
        <w:rPr>
          <w:sz w:val="20"/>
          <w:szCs w:val="20"/>
          <w:color w:val="auto"/>
        </w:rPr>
      </w:pPr>
      <w:r>
        <w:rPr>
          <w:rFonts w:ascii="Times New Roman" w:cs="Times New Roman" w:eastAsia="Times New Roman" w:hAnsi="Times New Roman"/>
          <w:sz w:val="14"/>
          <w:szCs w:val="14"/>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77" w:lineRule="exact"/>
        <w:rPr>
          <w:sz w:val="20"/>
          <w:szCs w:val="20"/>
          <w:color w:val="auto"/>
        </w:rPr>
      </w:pPr>
    </w:p>
    <w:p>
      <w:pPr>
        <w:ind w:left="1240" w:right="1259" w:firstLine="287"/>
        <w:spacing w:after="0" w:line="277"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all debt securities of any one series need not be issued at the same time and may be issued from time to time without consent of any holder.</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 w:name="page16"/>
    <w:bookmarkEnd w:id="15"/>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Senior Debt Securities</w:t>
      </w:r>
    </w:p>
    <w:p>
      <w:pPr>
        <w:spacing w:after="0" w:line="132" w:lineRule="exact"/>
        <w:rPr>
          <w:sz w:val="20"/>
          <w:szCs w:val="20"/>
          <w:color w:val="auto"/>
        </w:rPr>
      </w:pPr>
    </w:p>
    <w:p>
      <w:pPr>
        <w:ind w:left="1240" w:right="1279" w:firstLine="287"/>
        <w:spacing w:after="0" w:line="294" w:lineRule="auto"/>
        <w:rPr>
          <w:sz w:val="20"/>
          <w:szCs w:val="20"/>
          <w:color w:val="auto"/>
        </w:rPr>
      </w:pPr>
      <w:r>
        <w:rPr>
          <w:rFonts w:ascii="Times New Roman" w:cs="Times New Roman" w:eastAsia="Times New Roman" w:hAnsi="Times New Roman"/>
          <w:sz w:val="14"/>
          <w:szCs w:val="14"/>
          <w:color w:val="auto"/>
        </w:rPr>
        <w:t>Payment of the principal of, premium, if any, and interest on senior debt securities will rank on a parity with all of our other existing and future unsecured and unsubordinated debt.</w:t>
      </w:r>
    </w:p>
    <w:p>
      <w:pPr>
        <w:spacing w:after="0" w:line="1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Senior Subordinated Debt Securities</w:t>
      </w:r>
    </w:p>
    <w:p>
      <w:pPr>
        <w:spacing w:after="0" w:line="132" w:lineRule="exact"/>
        <w:rPr>
          <w:sz w:val="20"/>
          <w:szCs w:val="20"/>
          <w:color w:val="auto"/>
        </w:rPr>
      </w:pPr>
    </w:p>
    <w:p>
      <w:pPr>
        <w:ind w:left="1240" w:right="1279" w:firstLine="287"/>
        <w:spacing w:after="0" w:line="263" w:lineRule="auto"/>
        <w:rPr>
          <w:sz w:val="20"/>
          <w:szCs w:val="20"/>
          <w:color w:val="auto"/>
        </w:rPr>
      </w:pPr>
      <w:r>
        <w:rPr>
          <w:rFonts w:ascii="Times New Roman" w:cs="Times New Roman" w:eastAsia="Times New Roman" w:hAnsi="Times New Roman"/>
          <w:sz w:val="14"/>
          <w:szCs w:val="14"/>
          <w:color w:val="auto"/>
        </w:rPr>
        <w:t>Payment of the principal of, premium, if any, and interest on senior subordinated debt securities will be junior in right of payment to the prior payment in full of all of our existing and future unsecured and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prospectus supplement limitations, if any, on issuance of additional senior debt securities or additional senior subordinated debt securities.</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Subordinated Debt Securities</w:t>
      </w:r>
    </w:p>
    <w:p>
      <w:pPr>
        <w:spacing w:after="0" w:line="121" w:lineRule="exact"/>
        <w:rPr>
          <w:sz w:val="20"/>
          <w:szCs w:val="20"/>
          <w:color w:val="auto"/>
        </w:rPr>
      </w:pPr>
    </w:p>
    <w:p>
      <w:pPr>
        <w:ind w:left="1240" w:right="1399" w:firstLine="287"/>
        <w:spacing w:after="0" w:line="262" w:lineRule="auto"/>
        <w:rPr>
          <w:sz w:val="20"/>
          <w:szCs w:val="20"/>
          <w:color w:val="auto"/>
        </w:rPr>
      </w:pPr>
      <w:r>
        <w:rPr>
          <w:rFonts w:ascii="Times New Roman" w:cs="Times New Roman" w:eastAsia="Times New Roman" w:hAnsi="Times New Roman"/>
          <w:sz w:val="14"/>
          <w:szCs w:val="14"/>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 securities, additional senior subordinated debt securities, or additional subordinated debt securities.</w:t>
      </w:r>
    </w:p>
    <w:p>
      <w:pPr>
        <w:spacing w:after="0" w:line="3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Junior Subordinated Debt Securities</w:t>
      </w:r>
    </w:p>
    <w:p>
      <w:pPr>
        <w:spacing w:after="0" w:line="132" w:lineRule="exact"/>
        <w:rPr>
          <w:sz w:val="20"/>
          <w:szCs w:val="20"/>
          <w:color w:val="auto"/>
        </w:rPr>
      </w:pPr>
    </w:p>
    <w:p>
      <w:pPr>
        <w:ind w:left="1240" w:right="1279" w:firstLine="287"/>
        <w:spacing w:after="0" w:line="263" w:lineRule="auto"/>
        <w:rPr>
          <w:sz w:val="20"/>
          <w:szCs w:val="20"/>
          <w:color w:val="auto"/>
        </w:rPr>
      </w:pPr>
      <w:r>
        <w:rPr>
          <w:rFonts w:ascii="Times New Roman" w:cs="Times New Roman" w:eastAsia="Times New Roman" w:hAnsi="Times New Roman"/>
          <w:sz w:val="14"/>
          <w:szCs w:val="14"/>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 securities.</w:t>
      </w:r>
    </w:p>
    <w:p>
      <w:pPr>
        <w:spacing w:after="0" w:line="3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132" w:lineRule="exact"/>
        <w:rPr>
          <w:sz w:val="20"/>
          <w:szCs w:val="20"/>
          <w:color w:val="auto"/>
        </w:rPr>
      </w:pPr>
    </w:p>
    <w:p>
      <w:pPr>
        <w:ind w:left="1240" w:right="1319" w:firstLine="287"/>
        <w:spacing w:after="0" w:line="275" w:lineRule="auto"/>
        <w:rPr>
          <w:sz w:val="20"/>
          <w:szCs w:val="20"/>
          <w:color w:val="auto"/>
        </w:rPr>
      </w:pPr>
      <w:r>
        <w:rPr>
          <w:rFonts w:ascii="Times New Roman" w:cs="Times New Roman" w:eastAsia="Times New Roman" w:hAnsi="Times New Roman"/>
          <w:sz w:val="14"/>
          <w:szCs w:val="14"/>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50" w:lineRule="exact"/>
        <w:rPr>
          <w:sz w:val="20"/>
          <w:szCs w:val="20"/>
          <w:color w:val="auto"/>
        </w:rPr>
      </w:pPr>
    </w:p>
    <w:p>
      <w:pPr>
        <w:ind w:left="1660" w:hanging="143"/>
        <w:spacing w:after="0"/>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or exchange price;</w:t>
      </w:r>
    </w:p>
    <w:p>
      <w:pPr>
        <w:spacing w:after="0" w:line="108"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or exchange period;</w:t>
      </w:r>
    </w:p>
    <w:p>
      <w:pPr>
        <w:spacing w:after="0" w:line="108"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regarding the ability of us or the holder to convert or exchange the debt securities;</w:t>
      </w:r>
    </w:p>
    <w:p>
      <w:pPr>
        <w:spacing w:after="0" w:line="119"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requiring adjustment to the conversion or exchange price; and</w:t>
      </w:r>
    </w:p>
    <w:p>
      <w:pPr>
        <w:spacing w:after="0" w:line="108"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affecting conversion or exchange in the event of our redemption of the debt securities.</w:t>
      </w:r>
    </w:p>
    <w:p>
      <w:pPr>
        <w:spacing w:after="0" w:line="1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132" w:lineRule="exact"/>
        <w:rPr>
          <w:sz w:val="20"/>
          <w:szCs w:val="20"/>
          <w:color w:val="auto"/>
        </w:rPr>
      </w:pPr>
    </w:p>
    <w:p>
      <w:pPr>
        <w:ind w:left="1240" w:right="1259" w:firstLine="287"/>
        <w:spacing w:after="0" w:line="266" w:lineRule="auto"/>
        <w:rPr>
          <w:sz w:val="20"/>
          <w:szCs w:val="20"/>
          <w:color w:val="auto"/>
        </w:rPr>
      </w:pPr>
      <w:r>
        <w:rPr>
          <w:rFonts w:ascii="Times New Roman" w:cs="Times New Roman" w:eastAsia="Times New Roman" w:hAnsi="Times New Roman"/>
          <w:sz w:val="14"/>
          <w:szCs w:val="14"/>
          <w:color w:val="auto"/>
        </w:rPr>
        <w:t>The indenture filed as an exhibit to the registration statement of which this prospectus is a part does not contain any covenant that restricts our ability to merge or consolidate, or sell, convey, transfer, or otherwise dispose of all or substantially all of our assets. However, any successor of ours or acquiror of such assets must assume all of our obligations under the indenture and the debt securities and must be organized under the laws of the United States, any state thereof, or the District of Columbia.</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 w:name="page17"/>
    <w:bookmarkEnd w:id="16"/>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40" w:right="1299" w:firstLine="287"/>
        <w:spacing w:after="0" w:line="258" w:lineRule="auto"/>
        <w:rPr>
          <w:sz w:val="20"/>
          <w:szCs w:val="20"/>
          <w:color w:val="auto"/>
        </w:rPr>
      </w:pPr>
      <w:r>
        <w:rPr>
          <w:rFonts w:ascii="Times New Roman" w:cs="Times New Roman" w:eastAsia="Times New Roman" w:hAnsi="Times New Roman"/>
          <w:sz w:val="14"/>
          <w:szCs w:val="14"/>
          <w:color w:val="auto"/>
        </w:rPr>
        <w:t>If the debt securities are convertible for our other securities, the person with whom we consolidate or merge or to whom we sell all of our property must make provisions for the conversion of the debt securities into securities which the holders of the debt securities would have received if they had converted the debt securities before the consolidation, merger, or sale.</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21" w:lineRule="exact"/>
        <w:rPr>
          <w:sz w:val="20"/>
          <w:szCs w:val="20"/>
          <w:color w:val="auto"/>
        </w:rPr>
      </w:pPr>
    </w:p>
    <w:p>
      <w:pPr>
        <w:ind w:left="1240" w:right="1539" w:firstLine="287"/>
        <w:spacing w:after="0" w:line="294" w:lineRule="auto"/>
        <w:rPr>
          <w:sz w:val="20"/>
          <w:szCs w:val="20"/>
          <w:color w:val="auto"/>
        </w:rPr>
      </w:pPr>
      <w:r>
        <w:rPr>
          <w:rFonts w:ascii="Times New Roman" w:cs="Times New Roman" w:eastAsia="Times New Roman" w:hAnsi="Times New Roman"/>
          <w:sz w:val="14"/>
          <w:szCs w:val="14"/>
          <w:color w:val="auto"/>
        </w:rPr>
        <w:t>Unless otherwise indicated, the term “Event of Default,” when used in the indenture in respect of a series of debt securities, means any of the following:</w:t>
      </w:r>
    </w:p>
    <w:p>
      <w:pPr>
        <w:spacing w:after="0" w:line="26" w:lineRule="exact"/>
        <w:rPr>
          <w:sz w:val="20"/>
          <w:szCs w:val="20"/>
          <w:color w:val="auto"/>
        </w:rPr>
      </w:pPr>
    </w:p>
    <w:p>
      <w:pPr>
        <w:ind w:left="1660" w:right="1279" w:hanging="143"/>
        <w:spacing w:after="0" w:line="294"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interest when due and payable and our failure continues for 30 days and the time for payment has not been extended or deferred;</w:t>
      </w:r>
    </w:p>
    <w:p>
      <w:pPr>
        <w:spacing w:after="0" w:line="14" w:lineRule="exact"/>
        <w:rPr>
          <w:rFonts w:ascii="Times New Roman" w:cs="Times New Roman" w:eastAsia="Times New Roman" w:hAnsi="Times New Roman"/>
          <w:sz w:val="14"/>
          <w:szCs w:val="14"/>
          <w:color w:val="auto"/>
        </w:rPr>
      </w:pPr>
    </w:p>
    <w:p>
      <w:pPr>
        <w:ind w:left="1660" w:right="1439" w:hanging="143"/>
        <w:spacing w:after="0" w:line="294"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the principal, or premium, if any, when due and payable and the time for payment has not been extended or delayed;</w:t>
      </w:r>
    </w:p>
    <w:p>
      <w:pPr>
        <w:spacing w:after="0" w:line="25" w:lineRule="exact"/>
        <w:rPr>
          <w:rFonts w:ascii="Times New Roman" w:cs="Times New Roman" w:eastAsia="Times New Roman" w:hAnsi="Times New Roman"/>
          <w:sz w:val="14"/>
          <w:szCs w:val="14"/>
          <w:color w:val="auto"/>
        </w:rPr>
      </w:pPr>
    </w:p>
    <w:p>
      <w:pPr>
        <w:ind w:left="1660" w:right="1299" w:hanging="143"/>
        <w:spacing w:after="0" w:line="269"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contained in the debt securities or the indenture, other than a covenant specifically relating to another series of debt securities, and our failure continues for 90 days after we receive notice from the trustee or holders of at least 25% in aggregate principal amount of the outstanding debt securities of the applicable series;</w:t>
      </w:r>
    </w:p>
    <w:p>
      <w:pPr>
        <w:spacing w:after="0" w:line="42" w:lineRule="exact"/>
        <w:rPr>
          <w:rFonts w:ascii="Times New Roman" w:cs="Times New Roman" w:eastAsia="Times New Roman" w:hAnsi="Times New Roman"/>
          <w:sz w:val="14"/>
          <w:szCs w:val="14"/>
          <w:color w:val="auto"/>
        </w:rPr>
      </w:pPr>
    </w:p>
    <w:p>
      <w:pPr>
        <w:ind w:left="1660" w:right="1459" w:hanging="143"/>
        <w:spacing w:after="0" w:line="294"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in the applicable supplemental indenture or similar document under which we issue such series of debt securities; or</w:t>
      </w:r>
    </w:p>
    <w:p>
      <w:pPr>
        <w:spacing w:after="0" w:line="14"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in bankruptcy, insolvency, or reorganization of our company.</w:t>
      </w:r>
    </w:p>
    <w:p>
      <w:pPr>
        <w:spacing w:after="0" w:line="130" w:lineRule="exact"/>
        <w:rPr>
          <w:sz w:val="20"/>
          <w:szCs w:val="20"/>
          <w:color w:val="auto"/>
        </w:rPr>
      </w:pPr>
    </w:p>
    <w:p>
      <w:pPr>
        <w:ind w:left="1240" w:right="1259" w:firstLine="287"/>
        <w:spacing w:after="0" w:line="250"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will be due and payable without any notice or other action on the part of the trustee or any holder.</w:t>
      </w:r>
    </w:p>
    <w:p>
      <w:pPr>
        <w:spacing w:after="0" w:line="258" w:lineRule="exact"/>
        <w:rPr>
          <w:sz w:val="20"/>
          <w:szCs w:val="20"/>
          <w:color w:val="auto"/>
        </w:rPr>
      </w:pPr>
    </w:p>
    <w:p>
      <w:pPr>
        <w:jc w:val="both"/>
        <w:ind w:left="1240" w:right="1399" w:firstLine="287"/>
        <w:spacing w:after="0" w:line="258"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w:t>
      </w:r>
    </w:p>
    <w:p>
      <w:pPr>
        <w:spacing w:after="0" w:line="83" w:lineRule="exact"/>
        <w:rPr>
          <w:sz w:val="20"/>
          <w:szCs w:val="20"/>
          <w:color w:val="auto"/>
        </w:rPr>
      </w:pPr>
    </w:p>
    <w:p>
      <w:pPr>
        <w:ind w:left="1240" w:right="1259" w:firstLine="287"/>
        <w:spacing w:after="0" w:line="253" w:lineRule="auto"/>
        <w:rPr>
          <w:sz w:val="20"/>
          <w:szCs w:val="20"/>
          <w:color w:val="auto"/>
        </w:rPr>
      </w:pPr>
      <w:r>
        <w:rPr>
          <w:rFonts w:ascii="Times New Roman" w:cs="Times New Roman" w:eastAsia="Times New Roman" w:hAnsi="Times New Roman"/>
          <w:sz w:val="14"/>
          <w:szCs w:val="14"/>
          <w:color w:val="auto"/>
        </w:rPr>
        <w:t>Subject to the terms of the indenture, if an Event of Default under the indenture occurs and is continuing, the trustee will be under no obligation to exercise any of its rights or powers under the indenture at the request or direction of any of the holders of the applicable series of debt securities, unless such holders have offered the trustee reasonable indemnity. The holders of a majority in principal amount of</w:t>
      </w:r>
    </w:p>
    <w:p>
      <w:pPr>
        <w:spacing w:after="0" w:line="2" w:lineRule="exact"/>
        <w:rPr>
          <w:sz w:val="20"/>
          <w:szCs w:val="20"/>
          <w:color w:val="auto"/>
        </w:rPr>
      </w:pPr>
    </w:p>
    <w:p>
      <w:pPr>
        <w:ind w:left="1240" w:right="1619"/>
        <w:spacing w:after="0" w:line="249" w:lineRule="auto"/>
        <w:rPr>
          <w:sz w:val="20"/>
          <w:szCs w:val="20"/>
          <w:color w:val="auto"/>
        </w:rPr>
      </w:pPr>
      <w:r>
        <w:rPr>
          <w:rFonts w:ascii="Times New Roman" w:cs="Times New Roman" w:eastAsia="Times New Roman" w:hAnsi="Times New Roman"/>
          <w:sz w:val="14"/>
          <w:szCs w:val="14"/>
          <w:color w:val="auto"/>
        </w:rPr>
        <w:t>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56" w:lineRule="exact"/>
        <w:rPr>
          <w:sz w:val="20"/>
          <w:szCs w:val="20"/>
          <w:color w:val="auto"/>
        </w:rPr>
      </w:pPr>
    </w:p>
    <w:p>
      <w:pPr>
        <w:ind w:left="1660" w:hanging="143"/>
        <w:spacing w:after="0"/>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indenture; and</w:t>
      </w:r>
    </w:p>
    <w:p>
      <w:pPr>
        <w:spacing w:after="0" w:line="86" w:lineRule="exact"/>
        <w:rPr>
          <w:rFonts w:ascii="Times New Roman" w:cs="Times New Roman" w:eastAsia="Times New Roman" w:hAnsi="Times New Roman"/>
          <w:sz w:val="14"/>
          <w:szCs w:val="14"/>
          <w:color w:val="auto"/>
        </w:rPr>
      </w:pPr>
    </w:p>
    <w:p>
      <w:pPr>
        <w:ind w:left="1660" w:right="1519" w:hanging="143"/>
        <w:spacing w:after="0" w:line="275" w:lineRule="auto"/>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82" w:lineRule="exact"/>
        <w:rPr>
          <w:sz w:val="20"/>
          <w:szCs w:val="20"/>
          <w:color w:val="auto"/>
        </w:rPr>
      </w:pPr>
    </w:p>
    <w:p>
      <w:pPr>
        <w:ind w:left="1240" w:right="1339" w:firstLine="287"/>
        <w:spacing w:after="0" w:line="277" w:lineRule="auto"/>
        <w:rPr>
          <w:sz w:val="20"/>
          <w:szCs w:val="20"/>
          <w:color w:val="auto"/>
        </w:rPr>
      </w:pPr>
      <w:r>
        <w:rPr>
          <w:rFonts w:ascii="Times New Roman" w:cs="Times New Roman" w:eastAsia="Times New Roman" w:hAnsi="Times New Roman"/>
          <w:sz w:val="14"/>
          <w:szCs w:val="14"/>
          <w:color w:val="auto"/>
        </w:rPr>
        <w:t>A holder of the debt securities of any series will only have the right to institute a proceeding under the indenture or to appoint a receiver or trustee, or to seek other remedies if:</w:t>
      </w:r>
    </w:p>
    <w:p>
      <w:pPr>
        <w:spacing w:after="0" w:line="38" w:lineRule="exact"/>
        <w:rPr>
          <w:sz w:val="20"/>
          <w:szCs w:val="20"/>
          <w:color w:val="auto"/>
        </w:rPr>
      </w:pPr>
    </w:p>
    <w:p>
      <w:pPr>
        <w:ind w:left="1660" w:right="1259" w:hanging="143"/>
        <w:spacing w:after="0" w:line="267"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240" w:lineRule="exact"/>
        <w:rPr>
          <w:rFonts w:ascii="Times New Roman" w:cs="Times New Roman" w:eastAsia="Times New Roman" w:hAnsi="Times New Roman"/>
          <w:sz w:val="14"/>
          <w:szCs w:val="14"/>
          <w:color w:val="auto"/>
        </w:rPr>
      </w:pPr>
    </w:p>
    <w:p>
      <w:pPr>
        <w:ind w:left="1660" w:right="1319" w:hanging="143"/>
        <w:spacing w:after="0" w:line="275"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 and those holders have offered reasonable indemnity to the trustee to institute the proceeding as trustee; and</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 w:name="page18"/>
    <w:bookmarkEnd w:id="17"/>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60" w:right="1419" w:hanging="143"/>
        <w:spacing w:after="0" w:line="275"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82" w:lineRule="exact"/>
        <w:rPr>
          <w:sz w:val="20"/>
          <w:szCs w:val="20"/>
          <w:color w:val="auto"/>
        </w:rPr>
      </w:pPr>
    </w:p>
    <w:p>
      <w:pPr>
        <w:ind w:left="1240" w:right="1579" w:firstLine="287"/>
        <w:spacing w:after="0" w:line="294"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69" w:lineRule="exact"/>
        <w:rPr>
          <w:sz w:val="20"/>
          <w:szCs w:val="20"/>
          <w:color w:val="auto"/>
        </w:rPr>
      </w:pPr>
    </w:p>
    <w:p>
      <w:pPr>
        <w:ind w:left="1240" w:right="1279" w:firstLine="287"/>
        <w:spacing w:after="0" w:line="294" w:lineRule="auto"/>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w:t>
      </w:r>
    </w:p>
    <w:p>
      <w:pPr>
        <w:spacing w:after="0" w:line="1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21" w:lineRule="exact"/>
        <w:rPr>
          <w:sz w:val="20"/>
          <w:szCs w:val="20"/>
          <w:color w:val="auto"/>
        </w:rPr>
      </w:pPr>
    </w:p>
    <w:p>
      <w:pPr>
        <w:ind w:left="1240" w:right="1259" w:firstLine="287"/>
        <w:spacing w:after="0" w:line="261" w:lineRule="auto"/>
        <w:rPr>
          <w:sz w:val="20"/>
          <w:szCs w:val="20"/>
          <w:color w:val="auto"/>
        </w:rPr>
      </w:pPr>
      <w:r>
        <w:rPr>
          <w:rFonts w:ascii="Times New Roman" w:cs="Times New Roman" w:eastAsia="Times New Roman" w:hAnsi="Times New Roman"/>
          <w:sz w:val="14"/>
          <w:szCs w:val="14"/>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Discharge, Defeasance, and Covenant Defeasance</w:t>
      </w:r>
    </w:p>
    <w:p>
      <w:pPr>
        <w:spacing w:after="0" w:line="132" w:lineRule="exact"/>
        <w:rPr>
          <w:sz w:val="20"/>
          <w:szCs w:val="20"/>
          <w:color w:val="auto"/>
        </w:rPr>
      </w:pPr>
    </w:p>
    <w:p>
      <w:pPr>
        <w:ind w:left="1240" w:right="1439" w:firstLine="287"/>
        <w:spacing w:after="0" w:line="272" w:lineRule="auto"/>
        <w:rPr>
          <w:sz w:val="20"/>
          <w:szCs w:val="20"/>
          <w:color w:val="auto"/>
        </w:rPr>
      </w:pPr>
      <w:r>
        <w:rPr>
          <w:rFonts w:ascii="Times New Roman" w:cs="Times New Roman" w:eastAsia="Times New Roman" w:hAnsi="Times New Roman"/>
          <w:sz w:val="14"/>
          <w:szCs w:val="14"/>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260" w:lineRule="exact"/>
        <w:rPr>
          <w:sz w:val="20"/>
          <w:szCs w:val="20"/>
          <w:color w:val="auto"/>
        </w:rPr>
      </w:pPr>
    </w:p>
    <w:p>
      <w:pPr>
        <w:ind w:left="1240" w:right="1319" w:firstLine="287"/>
        <w:spacing w:after="0" w:line="263" w:lineRule="auto"/>
        <w:rPr>
          <w:sz w:val="20"/>
          <w:szCs w:val="20"/>
          <w:color w:val="auto"/>
        </w:rPr>
      </w:pPr>
      <w:r>
        <w:rPr>
          <w:rFonts w:ascii="Times New Roman" w:cs="Times New Roman" w:eastAsia="Times New Roman" w:hAnsi="Times New Roman"/>
          <w:sz w:val="14"/>
          <w:szCs w:val="14"/>
          <w:color w:val="auto"/>
        </w:rPr>
        <w:t>We may discharge some of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255" w:lineRule="exact"/>
        <w:rPr>
          <w:sz w:val="20"/>
          <w:szCs w:val="20"/>
          <w:color w:val="auto"/>
        </w:rPr>
      </w:pPr>
    </w:p>
    <w:p>
      <w:pPr>
        <w:ind w:left="1240" w:right="1319" w:firstLine="287"/>
        <w:spacing w:after="0" w:line="265"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242" w:lineRule="exact"/>
        <w:rPr>
          <w:sz w:val="20"/>
          <w:szCs w:val="20"/>
          <w:color w:val="auto"/>
        </w:rPr>
      </w:pPr>
    </w:p>
    <w:p>
      <w:pPr>
        <w:ind w:left="1660" w:right="1419" w:hanging="143"/>
        <w:spacing w:after="0" w:line="275" w:lineRule="auto"/>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49" w:lineRule="exact"/>
        <w:rPr>
          <w:rFonts w:ascii="Times New Roman" w:cs="Times New Roman" w:eastAsia="Times New Roman" w:hAnsi="Times New Roman"/>
          <w:sz w:val="14"/>
          <w:szCs w:val="14"/>
          <w:color w:val="auto"/>
        </w:rPr>
      </w:pPr>
    </w:p>
    <w:p>
      <w:pPr>
        <w:ind w:left="1660" w:right="1279" w:hanging="143"/>
        <w:spacing w:after="0" w:line="263" w:lineRule="auto"/>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 to the trustee an opinion of counsel from a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266" w:lineRule="exact"/>
        <w:rPr>
          <w:sz w:val="20"/>
          <w:szCs w:val="20"/>
          <w:color w:val="auto"/>
        </w:rPr>
      </w:pPr>
    </w:p>
    <w:p>
      <w:pPr>
        <w:ind w:left="1240" w:right="1399" w:firstLine="287"/>
        <w:spacing w:after="0" w:line="294" w:lineRule="auto"/>
        <w:rPr>
          <w:sz w:val="20"/>
          <w:szCs w:val="20"/>
          <w:color w:val="auto"/>
        </w:rPr>
      </w:pPr>
      <w:r>
        <w:rPr>
          <w:rFonts w:ascii="Times New Roman" w:cs="Times New Roman" w:eastAsia="Times New Roman" w:hAnsi="Times New Roman"/>
          <w:sz w:val="14"/>
          <w:szCs w:val="14"/>
          <w:color w:val="auto"/>
        </w:rPr>
        <w:t>Although we may discharge or defease our obligations under the indenture as described in the two preceding paragraphs, we may not avoid, among other things, our duty to register the transfer or exchange</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8" w:name="page19"/>
    <w:bookmarkEnd w:id="18"/>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40" w:right="1339"/>
        <w:spacing w:after="0" w:line="294" w:lineRule="auto"/>
        <w:rPr>
          <w:sz w:val="20"/>
          <w:szCs w:val="20"/>
          <w:color w:val="auto"/>
        </w:rPr>
      </w:pPr>
      <w:r>
        <w:rPr>
          <w:rFonts w:ascii="Times New Roman" w:cs="Times New Roman" w:eastAsia="Times New Roman" w:hAnsi="Times New Roman"/>
          <w:sz w:val="14"/>
          <w:szCs w:val="14"/>
          <w:color w:val="auto"/>
        </w:rPr>
        <w:t>of any series of debt securities, to replace any temporary, mutilated, destroyed, lost, or stolen series of debt securities or to maintain an office or agency in respect of any series of debt securities.</w:t>
      </w:r>
    </w:p>
    <w:p>
      <w:pPr>
        <w:spacing w:after="0" w:line="1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Modification of the Indenture; Waiver</w:t>
      </w:r>
    </w:p>
    <w:p>
      <w:pPr>
        <w:spacing w:after="0" w:line="132" w:lineRule="exact"/>
        <w:rPr>
          <w:sz w:val="20"/>
          <w:szCs w:val="20"/>
          <w:color w:val="auto"/>
        </w:rPr>
      </w:pPr>
    </w:p>
    <w:p>
      <w:pPr>
        <w:ind w:left="1240" w:right="1579" w:firstLine="287"/>
        <w:spacing w:after="0" w:line="294" w:lineRule="auto"/>
        <w:rPr>
          <w:sz w:val="20"/>
          <w:szCs w:val="20"/>
          <w:color w:val="auto"/>
        </w:rPr>
      </w:pPr>
      <w:r>
        <w:rPr>
          <w:rFonts w:ascii="Times New Roman" w:cs="Times New Roman" w:eastAsia="Times New Roman" w:hAnsi="Times New Roman"/>
          <w:sz w:val="14"/>
          <w:szCs w:val="14"/>
          <w:color w:val="auto"/>
        </w:rPr>
        <w:t>The indenture provides that we and the trustee may enter into supplemental indentures without the consent of the holders of debt securities of a series with respect to certain specific matters, including:</w:t>
      </w:r>
    </w:p>
    <w:p>
      <w:pPr>
        <w:spacing w:after="0" w:line="36" w:lineRule="exact"/>
        <w:rPr>
          <w:sz w:val="20"/>
          <w:szCs w:val="20"/>
          <w:color w:val="auto"/>
        </w:rPr>
      </w:pPr>
    </w:p>
    <w:p>
      <w:pPr>
        <w:ind w:left="1660" w:hanging="143"/>
        <w:spacing w:after="0"/>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described above under “— Consolidation, Merger, or Sale”;</w:t>
      </w:r>
    </w:p>
    <w:p>
      <w:pPr>
        <w:spacing w:after="0" w:line="108" w:lineRule="exact"/>
        <w:rPr>
          <w:rFonts w:ascii="Times New Roman" w:cs="Times New Roman" w:eastAsia="Times New Roman" w:hAnsi="Times New Roman"/>
          <w:sz w:val="14"/>
          <w:szCs w:val="14"/>
          <w:color w:val="auto"/>
        </w:rPr>
      </w:pPr>
    </w:p>
    <w:p>
      <w:pPr>
        <w:ind w:left="1660" w:right="1499" w:hanging="143"/>
        <w:spacing w:after="0" w:line="29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the indenture under the Trust Indenture Act;</w:t>
      </w:r>
    </w:p>
    <w:p>
      <w:pPr>
        <w:spacing w:after="0" w:line="36" w:lineRule="exact"/>
        <w:rPr>
          <w:rFonts w:ascii="Times New Roman" w:cs="Times New Roman" w:eastAsia="Times New Roman" w:hAnsi="Times New Roman"/>
          <w:sz w:val="14"/>
          <w:szCs w:val="14"/>
          <w:color w:val="auto"/>
        </w:rPr>
      </w:pPr>
    </w:p>
    <w:p>
      <w:pPr>
        <w:ind w:left="1660" w:right="1719" w:hanging="143"/>
        <w:spacing w:after="0" w:line="29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the indenture by a successor trustee;</w:t>
      </w:r>
    </w:p>
    <w:p>
      <w:pPr>
        <w:spacing w:after="0" w:line="3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and to make all appropriate changes for that purpose;</w:t>
      </w:r>
    </w:p>
    <w:p>
      <w:pPr>
        <w:spacing w:after="0" w:line="108" w:lineRule="exact"/>
        <w:rPr>
          <w:rFonts w:ascii="Times New Roman" w:cs="Times New Roman" w:eastAsia="Times New Roman" w:hAnsi="Times New Roman"/>
          <w:sz w:val="14"/>
          <w:szCs w:val="14"/>
          <w:color w:val="auto"/>
        </w:rPr>
      </w:pPr>
    </w:p>
    <w:p>
      <w:pPr>
        <w:ind w:left="1660" w:right="1399" w:hanging="143"/>
        <w:spacing w:after="0" w:line="29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issuance, authorization, and delivery of debt securities of any series;</w:t>
      </w:r>
    </w:p>
    <w:p>
      <w:pPr>
        <w:spacing w:after="0" w:line="36" w:lineRule="exact"/>
        <w:rPr>
          <w:rFonts w:ascii="Times New Roman" w:cs="Times New Roman" w:eastAsia="Times New Roman" w:hAnsi="Times New Roman"/>
          <w:sz w:val="14"/>
          <w:szCs w:val="14"/>
          <w:color w:val="auto"/>
        </w:rPr>
      </w:pPr>
    </w:p>
    <w:p>
      <w:pPr>
        <w:ind w:left="1660" w:right="1299" w:hanging="143"/>
        <w:spacing w:after="0" w:line="269"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p>
      <w:pPr>
        <w:spacing w:after="0" w:line="53" w:lineRule="exact"/>
        <w:rPr>
          <w:rFonts w:ascii="Times New Roman" w:cs="Times New Roman" w:eastAsia="Times New Roman" w:hAnsi="Times New Roman"/>
          <w:sz w:val="14"/>
          <w:szCs w:val="14"/>
          <w:color w:val="auto"/>
        </w:rPr>
      </w:pPr>
    </w:p>
    <w:p>
      <w:pPr>
        <w:ind w:left="1660" w:right="1699" w:hanging="143"/>
        <w:spacing w:after="0" w:line="29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anything that does not materially adversely affect the interests of any holder of debt securities of any series.</w:t>
      </w:r>
    </w:p>
    <w:p>
      <w:pPr>
        <w:spacing w:after="0" w:line="69" w:lineRule="exact"/>
        <w:rPr>
          <w:sz w:val="20"/>
          <w:szCs w:val="20"/>
          <w:color w:val="auto"/>
        </w:rPr>
      </w:pPr>
    </w:p>
    <w:p>
      <w:pPr>
        <w:ind w:left="1240" w:right="1259" w:firstLine="287"/>
        <w:spacing w:after="0" w:line="269" w:lineRule="auto"/>
        <w:rPr>
          <w:sz w:val="20"/>
          <w:szCs w:val="20"/>
          <w:color w:val="auto"/>
        </w:rPr>
      </w:pPr>
      <w:r>
        <w:rPr>
          <w:rFonts w:ascii="Times New Roman" w:cs="Times New Roman" w:eastAsia="Times New Roman" w:hAnsi="Times New Roman"/>
          <w:sz w:val="14"/>
          <w:szCs w:val="14"/>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w:t>
      </w:r>
    </w:p>
    <w:p>
      <w:pPr>
        <w:spacing w:after="0" w:line="54" w:lineRule="exact"/>
        <w:rPr>
          <w:sz w:val="20"/>
          <w:szCs w:val="20"/>
          <w:color w:val="auto"/>
        </w:rPr>
      </w:pPr>
    </w:p>
    <w:p>
      <w:pPr>
        <w:ind w:left="1660" w:hanging="143"/>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the series of debt securities;</w:t>
      </w:r>
    </w:p>
    <w:p>
      <w:pPr>
        <w:spacing w:after="0" w:line="97" w:lineRule="exact"/>
        <w:rPr>
          <w:rFonts w:ascii="Times New Roman" w:cs="Times New Roman" w:eastAsia="Times New Roman" w:hAnsi="Times New Roman"/>
          <w:sz w:val="14"/>
          <w:szCs w:val="14"/>
          <w:color w:val="auto"/>
        </w:rPr>
      </w:pPr>
    </w:p>
    <w:p>
      <w:pPr>
        <w:ind w:left="1660" w:right="1399" w:hanging="143"/>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of any debt securities;</w:t>
      </w:r>
    </w:p>
    <w:p>
      <w:pPr>
        <w:spacing w:after="0" w:line="47" w:lineRule="exact"/>
        <w:rPr>
          <w:rFonts w:ascii="Times New Roman" w:cs="Times New Roman" w:eastAsia="Times New Roman" w:hAnsi="Times New Roman"/>
          <w:sz w:val="14"/>
          <w:szCs w:val="14"/>
          <w:color w:val="auto"/>
        </w:rPr>
      </w:pPr>
    </w:p>
    <w:p>
      <w:pPr>
        <w:ind w:left="1660" w:right="1719" w:hanging="143"/>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any amounts due on debt securities of any series or payable upon acceleration of the maturity of debt securities of any series following an Event of Default;</w:t>
      </w:r>
    </w:p>
    <w:p>
      <w:pPr>
        <w:spacing w:after="0" w:line="36" w:lineRule="exact"/>
        <w:rPr>
          <w:rFonts w:ascii="Times New Roman" w:cs="Times New Roman" w:eastAsia="Times New Roman" w:hAnsi="Times New Roman"/>
          <w:sz w:val="14"/>
          <w:szCs w:val="14"/>
          <w:color w:val="auto"/>
        </w:rPr>
      </w:pPr>
    </w:p>
    <w:p>
      <w:pPr>
        <w:ind w:left="1660" w:right="1279" w:hanging="143"/>
        <w:spacing w:after="0" w:line="275"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affecting any right of repayment at the holder’s option if such option is applicable to the debt securities of such series in accordance with the redemption or repurchase of such debt securities pursuant to any sinking fund, mandatory redemption, or analogous provision;</w:t>
      </w:r>
    </w:p>
    <w:p>
      <w:pPr>
        <w:spacing w:after="0" w:line="49" w:lineRule="exact"/>
        <w:rPr>
          <w:rFonts w:ascii="Times New Roman" w:cs="Times New Roman" w:eastAsia="Times New Roman" w:hAnsi="Times New Roman"/>
          <w:sz w:val="14"/>
          <w:szCs w:val="14"/>
          <w:color w:val="auto"/>
        </w:rPr>
      </w:pPr>
    </w:p>
    <w:p>
      <w:pPr>
        <w:ind w:left="1660" w:right="1639" w:hanging="143"/>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changing the place (except as otherwise permitted by the terms of the indenture) or currency of payment on the debt securities of such series;</w:t>
      </w:r>
    </w:p>
    <w:p>
      <w:pPr>
        <w:spacing w:after="0" w:line="36" w:lineRule="exact"/>
        <w:rPr>
          <w:rFonts w:ascii="Times New Roman" w:cs="Times New Roman" w:eastAsia="Times New Roman" w:hAnsi="Times New Roman"/>
          <w:sz w:val="14"/>
          <w:szCs w:val="14"/>
          <w:color w:val="auto"/>
        </w:rPr>
      </w:pPr>
    </w:p>
    <w:p>
      <w:pPr>
        <w:ind w:left="1660" w:right="1319" w:hanging="143"/>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modifying the debt securities of such series to contractually subordinate such debt securities in right of payment to our other indebtedness;</w:t>
      </w:r>
    </w:p>
    <w:p>
      <w:pPr>
        <w:spacing w:after="0" w:line="36" w:lineRule="exact"/>
        <w:rPr>
          <w:rFonts w:ascii="Times New Roman" w:cs="Times New Roman" w:eastAsia="Times New Roman" w:hAnsi="Times New Roman"/>
          <w:sz w:val="14"/>
          <w:szCs w:val="14"/>
          <w:color w:val="auto"/>
        </w:rPr>
      </w:pPr>
    </w:p>
    <w:p>
      <w:pPr>
        <w:ind w:left="1660" w:right="1719" w:hanging="143"/>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supplemental indenture;</w:t>
      </w:r>
    </w:p>
    <w:p>
      <w:pPr>
        <w:spacing w:after="0" w:line="36" w:lineRule="exact"/>
        <w:rPr>
          <w:rFonts w:ascii="Times New Roman" w:cs="Times New Roman" w:eastAsia="Times New Roman" w:hAnsi="Times New Roman"/>
          <w:sz w:val="14"/>
          <w:szCs w:val="14"/>
          <w:color w:val="auto"/>
        </w:rPr>
      </w:pPr>
    </w:p>
    <w:p>
      <w:pPr>
        <w:ind w:left="1660" w:right="1299" w:hanging="143"/>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the waiver of certain defaults; and</w:t>
      </w:r>
    </w:p>
    <w:p>
      <w:pPr>
        <w:spacing w:after="0" w:line="36" w:lineRule="exact"/>
        <w:rPr>
          <w:rFonts w:ascii="Times New Roman" w:cs="Times New Roman" w:eastAsia="Times New Roman" w:hAnsi="Times New Roman"/>
          <w:sz w:val="14"/>
          <w:szCs w:val="14"/>
          <w:color w:val="auto"/>
        </w:rPr>
      </w:pPr>
    </w:p>
    <w:p>
      <w:pPr>
        <w:ind w:left="1660" w:right="1379" w:hanging="143"/>
        <w:spacing w:after="0" w:line="272"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modifying any of the provisions of Section 9.02 or Section 6.06 of the indenture, except to increase any such percentage or to provide that certain other provisions of the indenture cannot be modified or waived without the consent of the holders of each outstanding series of debt securities affected thereby.</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 w:name="page20"/>
    <w:bookmarkEnd w:id="19"/>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32" w:lineRule="exact"/>
        <w:rPr>
          <w:sz w:val="20"/>
          <w:szCs w:val="20"/>
          <w:color w:val="auto"/>
        </w:rPr>
      </w:pPr>
    </w:p>
    <w:p>
      <w:pPr>
        <w:ind w:left="1240" w:right="1259" w:firstLine="287"/>
        <w:spacing w:after="0" w:line="260" w:lineRule="auto"/>
        <w:rPr>
          <w:sz w:val="20"/>
          <w:szCs w:val="20"/>
          <w:color w:val="auto"/>
        </w:rPr>
      </w:pPr>
      <w:r>
        <w:rPr>
          <w:rFonts w:ascii="Times New Roman" w:cs="Times New Roman" w:eastAsia="Times New Roman" w:hAnsi="Times New Roman"/>
          <w:sz w:val="14"/>
          <w:szCs w:val="14"/>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of (including authentication and delivery on original issuance of the debt securities), the debt securities of a series (other than debt securities issued in bearer form) will be effected by the trustee with respect to that series at an office designated by the trustee in New York, New York.</w:t>
      </w:r>
    </w:p>
    <w:p>
      <w:pPr>
        <w:spacing w:after="0" w:line="270" w:lineRule="exact"/>
        <w:rPr>
          <w:sz w:val="20"/>
          <w:szCs w:val="20"/>
          <w:color w:val="auto"/>
        </w:rPr>
      </w:pPr>
    </w:p>
    <w:p>
      <w:pPr>
        <w:ind w:left="1240" w:right="1359" w:firstLine="287"/>
        <w:spacing w:after="0" w:line="267" w:lineRule="auto"/>
        <w:rPr>
          <w:sz w:val="20"/>
          <w:szCs w:val="20"/>
          <w:color w:val="auto"/>
        </w:rPr>
      </w:pPr>
      <w:r>
        <w:rPr>
          <w:rFonts w:ascii="Times New Roman" w:cs="Times New Roman" w:eastAsia="Times New Roman" w:hAnsi="Times New Roman"/>
          <w:sz w:val="14"/>
          <w:szCs w:val="14"/>
          <w:color w:val="auto"/>
        </w:rPr>
        <w:t>The indenture contains limitations on the right of the trustee, should it become a creditor of our company,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253" w:lineRule="exact"/>
        <w:rPr>
          <w:sz w:val="20"/>
          <w:szCs w:val="20"/>
          <w:color w:val="auto"/>
        </w:rPr>
      </w:pPr>
    </w:p>
    <w:p>
      <w:pPr>
        <w:ind w:left="1240" w:right="1279" w:firstLine="287"/>
        <w:spacing w:after="0" w:line="260"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if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32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No Individual Liability of Incorporators, Shareholders, Officers, or Directors</w:t>
      </w:r>
    </w:p>
    <w:p>
      <w:pPr>
        <w:spacing w:after="0" w:line="132" w:lineRule="exact"/>
        <w:rPr>
          <w:sz w:val="20"/>
          <w:szCs w:val="20"/>
          <w:color w:val="auto"/>
        </w:rPr>
      </w:pPr>
    </w:p>
    <w:p>
      <w:pPr>
        <w:ind w:left="1240" w:right="1499" w:firstLine="287"/>
        <w:spacing w:after="0" w:line="269" w:lineRule="auto"/>
        <w:rPr>
          <w:sz w:val="20"/>
          <w:szCs w:val="20"/>
          <w:color w:val="auto"/>
        </w:rPr>
      </w:pPr>
      <w:r>
        <w:rPr>
          <w:rFonts w:ascii="Times New Roman" w:cs="Times New Roman" w:eastAsia="Times New Roman" w:hAnsi="Times New Roman"/>
          <w:sz w:val="14"/>
          <w:szCs w:val="14"/>
          <w:color w:val="auto"/>
        </w:rPr>
        <w:t>The indenture provides that neither our incorporator nor any of our past, present, or future shareholders, officers or directors of our company, or any successor corporation in their capacity as such shall have any individual liability for any of our obligations, covenants, or agreements under the debt securities or the indenture.</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32" w:lineRule="exact"/>
        <w:rPr>
          <w:sz w:val="20"/>
          <w:szCs w:val="20"/>
          <w:color w:val="auto"/>
        </w:rPr>
      </w:pPr>
    </w:p>
    <w:p>
      <w:pPr>
        <w:ind w:left="1240" w:right="1379" w:firstLine="287"/>
        <w:spacing w:after="0" w:line="294"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laws of the State of New York without regard to conflict of law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0" w:name="page21"/>
    <w:bookmarkEnd w:id="20"/>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32" w:lineRule="exact"/>
        <w:rPr>
          <w:sz w:val="20"/>
          <w:szCs w:val="20"/>
          <w:color w:val="auto"/>
        </w:rPr>
      </w:pPr>
    </w:p>
    <w:p>
      <w:pPr>
        <w:ind w:left="1240" w:right="1319" w:firstLine="287"/>
        <w:spacing w:after="0" w:line="254" w:lineRule="auto"/>
        <w:rPr>
          <w:sz w:val="20"/>
          <w:szCs w:val="20"/>
          <w:color w:val="auto"/>
        </w:rPr>
      </w:pPr>
      <w:r>
        <w:rPr>
          <w:rFonts w:ascii="Times New Roman" w:cs="Times New Roman" w:eastAsia="Times New Roman" w:hAnsi="Times New Roman"/>
          <w:sz w:val="14"/>
          <w:szCs w:val="14"/>
          <w:color w:val="auto"/>
        </w:rPr>
        <w:t>We may issue warrants for the purchase of Common Stock, preferred stock, or debt securities. We may issue warrants independently or together with any offered securities. The warrants may be attached to or separate from those offered securities. We will issue the warrants under one or more warrant agreements to be entered into between us and a warrant agent to be named in the applicable prospectus supplement. The warrant agent will act solely as our agent in connection with the warrants and will not assume any obligation or relationship of agency or trust for or with any holders or beneficial owners of warrants.</w:t>
      </w:r>
    </w:p>
    <w:p>
      <w:pPr>
        <w:spacing w:after="0" w:line="87" w:lineRule="exact"/>
        <w:rPr>
          <w:sz w:val="20"/>
          <w:szCs w:val="20"/>
          <w:color w:val="auto"/>
        </w:rPr>
      </w:pPr>
    </w:p>
    <w:p>
      <w:pPr>
        <w:ind w:left="1240" w:right="1279" w:firstLine="287"/>
        <w:spacing w:after="0" w:line="277" w:lineRule="auto"/>
        <w:rPr>
          <w:sz w:val="20"/>
          <w:szCs w:val="20"/>
          <w:color w:val="auto"/>
        </w:rPr>
      </w:pPr>
      <w:r>
        <w:rPr>
          <w:rFonts w:ascii="Times New Roman" w:cs="Times New Roman" w:eastAsia="Times New Roman" w:hAnsi="Times New Roman"/>
          <w:sz w:val="14"/>
          <w:szCs w:val="14"/>
          <w:color w:val="auto"/>
        </w:rPr>
        <w:t>The prospectus supplement relating to any warrants that we may offer will contain the specific terms of the warrants. These terms may include the following:</w:t>
      </w:r>
    </w:p>
    <w:p>
      <w:pPr>
        <w:spacing w:after="0" w:line="38" w:lineRule="exact"/>
        <w:rPr>
          <w:sz w:val="20"/>
          <w:szCs w:val="20"/>
          <w:color w:val="auto"/>
        </w:rPr>
      </w:pPr>
    </w:p>
    <w:p>
      <w:pPr>
        <w:ind w:left="1660" w:hanging="143"/>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warrants will be issued;</w:t>
      </w:r>
    </w:p>
    <w:p>
      <w:pPr>
        <w:spacing w:after="0" w:line="8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amount, and terms of the securities for which the warrants are exercisable;</w:t>
      </w:r>
    </w:p>
    <w:p>
      <w:pPr>
        <w:spacing w:after="0" w:line="97" w:lineRule="exact"/>
        <w:rPr>
          <w:rFonts w:ascii="Times New Roman" w:cs="Times New Roman" w:eastAsia="Times New Roman" w:hAnsi="Times New Roman"/>
          <w:sz w:val="14"/>
          <w:szCs w:val="14"/>
          <w:color w:val="auto"/>
        </w:rPr>
      </w:pPr>
    </w:p>
    <w:p>
      <w:pPr>
        <w:ind w:left="1660" w:right="1299" w:hanging="143"/>
        <w:spacing w:after="0" w:line="294" w:lineRule="auto"/>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other securities, if any, with which the warrants are to be issued and the number of warrants issued with each other security;</w:t>
      </w:r>
    </w:p>
    <w:p>
      <w:pPr>
        <w:spacing w:after="0" w:line="3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warrants;</w:t>
      </w:r>
    </w:p>
    <w:p>
      <w:pPr>
        <w:spacing w:after="0" w:line="97" w:lineRule="exact"/>
        <w:rPr>
          <w:rFonts w:ascii="Times New Roman" w:cs="Times New Roman" w:eastAsia="Times New Roman" w:hAnsi="Times New Roman"/>
          <w:sz w:val="14"/>
          <w:szCs w:val="14"/>
          <w:color w:val="auto"/>
        </w:rPr>
      </w:pPr>
    </w:p>
    <w:p>
      <w:pPr>
        <w:ind w:left="1660" w:right="1339" w:hanging="143"/>
        <w:spacing w:after="0" w:line="294" w:lineRule="auto"/>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adjustment of the number or amount of securities receivable upon exercise of the warrants or the exercise price of the warrants;</w:t>
      </w:r>
    </w:p>
    <w:p>
      <w:pPr>
        <w:spacing w:after="0" w:line="25" w:lineRule="exact"/>
        <w:rPr>
          <w:rFonts w:ascii="Times New Roman" w:cs="Times New Roman" w:eastAsia="Times New Roman" w:hAnsi="Times New Roman"/>
          <w:sz w:val="14"/>
          <w:szCs w:val="14"/>
          <w:color w:val="auto"/>
        </w:rPr>
      </w:pPr>
    </w:p>
    <w:p>
      <w:pPr>
        <w:ind w:left="1660" w:right="1839" w:hanging="143"/>
        <w:spacing w:after="0" w:line="294" w:lineRule="auto"/>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securities purchasable upon exercise of the warrants may be purchased;</w:t>
      </w:r>
    </w:p>
    <w:p>
      <w:pPr>
        <w:spacing w:after="0" w:line="36" w:lineRule="exact"/>
        <w:rPr>
          <w:rFonts w:ascii="Times New Roman" w:cs="Times New Roman" w:eastAsia="Times New Roman" w:hAnsi="Times New Roman"/>
          <w:sz w:val="14"/>
          <w:szCs w:val="14"/>
          <w:color w:val="auto"/>
        </w:rPr>
      </w:pPr>
    </w:p>
    <w:p>
      <w:pPr>
        <w:ind w:left="1660" w:right="1399" w:hanging="143"/>
        <w:spacing w:after="0" w:line="294" w:lineRule="auto"/>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securities purchasable upon exercise of the warrants will be separately transferable;</w:t>
      </w:r>
    </w:p>
    <w:p>
      <w:pPr>
        <w:spacing w:after="0" w:line="36" w:lineRule="exact"/>
        <w:rPr>
          <w:rFonts w:ascii="Times New Roman" w:cs="Times New Roman" w:eastAsia="Times New Roman" w:hAnsi="Times New Roman"/>
          <w:sz w:val="14"/>
          <w:szCs w:val="14"/>
          <w:color w:val="auto"/>
        </w:rPr>
      </w:pPr>
    </w:p>
    <w:p>
      <w:pPr>
        <w:ind w:left="1660" w:right="1359" w:hanging="143"/>
        <w:spacing w:after="0" w:line="294" w:lineRule="auto"/>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U.S. federal income tax considerations applicable to the exercise of the warrants;</w:t>
      </w:r>
    </w:p>
    <w:p>
      <w:pPr>
        <w:spacing w:after="0" w:line="25" w:lineRule="exact"/>
        <w:rPr>
          <w:rFonts w:ascii="Times New Roman" w:cs="Times New Roman" w:eastAsia="Times New Roman" w:hAnsi="Times New Roman"/>
          <w:sz w:val="14"/>
          <w:szCs w:val="14"/>
          <w:color w:val="auto"/>
        </w:rPr>
      </w:pPr>
    </w:p>
    <w:p>
      <w:pPr>
        <w:ind w:left="1660" w:right="1379" w:hanging="143"/>
        <w:spacing w:after="0" w:line="294" w:lineRule="auto"/>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right will expire;</w:t>
      </w:r>
    </w:p>
    <w:p>
      <w:pPr>
        <w:spacing w:after="0" w:line="3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or minimum number of warrants that may be exercised at any time;</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 and</w:t>
      </w:r>
    </w:p>
    <w:p>
      <w:pPr>
        <w:spacing w:after="0" w:line="97" w:lineRule="exact"/>
        <w:rPr>
          <w:rFonts w:ascii="Times New Roman" w:cs="Times New Roman" w:eastAsia="Times New Roman" w:hAnsi="Times New Roman"/>
          <w:sz w:val="14"/>
          <w:szCs w:val="14"/>
          <w:color w:val="auto"/>
        </w:rPr>
      </w:pPr>
    </w:p>
    <w:p>
      <w:pPr>
        <w:ind w:left="1660" w:right="1259" w:hanging="143"/>
        <w:spacing w:after="0" w:line="294" w:lineRule="auto"/>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warrants, including terms, procedures, and limitations relating to the exchange and exercise of the warrants.</w:t>
      </w:r>
    </w:p>
    <w:p>
      <w:pPr>
        <w:spacing w:after="0" w:line="1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121" w:lineRule="exact"/>
        <w:rPr>
          <w:sz w:val="20"/>
          <w:szCs w:val="20"/>
          <w:color w:val="auto"/>
        </w:rPr>
      </w:pPr>
    </w:p>
    <w:p>
      <w:pPr>
        <w:ind w:left="1240" w:right="1359" w:firstLine="287"/>
        <w:spacing w:after="0" w:line="253" w:lineRule="auto"/>
        <w:rPr>
          <w:sz w:val="20"/>
          <w:szCs w:val="20"/>
          <w:color w:val="auto"/>
        </w:rPr>
      </w:pPr>
      <w:r>
        <w:rPr>
          <w:rFonts w:ascii="Times New Roman" w:cs="Times New Roman" w:eastAsia="Times New Roman" w:hAnsi="Times New Roman"/>
          <w:sz w:val="14"/>
          <w:szCs w:val="14"/>
          <w:color w:val="auto"/>
        </w:rPr>
        <w:t>Each warrant will entitle the holder of the warrant to purchase for cash the amount of Common Stock, preferred stock, or debt securities at the exercise price stated or determinable in the applicable prospectus supplement for the warrants. Warrants may be exercised at any time up to the close of business on the expiration date shown in the applicable prospectus supplement, unless otherwise specified in</w:t>
      </w:r>
    </w:p>
    <w:p>
      <w:pPr>
        <w:spacing w:after="0" w:line="2" w:lineRule="exact"/>
        <w:rPr>
          <w:sz w:val="20"/>
          <w:szCs w:val="20"/>
          <w:color w:val="auto"/>
        </w:rPr>
      </w:pPr>
    </w:p>
    <w:p>
      <w:pPr>
        <w:ind w:left="1240" w:right="1299"/>
        <w:spacing w:after="0" w:line="248" w:lineRule="auto"/>
        <w:rPr>
          <w:sz w:val="20"/>
          <w:szCs w:val="20"/>
          <w:color w:val="auto"/>
        </w:rPr>
      </w:pPr>
      <w:r>
        <w:rPr>
          <w:rFonts w:ascii="Times New Roman" w:cs="Times New Roman" w:eastAsia="Times New Roman" w:hAnsi="Times New Roman"/>
          <w:sz w:val="14"/>
          <w:szCs w:val="14"/>
          <w:color w:val="auto"/>
        </w:rPr>
        <w:t>such prospectus supplement. After the close of business on the expiration date, unexercised warrants will become void. Warrants may be exercised as described in the applicable prospectus supplement. When the warrant holder makes the payment and properly completes and signs the warrant certificate at the corporate trust office of the warrant agent or any other office indicated in the prospectus supplement, we will, as soon as possible, forward the Common Stock, preferred stock, or debt securities that the warrant holder has purchased. If the warrant holder exercises the warrant for less than all of the warrants represented by the warrant certificate, we will issue a new warrant certificate for the remaining warrants.</w:t>
      </w:r>
    </w:p>
    <w:p>
      <w:pPr>
        <w:spacing w:after="0" w:line="93" w:lineRule="exact"/>
        <w:rPr>
          <w:sz w:val="20"/>
          <w:szCs w:val="20"/>
          <w:color w:val="auto"/>
        </w:rPr>
      </w:pPr>
    </w:p>
    <w:p>
      <w:pPr>
        <w:ind w:left="1240" w:right="1279" w:firstLine="287"/>
        <w:spacing w:after="0" w:line="251" w:lineRule="auto"/>
        <w:rPr>
          <w:sz w:val="20"/>
          <w:szCs w:val="20"/>
          <w:color w:val="auto"/>
        </w:rPr>
      </w:pPr>
      <w:r>
        <w:rPr>
          <w:rFonts w:ascii="Times New Roman" w:cs="Times New Roman" w:eastAsia="Times New Roman" w:hAnsi="Times New Roman"/>
          <w:sz w:val="14"/>
          <w:szCs w:val="14"/>
          <w:color w:val="auto"/>
        </w:rPr>
        <w:t>The description in the applicable prospectus supplement of any warrants we offer will not necessarily be complete and will be qualified in its entirety by reference to the applicable warrant agreement and warrant certificate, which will be filed with the SEC if we offer warrants. For more information on how you can obtain copies of any warrant certificate or warrant agreement if we offer warrants, see “Where You Can Find More Information” in this prospectus. We urge you to read the applicable warrant certificate, the applicable warrant agreement, and any applicable prospectus supplement in their entirety.</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1" w:name="page22"/>
    <w:bookmarkEnd w:id="21"/>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32" w:lineRule="exact"/>
        <w:rPr>
          <w:sz w:val="20"/>
          <w:szCs w:val="20"/>
          <w:color w:val="auto"/>
        </w:rPr>
      </w:pPr>
    </w:p>
    <w:p>
      <w:pPr>
        <w:ind w:left="1240" w:right="1519" w:firstLine="287"/>
        <w:spacing w:after="0" w:line="277" w:lineRule="auto"/>
        <w:rPr>
          <w:sz w:val="20"/>
          <w:szCs w:val="20"/>
          <w:color w:val="auto"/>
        </w:rPr>
      </w:pPr>
      <w:r>
        <w:rPr>
          <w:rFonts w:ascii="Times New Roman" w:cs="Times New Roman" w:eastAsia="Times New Roman" w:hAnsi="Times New Roman"/>
          <w:sz w:val="14"/>
          <w:szCs w:val="14"/>
          <w:color w:val="auto"/>
        </w:rPr>
        <w:t>We may sell the securities offered by this prospectus from time to time in one or more transactions, including without limitation:</w:t>
      </w:r>
    </w:p>
    <w:p>
      <w:pPr>
        <w:spacing w:after="0" w:line="38" w:lineRule="exact"/>
        <w:rPr>
          <w:sz w:val="20"/>
          <w:szCs w:val="20"/>
          <w:color w:val="auto"/>
        </w:rPr>
      </w:pPr>
    </w:p>
    <w:p>
      <w:pPr>
        <w:ind w:left="1660" w:hanging="143"/>
        <w:spacing w:after="0"/>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8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 brokers, or dealers; or</w:t>
      </w:r>
    </w:p>
    <w:p>
      <w:pPr>
        <w:spacing w:after="0" w:line="8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w:t>
      </w:r>
    </w:p>
    <w:p>
      <w:pPr>
        <w:spacing w:after="0" w:line="130" w:lineRule="exact"/>
        <w:rPr>
          <w:sz w:val="20"/>
          <w:szCs w:val="20"/>
          <w:color w:val="auto"/>
        </w:rPr>
      </w:pPr>
    </w:p>
    <w:p>
      <w:pPr>
        <w:jc w:val="both"/>
        <w:ind w:left="1240" w:right="1299" w:firstLine="287"/>
        <w:spacing w:after="0" w:line="267" w:lineRule="auto"/>
        <w:rPr>
          <w:sz w:val="20"/>
          <w:szCs w:val="20"/>
          <w:color w:val="auto"/>
        </w:rPr>
      </w:pPr>
      <w:r>
        <w:rPr>
          <w:rFonts w:ascii="Times New Roman" w:cs="Times New Roman" w:eastAsia="Times New Roman" w:hAnsi="Times New Roman"/>
          <w:sz w:val="14"/>
          <w:szCs w:val="14"/>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spacing w:after="0" w:line="77" w:lineRule="exact"/>
        <w:rPr>
          <w:sz w:val="20"/>
          <w:szCs w:val="20"/>
          <w:color w:val="auto"/>
        </w:rPr>
      </w:pPr>
    </w:p>
    <w:p>
      <w:pPr>
        <w:ind w:left="1240" w:right="1439" w:firstLine="287"/>
        <w:spacing w:after="0" w:line="277" w:lineRule="auto"/>
        <w:rPr>
          <w:sz w:val="20"/>
          <w:szCs w:val="20"/>
          <w:color w:val="auto"/>
        </w:rPr>
      </w:pPr>
      <w:r>
        <w:rPr>
          <w:rFonts w:ascii="Times New Roman" w:cs="Times New Roman" w:eastAsia="Times New Roman" w:hAnsi="Times New Roman"/>
          <w:sz w:val="14"/>
          <w:szCs w:val="14"/>
          <w:color w:val="auto"/>
        </w:rPr>
        <w:t>In addition, the manner in which we may sell some or all of the securities covered by this prospectus includes, without limitation:</w:t>
      </w:r>
    </w:p>
    <w:p>
      <w:pPr>
        <w:spacing w:after="0" w:line="38" w:lineRule="exact"/>
        <w:rPr>
          <w:sz w:val="20"/>
          <w:szCs w:val="20"/>
          <w:color w:val="auto"/>
        </w:rPr>
      </w:pPr>
    </w:p>
    <w:p>
      <w:pPr>
        <w:ind w:left="1660" w:right="1499" w:hanging="143"/>
        <w:spacing w:after="0" w:line="294"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 block trade in which a broker-dealer will attempt to sell as agent, but may position or resell a portion of the block, as principal, in order to facilitate the transaction;</w:t>
      </w:r>
    </w:p>
    <w:p>
      <w:pPr>
        <w:spacing w:after="0" w:line="25"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purchases by a broker-dealer, as principal, and resale by the broker-dealer for its account;</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ordinary brokerage transactions and transactions in which a broker solicits purchasers;</w:t>
      </w:r>
    </w:p>
    <w:p>
      <w:pPr>
        <w:spacing w:after="0" w:line="8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exchange for outstanding indebtedness; or</w:t>
      </w:r>
    </w:p>
    <w:p>
      <w:pPr>
        <w:spacing w:after="0" w:line="8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w:t>
      </w:r>
    </w:p>
    <w:p>
      <w:pPr>
        <w:spacing w:after="0" w:line="13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We may also enter into hedging transactions. For example, we may:</w:t>
      </w:r>
    </w:p>
    <w:p>
      <w:pPr>
        <w:spacing w:after="0" w:line="97" w:lineRule="exact"/>
        <w:rPr>
          <w:sz w:val="20"/>
          <w:szCs w:val="20"/>
          <w:color w:val="auto"/>
        </w:rPr>
      </w:pPr>
    </w:p>
    <w:p>
      <w:pPr>
        <w:ind w:left="1660" w:right="1279" w:hanging="143"/>
        <w:spacing w:after="0" w:line="272"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 broker-dealer or affiliate thereof in connection with which such broker-dealer or affiliate will engage in short sales of the Common Stock pursuant to this prospectus, in which case such broker-dealer or affiliate may use shares of Common Stock received from us to close out its short positions;</w:t>
      </w:r>
    </w:p>
    <w:p>
      <w:pPr>
        <w:spacing w:after="0" w:line="21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securities short and redeliver such shares to close out our short positions;</w:t>
      </w:r>
    </w:p>
    <w:p>
      <w:pPr>
        <w:spacing w:after="0" w:line="97" w:lineRule="exact"/>
        <w:rPr>
          <w:rFonts w:ascii="Times New Roman" w:cs="Times New Roman" w:eastAsia="Times New Roman" w:hAnsi="Times New Roman"/>
          <w:sz w:val="14"/>
          <w:szCs w:val="14"/>
          <w:color w:val="auto"/>
        </w:rPr>
      </w:pPr>
    </w:p>
    <w:p>
      <w:pPr>
        <w:ind w:left="1660" w:right="1339" w:hanging="143"/>
        <w:spacing w:after="0" w:line="287"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option or other types of transactions that require us to deliver Common Stock to a broker-dealer or an affiliate thereof, who will then resell or transfer the Common Stock under this prospectus; or</w:t>
      </w:r>
    </w:p>
    <w:p>
      <w:pPr>
        <w:spacing w:after="0" w:line="207" w:lineRule="exact"/>
        <w:rPr>
          <w:rFonts w:ascii="Times New Roman" w:cs="Times New Roman" w:eastAsia="Times New Roman" w:hAnsi="Times New Roman"/>
          <w:sz w:val="14"/>
          <w:szCs w:val="14"/>
          <w:color w:val="auto"/>
        </w:rPr>
      </w:pPr>
    </w:p>
    <w:p>
      <w:pPr>
        <w:ind w:left="1660" w:right="1339" w:hanging="143"/>
        <w:spacing w:after="0" w:line="287"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or pledge the Common Stock to a broker-dealer or an affiliate thereof, who may sell the loaned shares or, in an event of default in the case of a pledge, sell the pledged shares pursuant to this prospectus.</w:t>
      </w:r>
    </w:p>
    <w:p>
      <w:pPr>
        <w:spacing w:after="0" w:line="250" w:lineRule="exact"/>
        <w:rPr>
          <w:sz w:val="20"/>
          <w:szCs w:val="20"/>
          <w:color w:val="auto"/>
        </w:rPr>
      </w:pPr>
    </w:p>
    <w:p>
      <w:pPr>
        <w:ind w:left="1240" w:right="1259" w:firstLine="287"/>
        <w:spacing w:after="0" w:line="249" w:lineRule="auto"/>
        <w:rPr>
          <w:sz w:val="20"/>
          <w:szCs w:val="20"/>
          <w:color w:val="auto"/>
        </w:rPr>
      </w:pPr>
      <w:r>
        <w:rPr>
          <w:rFonts w:ascii="Times New Roman" w:cs="Times New Roman" w:eastAsia="Times New Roman" w:hAnsi="Times New Roman"/>
          <w:sz w:val="14"/>
          <w:szCs w:val="14"/>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91" w:lineRule="exact"/>
        <w:rPr>
          <w:sz w:val="20"/>
          <w:szCs w:val="20"/>
          <w:color w:val="auto"/>
        </w:rPr>
      </w:pPr>
    </w:p>
    <w:p>
      <w:pPr>
        <w:ind w:left="1240" w:right="1359" w:firstLine="287"/>
        <w:spacing w:after="0" w:line="277" w:lineRule="auto"/>
        <w:rPr>
          <w:sz w:val="20"/>
          <w:szCs w:val="20"/>
          <w:color w:val="auto"/>
        </w:rPr>
      </w:pPr>
      <w:r>
        <w:rPr>
          <w:rFonts w:ascii="Times New Roman" w:cs="Times New Roman" w:eastAsia="Times New Roman" w:hAnsi="Times New Roman"/>
          <w:sz w:val="14"/>
          <w:szCs w:val="14"/>
          <w:color w:val="auto"/>
        </w:rPr>
        <w:t>A prospectus supplement with respect to each offering of securities will state the terms of the offering of the securities, including:</w:t>
      </w:r>
    </w:p>
    <w:p>
      <w:pPr>
        <w:spacing w:after="0" w:line="38" w:lineRule="exact"/>
        <w:rPr>
          <w:sz w:val="20"/>
          <w:szCs w:val="20"/>
          <w:color w:val="auto"/>
        </w:rPr>
      </w:pPr>
    </w:p>
    <w:p>
      <w:pPr>
        <w:ind w:left="1660" w:right="1659" w:hanging="143"/>
        <w:spacing w:after="0" w:line="294"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or agents and the amounts of securities underwritten or purchased by each of them, if any;</w:t>
      </w:r>
    </w:p>
    <w:p>
      <w:pPr>
        <w:spacing w:after="0" w:line="36" w:lineRule="exact"/>
        <w:rPr>
          <w:rFonts w:ascii="Times New Roman" w:cs="Times New Roman" w:eastAsia="Times New Roman" w:hAnsi="Times New Roman"/>
          <w:sz w:val="14"/>
          <w:szCs w:val="14"/>
          <w:color w:val="auto"/>
        </w:rPr>
      </w:pPr>
    </w:p>
    <w:p>
      <w:pPr>
        <w:ind w:left="1660" w:right="1319" w:hanging="143"/>
        <w:spacing w:after="0" w:line="294"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price or purchase price of the securities and the net proceeds to be received by us from the sale;</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 w:name="page23"/>
    <w:bookmarkEnd w:id="22"/>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60" w:hanging="143"/>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97" w:lineRule="exact"/>
        <w:rPr>
          <w:rFonts w:ascii="Times New Roman" w:cs="Times New Roman" w:eastAsia="Times New Roman" w:hAnsi="Times New Roman"/>
          <w:sz w:val="14"/>
          <w:szCs w:val="14"/>
          <w:color w:val="auto"/>
        </w:rPr>
      </w:pPr>
    </w:p>
    <w:p>
      <w:pPr>
        <w:ind w:left="1660" w:right="1619" w:hanging="143"/>
        <w:spacing w:after="0" w:line="294"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or agency fees and other items constituting underwriters’ or agents’ compensation;</w:t>
      </w:r>
    </w:p>
    <w:p>
      <w:pPr>
        <w:spacing w:after="0" w:line="36"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markets on which the securities may be listed.</w:t>
      </w:r>
    </w:p>
    <w:p>
      <w:pPr>
        <w:spacing w:after="0" w:line="119" w:lineRule="exact"/>
        <w:rPr>
          <w:sz w:val="20"/>
          <w:szCs w:val="20"/>
          <w:color w:val="auto"/>
        </w:rPr>
      </w:pPr>
    </w:p>
    <w:p>
      <w:pPr>
        <w:ind w:left="1240" w:right="1379" w:firstLine="287"/>
        <w:spacing w:after="0" w:line="267" w:lineRule="auto"/>
        <w:rPr>
          <w:sz w:val="20"/>
          <w:szCs w:val="20"/>
          <w:color w:val="auto"/>
        </w:rPr>
      </w:pPr>
      <w:r>
        <w:rPr>
          <w:rFonts w:ascii="Times New Roman" w:cs="Times New Roman" w:eastAsia="Times New Roman" w:hAnsi="Times New Roman"/>
          <w:sz w:val="14"/>
          <w:szCs w:val="14"/>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44" w:lineRule="exact"/>
        <w:rPr>
          <w:sz w:val="20"/>
          <w:szCs w:val="20"/>
          <w:color w:val="auto"/>
        </w:rPr>
      </w:pPr>
    </w:p>
    <w:p>
      <w:pPr>
        <w:ind w:left="1660" w:hanging="143"/>
        <w:spacing w:after="0"/>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the prevailing market prices; or</w:t>
      </w:r>
    </w:p>
    <w:p>
      <w:pPr>
        <w:spacing w:after="0" w:line="97" w:lineRule="exact"/>
        <w:rPr>
          <w:rFonts w:ascii="Times New Roman" w:cs="Times New Roman" w:eastAsia="Times New Roman" w:hAnsi="Times New Roman"/>
          <w:sz w:val="14"/>
          <w:szCs w:val="14"/>
          <w:color w:val="auto"/>
        </w:rPr>
      </w:pPr>
    </w:p>
    <w:p>
      <w:pPr>
        <w:ind w:left="1660" w:hanging="143"/>
        <w:spacing w:after="0"/>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Underwriters and Agents</w:t>
      </w:r>
    </w:p>
    <w:p>
      <w:pPr>
        <w:spacing w:after="0" w:line="121" w:lineRule="exact"/>
        <w:rPr>
          <w:sz w:val="20"/>
          <w:szCs w:val="20"/>
          <w:color w:val="auto"/>
        </w:rPr>
      </w:pPr>
    </w:p>
    <w:p>
      <w:pPr>
        <w:ind w:left="1240" w:right="1279" w:firstLine="287"/>
        <w:spacing w:after="0" w:line="249" w:lineRule="auto"/>
        <w:rPr>
          <w:sz w:val="20"/>
          <w:szCs w:val="20"/>
          <w:color w:val="auto"/>
        </w:rPr>
      </w:pPr>
      <w:r>
        <w:rPr>
          <w:rFonts w:ascii="Times New Roman" w:cs="Times New Roman" w:eastAsia="Times New Roman" w:hAnsi="Times New Roman"/>
          <w:sz w:val="14"/>
          <w:szCs w:val="14"/>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of 1933, as amended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 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spacing w:after="0" w:line="257" w:lineRule="exact"/>
        <w:rPr>
          <w:sz w:val="20"/>
          <w:szCs w:val="20"/>
          <w:color w:val="auto"/>
        </w:rPr>
      </w:pPr>
    </w:p>
    <w:p>
      <w:pPr>
        <w:ind w:left="1240" w:right="1259" w:firstLine="287"/>
        <w:spacing w:after="0" w:line="252" w:lineRule="auto"/>
        <w:rPr>
          <w:sz w:val="20"/>
          <w:szCs w:val="20"/>
          <w:color w:val="auto"/>
        </w:rPr>
      </w:pPr>
      <w:r>
        <w:rPr>
          <w:rFonts w:ascii="Times New Roman" w:cs="Times New Roman" w:eastAsia="Times New Roman" w:hAnsi="Times New Roman"/>
          <w:sz w:val="14"/>
          <w:szCs w:val="14"/>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257" w:lineRule="exact"/>
        <w:rPr>
          <w:sz w:val="20"/>
          <w:szCs w:val="20"/>
          <w:color w:val="auto"/>
        </w:rPr>
      </w:pPr>
    </w:p>
    <w:p>
      <w:pPr>
        <w:ind w:left="1240" w:right="1319" w:firstLine="287"/>
        <w:spacing w:after="0" w:line="252" w:lineRule="auto"/>
        <w:rPr>
          <w:sz w:val="20"/>
          <w:szCs w:val="20"/>
          <w:color w:val="auto"/>
        </w:rPr>
      </w:pPr>
      <w:r>
        <w:rPr>
          <w:rFonts w:ascii="Times New Roman" w:cs="Times New Roman" w:eastAsia="Times New Roman" w:hAnsi="Times New Roman"/>
          <w:sz w:val="14"/>
          <w:szCs w:val="14"/>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spacing w:after="0" w:line="88" w:lineRule="exact"/>
        <w:rPr>
          <w:sz w:val="20"/>
          <w:szCs w:val="20"/>
          <w:color w:val="auto"/>
        </w:rPr>
      </w:pPr>
    </w:p>
    <w:p>
      <w:pPr>
        <w:ind w:left="1240" w:right="1299" w:firstLine="287"/>
        <w:spacing w:after="0" w:line="251" w:lineRule="auto"/>
        <w:rPr>
          <w:sz w:val="20"/>
          <w:szCs w:val="20"/>
          <w:color w:val="auto"/>
        </w:rPr>
      </w:pPr>
      <w:r>
        <w:rPr>
          <w:rFonts w:ascii="Times New Roman" w:cs="Times New Roman" w:eastAsia="Times New Roman" w:hAnsi="Times New Roman"/>
          <w:sz w:val="14"/>
          <w:szCs w:val="14"/>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3" w:name="page24"/>
    <w:bookmarkEnd w:id="23"/>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Dealers</w:t>
      </w:r>
    </w:p>
    <w:p>
      <w:pPr>
        <w:spacing w:after="0" w:line="132" w:lineRule="exact"/>
        <w:rPr>
          <w:sz w:val="20"/>
          <w:szCs w:val="20"/>
          <w:color w:val="auto"/>
        </w:rPr>
      </w:pPr>
    </w:p>
    <w:p>
      <w:pPr>
        <w:ind w:left="1240" w:right="1379" w:firstLine="287"/>
        <w:spacing w:after="0" w:line="258" w:lineRule="auto"/>
        <w:rPr>
          <w:sz w:val="20"/>
          <w:szCs w:val="20"/>
          <w:color w:val="auto"/>
        </w:rPr>
      </w:pPr>
      <w:r>
        <w:rPr>
          <w:rFonts w:ascii="Times New Roman" w:cs="Times New Roman" w:eastAsia="Times New Roman" w:hAnsi="Times New Roman"/>
          <w:sz w:val="14"/>
          <w:szCs w:val="14"/>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3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Direct Sales</w:t>
      </w:r>
    </w:p>
    <w:p>
      <w:pPr>
        <w:spacing w:after="0" w:line="132" w:lineRule="exact"/>
        <w:rPr>
          <w:sz w:val="20"/>
          <w:szCs w:val="20"/>
          <w:color w:val="auto"/>
        </w:rPr>
      </w:pPr>
    </w:p>
    <w:p>
      <w:pPr>
        <w:ind w:left="1240" w:right="1399" w:firstLine="287"/>
        <w:spacing w:after="0" w:line="277" w:lineRule="auto"/>
        <w:rPr>
          <w:sz w:val="20"/>
          <w:szCs w:val="20"/>
          <w:color w:val="auto"/>
        </w:rPr>
      </w:pPr>
      <w:r>
        <w:rPr>
          <w:rFonts w:ascii="Times New Roman" w:cs="Times New Roman" w:eastAsia="Times New Roman" w:hAnsi="Times New Roman"/>
          <w:sz w:val="14"/>
          <w:szCs w:val="14"/>
          <w:color w:val="auto"/>
        </w:rPr>
        <w:t>We may choose to sell the offered securities directly. In this case, no underwriters or agents would be involved.</w:t>
      </w:r>
    </w:p>
    <w:p>
      <w:pPr>
        <w:spacing w:after="0" w:line="1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Institutional Purchasers</w:t>
      </w:r>
    </w:p>
    <w:p>
      <w:pPr>
        <w:spacing w:after="0" w:line="121" w:lineRule="exact"/>
        <w:rPr>
          <w:sz w:val="20"/>
          <w:szCs w:val="20"/>
          <w:color w:val="auto"/>
        </w:rPr>
      </w:pPr>
    </w:p>
    <w:p>
      <w:pPr>
        <w:jc w:val="both"/>
        <w:ind w:left="1240" w:right="1299" w:firstLine="287"/>
        <w:spacing w:after="0" w:line="258" w:lineRule="auto"/>
        <w:rPr>
          <w:sz w:val="20"/>
          <w:szCs w:val="20"/>
          <w:color w:val="auto"/>
        </w:rPr>
      </w:pPr>
      <w:r>
        <w:rPr>
          <w:rFonts w:ascii="Times New Roman" w:cs="Times New Roman" w:eastAsia="Times New Roman" w:hAnsi="Times New Roman"/>
          <w:sz w:val="14"/>
          <w:szCs w:val="14"/>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82" w:lineRule="exact"/>
        <w:rPr>
          <w:sz w:val="20"/>
          <w:szCs w:val="20"/>
          <w:color w:val="auto"/>
        </w:rPr>
      </w:pPr>
    </w:p>
    <w:p>
      <w:pPr>
        <w:jc w:val="both"/>
        <w:ind w:left="1240" w:right="1479" w:firstLine="287"/>
        <w:spacing w:after="0" w:line="259" w:lineRule="auto"/>
        <w:rPr>
          <w:sz w:val="20"/>
          <w:szCs w:val="20"/>
          <w:color w:val="auto"/>
        </w:rPr>
      </w:pPr>
      <w:r>
        <w:rPr>
          <w:rFonts w:ascii="Times New Roman" w:cs="Times New Roman" w:eastAsia="Times New Roman" w:hAnsi="Times New Roman"/>
          <w:sz w:val="14"/>
          <w:szCs w:val="14"/>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4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Indemnification; Other Relationships</w:t>
      </w:r>
    </w:p>
    <w:p>
      <w:pPr>
        <w:spacing w:after="0" w:line="121" w:lineRule="exact"/>
        <w:rPr>
          <w:sz w:val="20"/>
          <w:szCs w:val="20"/>
          <w:color w:val="auto"/>
        </w:rPr>
      </w:pPr>
    </w:p>
    <w:p>
      <w:pPr>
        <w:ind w:left="1240" w:right="1339" w:firstLine="287"/>
        <w:spacing w:after="0" w:line="258" w:lineRule="auto"/>
        <w:rPr>
          <w:sz w:val="20"/>
          <w:szCs w:val="20"/>
          <w:color w:val="auto"/>
        </w:rPr>
      </w:pPr>
      <w:r>
        <w:rPr>
          <w:rFonts w:ascii="Times New Roman" w:cs="Times New Roman" w:eastAsia="Times New Roman" w:hAnsi="Times New Roman"/>
          <w:sz w:val="14"/>
          <w:szCs w:val="14"/>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Market-Making, Stabilization and Other Transactions</w:t>
      </w:r>
    </w:p>
    <w:p>
      <w:pPr>
        <w:spacing w:after="0" w:line="121" w:lineRule="exact"/>
        <w:rPr>
          <w:sz w:val="20"/>
          <w:szCs w:val="20"/>
          <w:color w:val="auto"/>
        </w:rPr>
      </w:pPr>
    </w:p>
    <w:p>
      <w:pPr>
        <w:ind w:left="1240" w:right="1319" w:firstLine="287"/>
        <w:spacing w:after="0" w:line="250" w:lineRule="auto"/>
        <w:rPr>
          <w:sz w:val="20"/>
          <w:szCs w:val="20"/>
          <w:color w:val="auto"/>
        </w:rPr>
      </w:pPr>
      <w:r>
        <w:rPr>
          <w:rFonts w:ascii="Times New Roman" w:cs="Times New Roman" w:eastAsia="Times New Roman" w:hAnsi="Times New Roman"/>
          <w:sz w:val="14"/>
          <w:szCs w:val="14"/>
          <w:color w:val="auto"/>
        </w:rPr>
        <w:t>There is currently no market for any of the offered securities, other than the Common Stock which is listed on The Nasdaq Global Select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or warrants on any securities exchange or quotation system; any such listing with respect to any particular debt securities, preferred stock, or warrants will be described in the applicable prospectus supplement or pricing supplement, as the case may be.</w:t>
      </w:r>
    </w:p>
    <w:p>
      <w:pPr>
        <w:spacing w:after="0" w:line="89" w:lineRule="exact"/>
        <w:rPr>
          <w:sz w:val="20"/>
          <w:szCs w:val="20"/>
          <w:color w:val="auto"/>
        </w:rPr>
      </w:pPr>
    </w:p>
    <w:p>
      <w:pPr>
        <w:ind w:left="1240" w:right="1259" w:firstLine="287"/>
        <w:spacing w:after="0" w:line="259" w:lineRule="auto"/>
        <w:rPr>
          <w:sz w:val="20"/>
          <w:szCs w:val="20"/>
          <w:color w:val="auto"/>
        </w:rPr>
      </w:pPr>
      <w:r>
        <w:rPr>
          <w:rFonts w:ascii="Times New Roman" w:cs="Times New Roman" w:eastAsia="Times New Roman" w:hAnsi="Times New Roman"/>
          <w:sz w:val="14"/>
          <w:szCs w:val="14"/>
          <w:color w:val="auto"/>
        </w:rPr>
        <w:t>In connection with any offering of Common Stock,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208915</wp:posOffset>
            </wp:positionV>
            <wp:extent cx="544830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4" w:name="page25"/>
    <w:bookmarkEnd w:id="24"/>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240" w:right="1439"/>
        <w:spacing w:after="0" w:line="275" w:lineRule="auto"/>
        <w:rPr>
          <w:sz w:val="20"/>
          <w:szCs w:val="20"/>
          <w:color w:val="auto"/>
        </w:rPr>
      </w:pPr>
      <w:r>
        <w:rPr>
          <w:rFonts w:ascii="Times New Roman" w:cs="Times New Roman" w:eastAsia="Times New Roman" w:hAnsi="Times New Roman"/>
          <w:sz w:val="14"/>
          <w:szCs w:val="14"/>
          <w:color w:val="auto"/>
        </w:rPr>
        <w:t>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82" w:lineRule="exact"/>
        <w:rPr>
          <w:sz w:val="20"/>
          <w:szCs w:val="20"/>
          <w:color w:val="auto"/>
        </w:rPr>
      </w:pPr>
    </w:p>
    <w:p>
      <w:pPr>
        <w:ind w:left="1240" w:right="1319" w:firstLine="287"/>
        <w:spacing w:after="0" w:line="264" w:lineRule="auto"/>
        <w:rPr>
          <w:sz w:val="20"/>
          <w:szCs w:val="20"/>
          <w:color w:val="auto"/>
        </w:rPr>
      </w:pPr>
      <w:r>
        <w:rPr>
          <w:rFonts w:ascii="Times New Roman" w:cs="Times New Roman" w:eastAsia="Times New Roman" w:hAnsi="Times New Roman"/>
          <w:sz w:val="14"/>
          <w:szCs w:val="14"/>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5" w:name="page26"/>
    <w:bookmarkEnd w:id="25"/>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32" w:lineRule="exact"/>
        <w:rPr>
          <w:sz w:val="20"/>
          <w:szCs w:val="20"/>
          <w:color w:val="auto"/>
        </w:rPr>
      </w:pPr>
    </w:p>
    <w:p>
      <w:pPr>
        <w:ind w:left="1240" w:right="1339" w:firstLine="287"/>
        <w:spacing w:after="0" w:line="266"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Skadden, Arps, Slate, Meagher &amp; Flom LLP, New York, New York will provide opinions regarding the authorization and validity of the securities. Skadden, Arps, Slate, Meagher &amp; Flom LLP may also provide opinions regarding certain other matters. Any underwriters will also be advised about legal matters by their own counsel, which will be named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6" w:name="page27"/>
    <w:bookmarkEnd w:id="26"/>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32" w:lineRule="exact"/>
        <w:rPr>
          <w:sz w:val="20"/>
          <w:szCs w:val="20"/>
          <w:color w:val="auto"/>
        </w:rPr>
      </w:pPr>
    </w:p>
    <w:p>
      <w:pPr>
        <w:ind w:left="1240" w:right="1439" w:firstLine="287"/>
        <w:spacing w:after="0" w:line="265"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financial statements and management’s assessment of the effectiveness of internal control over financial reporting (which is included in Management’s Report on Internal Control over Financial </w:t>
      </w:r>
      <w:hyperlink r:id="rId50">
        <w:r>
          <w:rPr>
            <w:rFonts w:ascii="Times New Roman" w:cs="Times New Roman" w:eastAsia="Times New Roman" w:hAnsi="Times New Roman"/>
            <w:sz w:val="14"/>
            <w:szCs w:val="14"/>
            <w:color w:val="auto"/>
          </w:rPr>
          <w:t xml:space="preserve">Reporting) incorporated in this prospectus by reference to the </w:t>
        </w:r>
        <w:r>
          <w:rPr>
            <w:rFonts w:ascii="Times New Roman" w:cs="Times New Roman" w:eastAsia="Times New Roman" w:hAnsi="Times New Roman"/>
            <w:sz w:val="14"/>
            <w:szCs w:val="14"/>
            <w:u w:val="single" w:color="auto"/>
            <w:color w:val="0000EE"/>
          </w:rPr>
          <w:t>Annual Report on Form 10-K for the year</w:t>
        </w:r>
      </w:hyperlink>
      <w:r>
        <w:rPr>
          <w:rFonts w:ascii="Times New Roman" w:cs="Times New Roman" w:eastAsia="Times New Roman" w:hAnsi="Times New Roman"/>
          <w:sz w:val="14"/>
          <w:szCs w:val="14"/>
          <w:color w:val="auto"/>
        </w:rPr>
        <w:t xml:space="preserve"> </w:t>
      </w:r>
      <w:hyperlink r:id="rId50">
        <w:r>
          <w:rPr>
            <w:rFonts w:ascii="Times New Roman" w:cs="Times New Roman" w:eastAsia="Times New Roman" w:hAnsi="Times New Roman"/>
            <w:sz w:val="14"/>
            <w:szCs w:val="14"/>
            <w:u w:val="single" w:color="auto"/>
            <w:color w:val="0000EE"/>
          </w:rPr>
          <w:t>ended December 31, 2023</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have been so incorporated in reliance on the report of PricewaterhouseCoopers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7" w:name="page28"/>
    <w:bookmarkEnd w:id="27"/>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32" w:lineRule="exact"/>
        <w:rPr>
          <w:sz w:val="20"/>
          <w:szCs w:val="20"/>
          <w:color w:val="auto"/>
        </w:rPr>
      </w:pPr>
    </w:p>
    <w:p>
      <w:pPr>
        <w:ind w:left="1240" w:right="1379" w:firstLine="287"/>
        <w:spacing w:after="0" w:line="263"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under which we file annual, quarterly, and current reports, proxy statements, and other information with the SEC. We make available through our website at http://www.regeneron.com our Annual Report on Form 10-K, Quarterly Reports on Form 10-Q, Current Reports on Form 8-K, and all amendments to those reports as soon as reasonably practicable after such material is electronically filed or furnished to the SEC. The information provided on our website is not part of this prospectus and, therefore, is not incorporated herein by reference. Our SEC filings are also available to the public on the SEC’s website at www.sec.gov.</w:t>
      </w:r>
    </w:p>
    <w:p>
      <w:pPr>
        <w:spacing w:after="0" w:line="90" w:lineRule="exact"/>
        <w:rPr>
          <w:sz w:val="20"/>
          <w:szCs w:val="20"/>
          <w:color w:val="auto"/>
        </w:rPr>
      </w:pPr>
    </w:p>
    <w:p>
      <w:pPr>
        <w:ind w:left="1240" w:right="1239" w:firstLine="287"/>
        <w:spacing w:after="0" w:line="261"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and any accompanying prospectus supplement the information we file with them, which means that we can disclose important information to you by referring you to those documents. The information incorporated by reference is considered part of this prospectus, and information filed with the SEC subsequent to this prospectus and prior to the termination of the particular offering referred to in such prospectus supplement will automatically be deemed to update and supersede this information. We incorporate by reference into this prospectus and any accompanying prospectus supplement the documents listed below (except as specifically set forth below, other than information that we have furnished and not filed on Form 8-K, which information is expressly not incorporated by reference herein):</w:t>
      </w:r>
    </w:p>
    <w:p>
      <w:pPr>
        <w:spacing w:after="0" w:line="236" w:lineRule="exact"/>
        <w:rPr>
          <w:sz w:val="20"/>
          <w:szCs w:val="20"/>
          <w:color w:val="auto"/>
        </w:rPr>
      </w:pPr>
    </w:p>
    <w:p>
      <w:pPr>
        <w:ind w:left="1660" w:right="1319" w:hanging="143"/>
        <w:spacing w:after="0" w:line="267" w:lineRule="auto"/>
        <w:tabs>
          <w:tab w:leader="none" w:pos="1660" w:val="left"/>
        </w:tabs>
        <w:numPr>
          <w:ilvl w:val="0"/>
          <w:numId w:val="22"/>
        </w:numPr>
        <w:rPr>
          <w:rFonts w:ascii="Times New Roman" w:cs="Times New Roman" w:eastAsia="Times New Roman" w:hAnsi="Times New Roman"/>
          <w:sz w:val="14"/>
          <w:szCs w:val="14"/>
          <w:u w:val="single" w:color="auto"/>
          <w:color w:val="0000EE"/>
        </w:rPr>
      </w:pPr>
      <w:hyperlink r:id="rId50">
        <w:r>
          <w:rPr>
            <w:rFonts w:ascii="Times New Roman" w:cs="Times New Roman" w:eastAsia="Times New Roman" w:hAnsi="Times New Roman"/>
            <w:sz w:val="14"/>
            <w:szCs w:val="14"/>
            <w:u w:val="single" w:color="auto"/>
            <w:color w:val="0000EE"/>
          </w:rPr>
          <w:t>Our Annual Report on Form 10-K for the fiscal year ended December 31, 2023, filed on February 5,</w:t>
        </w:r>
      </w:hyperlink>
      <w:r>
        <w:rPr>
          <w:rFonts w:ascii="Times New Roman" w:cs="Times New Roman" w:eastAsia="Times New Roman" w:hAnsi="Times New Roman"/>
          <w:sz w:val="14"/>
          <w:szCs w:val="14"/>
          <w:u w:val="single" w:color="auto"/>
          <w:color w:val="0000EE"/>
        </w:rPr>
        <w:t xml:space="preserve"> </w:t>
      </w:r>
      <w:hyperlink r:id="rId50">
        <w:r>
          <w:rPr>
            <w:rFonts w:ascii="Times New Roman" w:cs="Times New Roman" w:eastAsia="Times New Roman" w:hAnsi="Times New Roman"/>
            <w:sz w:val="14"/>
            <w:szCs w:val="14"/>
            <w:u w:val="single" w:color="auto"/>
            <w:color w:val="0000EE"/>
          </w:rPr>
          <w:t>2024.</w:t>
        </w:r>
      </w:hyperlink>
    </w:p>
    <w:p>
      <w:pPr>
        <w:spacing w:after="0" w:line="251" w:lineRule="exact"/>
        <w:rPr>
          <w:rFonts w:ascii="Times New Roman" w:cs="Times New Roman" w:eastAsia="Times New Roman" w:hAnsi="Times New Roman"/>
          <w:sz w:val="14"/>
          <w:szCs w:val="14"/>
          <w:u w:val="single" w:color="auto"/>
          <w:color w:val="0000EE"/>
        </w:rPr>
      </w:pPr>
    </w:p>
    <w:p>
      <w:pPr>
        <w:ind w:left="1660" w:right="1339" w:hanging="143"/>
        <w:spacing w:after="0" w:line="275" w:lineRule="auto"/>
        <w:tabs>
          <w:tab w:leader="none" w:pos="1660" w:val="left"/>
        </w:tabs>
        <w:numPr>
          <w:ilvl w:val="0"/>
          <w:numId w:val="22"/>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Portions of our </w:t>
      </w:r>
      <w:hyperlink r:id="rId52">
        <w:r>
          <w:rPr>
            <w:rFonts w:ascii="Times New Roman" w:cs="Times New Roman" w:eastAsia="Times New Roman" w:hAnsi="Times New Roman"/>
            <w:sz w:val="14"/>
            <w:szCs w:val="14"/>
            <w:u w:val="single" w:color="auto"/>
            <w:color w:val="0000EE"/>
          </w:rPr>
          <w:t>Definitive Proxy Statement on Schedule 14A filed on April 25, 2024</w:t>
        </w:r>
      </w:hyperlink>
      <w:r>
        <w:rPr>
          <w:rFonts w:ascii="Times New Roman" w:cs="Times New Roman" w:eastAsia="Times New Roman" w:hAnsi="Times New Roman"/>
          <w:sz w:val="14"/>
          <w:szCs w:val="14"/>
          <w:color w:val="auto"/>
        </w:rPr>
        <w:t xml:space="preserve">, that are </w:t>
      </w:r>
      <w:hyperlink r:id="rId50">
        <w:r>
          <w:rPr>
            <w:rFonts w:ascii="Times New Roman" w:cs="Times New Roman" w:eastAsia="Times New Roman" w:hAnsi="Times New Roman"/>
            <w:sz w:val="14"/>
            <w:szCs w:val="14"/>
            <w:color w:val="auto"/>
          </w:rPr>
          <w:t xml:space="preserve">incorporated by reference into Part III of our </w:t>
        </w:r>
        <w:r>
          <w:rPr>
            <w:rFonts w:ascii="Times New Roman" w:cs="Times New Roman" w:eastAsia="Times New Roman" w:hAnsi="Times New Roman"/>
            <w:sz w:val="14"/>
            <w:szCs w:val="14"/>
            <w:u w:val="single" w:color="auto"/>
            <w:color w:val="0000EE"/>
          </w:rPr>
          <w:t>Annual Report on Form 10-K for the fiscal year ended</w:t>
        </w:r>
      </w:hyperlink>
      <w:r>
        <w:rPr>
          <w:rFonts w:ascii="Times New Roman" w:cs="Times New Roman" w:eastAsia="Times New Roman" w:hAnsi="Times New Roman"/>
          <w:sz w:val="14"/>
          <w:szCs w:val="14"/>
          <w:color w:val="auto"/>
        </w:rPr>
        <w:t xml:space="preserve"> </w:t>
      </w:r>
      <w:hyperlink r:id="rId50">
        <w:r>
          <w:rPr>
            <w:rFonts w:ascii="Times New Roman" w:cs="Times New Roman" w:eastAsia="Times New Roman" w:hAnsi="Times New Roman"/>
            <w:sz w:val="14"/>
            <w:szCs w:val="14"/>
            <w:u w:val="single" w:color="auto"/>
            <w:color w:val="0000EE"/>
          </w:rPr>
          <w:t>December 31, 2023, filed on February 5, 2024</w:t>
        </w:r>
        <w:r>
          <w:rPr>
            <w:rFonts w:ascii="Times New Roman" w:cs="Times New Roman" w:eastAsia="Times New Roman" w:hAnsi="Times New Roman"/>
            <w:sz w:val="14"/>
            <w:szCs w:val="14"/>
            <w:color w:val="000000"/>
          </w:rPr>
          <w:t>.</w:t>
        </w:r>
      </w:hyperlink>
    </w:p>
    <w:p>
      <w:pPr>
        <w:spacing w:after="0" w:line="49" w:lineRule="exact"/>
        <w:rPr>
          <w:rFonts w:ascii="Times New Roman" w:cs="Times New Roman" w:eastAsia="Times New Roman" w:hAnsi="Times New Roman"/>
          <w:sz w:val="14"/>
          <w:szCs w:val="14"/>
          <w:color w:val="0000EE"/>
        </w:rPr>
      </w:pPr>
    </w:p>
    <w:p>
      <w:pPr>
        <w:ind w:left="1660" w:right="1279" w:hanging="143"/>
        <w:spacing w:after="0" w:line="275" w:lineRule="auto"/>
        <w:tabs>
          <w:tab w:leader="none" w:pos="1660" w:val="left"/>
        </w:tabs>
        <w:numPr>
          <w:ilvl w:val="0"/>
          <w:numId w:val="22"/>
        </w:numPr>
        <w:rPr>
          <w:rFonts w:ascii="Times New Roman" w:cs="Times New Roman" w:eastAsia="Times New Roman" w:hAnsi="Times New Roman"/>
          <w:sz w:val="14"/>
          <w:szCs w:val="14"/>
          <w:color w:val="000000"/>
        </w:rPr>
      </w:pPr>
      <w:hyperlink r:id="rId53">
        <w:r>
          <w:rPr>
            <w:rFonts w:ascii="Times New Roman" w:cs="Times New Roman" w:eastAsia="Times New Roman" w:hAnsi="Times New Roman"/>
            <w:sz w:val="14"/>
            <w:szCs w:val="14"/>
            <w:color w:val="auto"/>
          </w:rPr>
          <w:t xml:space="preserve">Our Quarterly Reports on Form 10-Q for the quarterly period ended March 31, 2024, filed on </w:t>
        </w:r>
        <w:r>
          <w:rPr>
            <w:rFonts w:ascii="Times New Roman" w:cs="Times New Roman" w:eastAsia="Times New Roman" w:hAnsi="Times New Roman"/>
            <w:sz w:val="14"/>
            <w:szCs w:val="14"/>
            <w:u w:val="single" w:color="auto"/>
            <w:color w:val="0000EE"/>
          </w:rPr>
          <w:t>May 2,</w:t>
        </w:r>
      </w:hyperlink>
      <w:r>
        <w:rPr>
          <w:rFonts w:ascii="Times New Roman" w:cs="Times New Roman" w:eastAsia="Times New Roman" w:hAnsi="Times New Roman"/>
          <w:sz w:val="14"/>
          <w:szCs w:val="14"/>
          <w:color w:val="auto"/>
        </w:rPr>
        <w:t xml:space="preserve"> </w:t>
      </w:r>
      <w:hyperlink r:id="rId53">
        <w:r>
          <w:rPr>
            <w:rFonts w:ascii="Times New Roman" w:cs="Times New Roman" w:eastAsia="Times New Roman" w:hAnsi="Times New Roman"/>
            <w:sz w:val="14"/>
            <w:szCs w:val="14"/>
            <w:u w:val="single" w:color="auto"/>
            <w:color w:val="0000EE"/>
          </w:rPr>
          <w:t>2024</w:t>
        </w:r>
        <w:r>
          <w:rPr>
            <w:rFonts w:ascii="Times New Roman" w:cs="Times New Roman" w:eastAsia="Times New Roman" w:hAnsi="Times New Roman"/>
            <w:sz w:val="14"/>
            <w:szCs w:val="14"/>
            <w:color w:val="000000"/>
          </w:rPr>
          <w:t>; for the quarterly period ended June 30, 2024, filed on</w:t>
        </w:r>
        <w:r>
          <w:rPr>
            <w:rFonts w:ascii="Times New Roman" w:cs="Times New Roman" w:eastAsia="Times New Roman" w:hAnsi="Times New Roman"/>
            <w:sz w:val="14"/>
            <w:szCs w:val="14"/>
            <w:color w:val="0000EE"/>
          </w:rPr>
          <w:t xml:space="preserve"> </w:t>
        </w:r>
      </w:hyperlink>
      <w:hyperlink r:id="rId54">
        <w:r>
          <w:rPr>
            <w:rFonts w:ascii="Times New Roman" w:cs="Times New Roman" w:eastAsia="Times New Roman" w:hAnsi="Times New Roman"/>
            <w:sz w:val="14"/>
            <w:szCs w:val="14"/>
            <w:u w:val="single" w:color="auto"/>
            <w:color w:val="0000EE"/>
          </w:rPr>
          <w:t>August 1, 2024</w:t>
        </w:r>
      </w:hyperlink>
      <w:hyperlink r:id="rId53">
        <w:r>
          <w:rPr>
            <w:rFonts w:ascii="Times New Roman" w:cs="Times New Roman" w:eastAsia="Times New Roman" w:hAnsi="Times New Roman"/>
            <w:sz w:val="14"/>
            <w:szCs w:val="14"/>
            <w:color w:val="000000"/>
          </w:rPr>
          <w:t>; and for the quarterly</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period ended September 30, 2024, filed on </w:t>
      </w:r>
      <w:hyperlink r:id="rId55">
        <w:r>
          <w:rPr>
            <w:rFonts w:ascii="Times New Roman" w:cs="Times New Roman" w:eastAsia="Times New Roman" w:hAnsi="Times New Roman"/>
            <w:sz w:val="14"/>
            <w:szCs w:val="14"/>
            <w:u w:val="single" w:color="auto"/>
            <w:color w:val="0000EE"/>
          </w:rPr>
          <w:t>October 31, 2024</w:t>
        </w:r>
      </w:hyperlink>
      <w:r>
        <w:rPr>
          <w:rFonts w:ascii="Times New Roman" w:cs="Times New Roman" w:eastAsia="Times New Roman" w:hAnsi="Times New Roman"/>
          <w:sz w:val="14"/>
          <w:szCs w:val="14"/>
          <w:color w:val="000000"/>
        </w:rPr>
        <w:t>.</w:t>
      </w:r>
    </w:p>
    <w:p>
      <w:pPr>
        <w:spacing w:after="0" w:line="49" w:lineRule="exact"/>
        <w:rPr>
          <w:rFonts w:ascii="Times New Roman" w:cs="Times New Roman" w:eastAsia="Times New Roman" w:hAnsi="Times New Roman"/>
          <w:sz w:val="14"/>
          <w:szCs w:val="14"/>
          <w:color w:val="000000"/>
        </w:rPr>
      </w:pPr>
    </w:p>
    <w:p>
      <w:pPr>
        <w:ind w:left="1660" w:hanging="143"/>
        <w:spacing w:after="0"/>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on </w:t>
      </w:r>
      <w:hyperlink r:id="rId56">
        <w:r>
          <w:rPr>
            <w:rFonts w:ascii="Times New Roman" w:cs="Times New Roman" w:eastAsia="Times New Roman" w:hAnsi="Times New Roman"/>
            <w:sz w:val="14"/>
            <w:szCs w:val="14"/>
            <w:u w:val="single" w:color="auto"/>
            <w:color w:val="0000EE"/>
          </w:rPr>
          <w:t>January 31,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57">
        <w:r>
          <w:rPr>
            <w:rFonts w:ascii="Times New Roman" w:cs="Times New Roman" w:eastAsia="Times New Roman" w:hAnsi="Times New Roman"/>
            <w:sz w:val="14"/>
            <w:szCs w:val="14"/>
            <w:u w:val="single" w:color="auto"/>
            <w:color w:val="0000EE"/>
          </w:rPr>
          <w:t>June 20, 2024</w:t>
        </w:r>
      </w:hyperlink>
      <w:r>
        <w:rPr>
          <w:rFonts w:ascii="Times New Roman" w:cs="Times New Roman" w:eastAsia="Times New Roman" w:hAnsi="Times New Roman"/>
          <w:sz w:val="14"/>
          <w:szCs w:val="14"/>
          <w:color w:val="auto"/>
        </w:rPr>
        <w:t>.</w:t>
      </w:r>
    </w:p>
    <w:p>
      <w:pPr>
        <w:spacing w:after="0" w:line="97" w:lineRule="exact"/>
        <w:rPr>
          <w:rFonts w:ascii="Times New Roman" w:cs="Times New Roman" w:eastAsia="Times New Roman" w:hAnsi="Times New Roman"/>
          <w:sz w:val="14"/>
          <w:szCs w:val="14"/>
          <w:color w:val="auto"/>
        </w:rPr>
      </w:pPr>
    </w:p>
    <w:p>
      <w:pPr>
        <w:ind w:left="1660" w:right="1439" w:hanging="143"/>
        <w:spacing w:after="0" w:line="294"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set forth in </w:t>
      </w:r>
      <w:hyperlink r:id="rId58">
        <w:r>
          <w:rPr>
            <w:rFonts w:ascii="Times New Roman" w:cs="Times New Roman" w:eastAsia="Times New Roman" w:hAnsi="Times New Roman"/>
            <w:sz w:val="14"/>
            <w:szCs w:val="14"/>
            <w:u w:val="single" w:color="auto"/>
            <w:color w:val="0000EE"/>
          </w:rPr>
          <w:t>Exhibit 4.1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2019, filed on February 7, 2020.</w:t>
      </w:r>
    </w:p>
    <w:p>
      <w:pPr>
        <w:spacing w:after="0" w:line="58" w:lineRule="exact"/>
        <w:rPr>
          <w:rFonts w:ascii="Times New Roman" w:cs="Times New Roman" w:eastAsia="Times New Roman" w:hAnsi="Times New Roman"/>
          <w:sz w:val="14"/>
          <w:szCs w:val="14"/>
          <w:color w:val="auto"/>
        </w:rPr>
      </w:pPr>
    </w:p>
    <w:p>
      <w:pPr>
        <w:ind w:left="1240" w:right="1259" w:firstLine="287"/>
        <w:spacing w:after="0" w:line="261" w:lineRule="auto"/>
        <w:rPr>
          <w:sz w:val="20"/>
          <w:szCs w:val="20"/>
          <w:color w:val="auto"/>
        </w:rPr>
      </w:pPr>
      <w:r>
        <w:rPr>
          <w:rFonts w:ascii="Times New Roman" w:cs="Times New Roman" w:eastAsia="Times New Roman" w:hAnsi="Times New Roman"/>
          <w:sz w:val="14"/>
          <w:szCs w:val="14"/>
          <w:color w:val="auto"/>
        </w:rPr>
        <w:t>All documents that we file pursuant to Section 13(a), 13(c), 14, or 15(d) of the Exchange Act between the date of this prospectus and the date all of the securities offered hereby are sold or the offering is otherwise terminated shall be deemed to be incorporated by reference into this prospectus and to be a part of this prospectus from the respective dates of the filing of such documents, except for information furnished under Item 2.02 and Item 7.01 of Form 8-K and related exhibits, which is not deemed filed and not incorporated by reference herein. Any statement contained in a document incorporated or deemed to be incorporated by reference into this prospectus shall be deemed to be modified or superseded for purposes of this prospectus to the extent that a statement contained in this prospectus or in any other subsequently filed document which also is, or is deemed to be, incorporated by reference herein modifies or supersedes such statement.</w:t>
      </w:r>
    </w:p>
    <w:p>
      <w:pPr>
        <w:spacing w:after="0" w:line="26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You may request a copy of any document we incorporate by reference, except exhibits to the documents</w:t>
      </w:r>
    </w:p>
    <w:p>
      <w:pPr>
        <w:spacing w:after="0" w:line="25"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(unless the exhibits are specifically incorporated by reference), at no cost, by writing or calling us at:</w:t>
      </w:r>
    </w:p>
    <w:p>
      <w:pPr>
        <w:spacing w:after="0" w:line="116"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Investor Relations Department</w:t>
      </w:r>
    </w:p>
    <w:p>
      <w:pPr>
        <w:spacing w:after="0" w:line="25"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Regeneron Pharmaceuticals, Inc.</w:t>
      </w:r>
    </w:p>
    <w:p>
      <w:pPr>
        <w:spacing w:after="0" w:line="11"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777 Old Saw Mill River Road</w:t>
      </w:r>
    </w:p>
    <w:p>
      <w:pPr>
        <w:spacing w:after="0" w:line="11"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Tarrytown, New York 10591</w:t>
      </w:r>
    </w:p>
    <w:p>
      <w:pPr>
        <w:spacing w:after="0" w:line="11"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(914) 847-7000</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65"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The expenses relating to the registration of the securities will be borne by the registrant.</w:t>
      </w:r>
    </w:p>
    <w:p>
      <w:pPr>
        <w:spacing w:after="0" w:line="123" w:lineRule="exact"/>
        <w:rPr>
          <w:sz w:val="20"/>
          <w:szCs w:val="20"/>
          <w:color w:val="auto"/>
        </w:rPr>
      </w:pPr>
    </w:p>
    <w:tbl>
      <w:tblPr>
        <w:tblLayout w:type="fixed"/>
        <w:tblInd w:w="1240" w:type="dxa"/>
        <w:tblCellMar>
          <w:top w:w="0" w:type="dxa"/>
          <w:left w:w="0" w:type="dxa"/>
          <w:bottom w:w="0" w:type="dxa"/>
          <w:right w:w="0" w:type="dxa"/>
        </w:tblCellMar>
      </w:tblPr>
      <w:tr>
        <w:trPr>
          <w:trHeight w:val="43"/>
        </w:trPr>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5280" w:type="dxa"/>
            <w:vAlign w:val="bottom"/>
            <w:gridSpan w:val="2"/>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Securities and Exchange Commission Registration Fee</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52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68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52"/>
        </w:trPr>
        <w:tc>
          <w:tcPr>
            <w:tcW w:w="280" w:type="dxa"/>
            <w:vAlign w:val="bottom"/>
          </w:tcPr>
          <w:p>
            <w:pPr>
              <w:spacing w:after="0"/>
              <w:rPr>
                <w:sz w:val="13"/>
                <w:szCs w:val="13"/>
                <w:color w:val="auto"/>
              </w:rPr>
            </w:pPr>
          </w:p>
        </w:tc>
        <w:tc>
          <w:tcPr>
            <w:tcW w:w="5280" w:type="dxa"/>
            <w:vAlign w:val="bottom"/>
            <w:tcBorders>
              <w:top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4"/>
                <w:szCs w:val="14"/>
                <w:color w:val="auto"/>
              </w:rPr>
              <w:t>Accounting Fees and Expenses</w:t>
            </w:r>
          </w:p>
        </w:tc>
        <w:tc>
          <w:tcPr>
            <w:tcW w:w="180" w:type="dxa"/>
            <w:vAlign w:val="bottom"/>
            <w:tcBorders>
              <w:top w:val="single" w:sz="8" w:color="CCEEFF"/>
            </w:tcBorders>
          </w:tcPr>
          <w:p>
            <w:pPr>
              <w:spacing w:after="0"/>
              <w:rPr>
                <w:sz w:val="13"/>
                <w:szCs w:val="13"/>
                <w:color w:val="auto"/>
              </w:rPr>
            </w:pPr>
          </w:p>
        </w:tc>
        <w:tc>
          <w:tcPr>
            <w:tcW w:w="50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43"/>
        </w:trPr>
        <w:tc>
          <w:tcPr>
            <w:tcW w:w="280" w:type="dxa"/>
            <w:vAlign w:val="bottom"/>
          </w:tcPr>
          <w:p>
            <w:pPr>
              <w:spacing w:after="0"/>
              <w:rPr>
                <w:sz w:val="3"/>
                <w:szCs w:val="3"/>
                <w:color w:val="auto"/>
              </w:rPr>
            </w:pPr>
          </w:p>
        </w:tc>
        <w:tc>
          <w:tcPr>
            <w:tcW w:w="5280" w:type="dxa"/>
            <w:vAlign w:val="bottom"/>
            <w:gridSpan w:val="2"/>
          </w:tcPr>
          <w:p>
            <w:pPr>
              <w:spacing w:after="0" w:line="43" w:lineRule="exact"/>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ind w:left="40"/>
              <w:spacing w:after="0" w:line="43" w:lineRule="exact"/>
              <w:rPr>
                <w:sz w:val="20"/>
                <w:szCs w:val="20"/>
                <w:color w:val="auto"/>
              </w:rPr>
            </w:pPr>
            <w:r>
              <w:rPr>
                <w:rFonts w:ascii="Times New Roman" w:cs="Times New Roman" w:eastAsia="Times New Roman" w:hAnsi="Times New Roman"/>
                <w:sz w:val="4"/>
                <w:szCs w:val="4"/>
                <w:color w:val="auto"/>
              </w:rPr>
              <w:t>​ ​​</w:t>
            </w:r>
          </w:p>
        </w:tc>
        <w:tc>
          <w:tcPr>
            <w:tcW w:w="140" w:type="dxa"/>
            <w:vAlign w:val="bottom"/>
          </w:tcPr>
          <w:p>
            <w:pPr>
              <w:spacing w:after="0" w:line="43" w:lineRule="exact"/>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5280" w:type="dxa"/>
            <w:vAlign w:val="bottom"/>
            <w:tcBorders>
              <w:bottom w:val="single" w:sz="8" w:color="CCEEFF"/>
            </w:tcBorders>
            <w:gridSpan w:val="2"/>
            <w:shd w:val="clear" w:color="auto" w:fill="CCEEFF"/>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680" w:type="dxa"/>
            <w:vAlign w:val="bottom"/>
            <w:tcBorders>
              <w:bottom w:val="single" w:sz="8" w:color="CCEEFF"/>
            </w:tcBorders>
            <w:gridSpan w:val="2"/>
            <w:shd w:val="clear" w:color="auto" w:fill="CCEEFF"/>
          </w:tcPr>
          <w:p>
            <w:pPr>
              <w:ind w:left="40"/>
              <w:spacing w:after="0" w:line="22" w:lineRule="exact"/>
              <w:rPr>
                <w:sz w:val="20"/>
                <w:szCs w:val="20"/>
                <w:color w:val="auto"/>
              </w:rPr>
            </w:pPr>
            <w:r>
              <w:rPr>
                <w:rFonts w:ascii="Times New Roman" w:cs="Times New Roman" w:eastAsia="Times New Roman" w:hAnsi="Times New Roman"/>
                <w:sz w:val="2"/>
                <w:szCs w:val="2"/>
                <w:color w:val="auto"/>
              </w:rPr>
              <w:t>​ ​​</w:t>
            </w:r>
          </w:p>
        </w:tc>
        <w:tc>
          <w:tcPr>
            <w:tcW w:w="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Printing Fees</w:t>
            </w: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5280" w:type="dxa"/>
            <w:vAlign w:val="bottom"/>
            <w:gridSpan w:val="2"/>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680" w:type="dxa"/>
            <w:vAlign w:val="bottom"/>
            <w:gridSpan w:val="2"/>
          </w:tcPr>
          <w:p>
            <w:pPr>
              <w:ind w:left="40"/>
              <w:spacing w:after="0" w:line="22" w:lineRule="exact"/>
              <w:rPr>
                <w:sz w:val="20"/>
                <w:szCs w:val="20"/>
                <w:color w:val="auto"/>
              </w:rPr>
            </w:pPr>
            <w:r>
              <w:rPr>
                <w:rFonts w:ascii="Times New Roman" w:cs="Times New Roman" w:eastAsia="Times New Roman" w:hAnsi="Times New Roman"/>
                <w:sz w:val="2"/>
                <w:szCs w:val="2"/>
                <w:color w:val="auto"/>
              </w:rPr>
              <w:t>​ ​​</w:t>
            </w:r>
          </w:p>
        </w:tc>
        <w:tc>
          <w:tcPr>
            <w:tcW w:w="140" w:type="dxa"/>
            <w:vAlign w:val="bottom"/>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22"/>
        </w:trPr>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72"/>
        </w:trPr>
        <w:tc>
          <w:tcPr>
            <w:tcW w:w="280" w:type="dxa"/>
            <w:vAlign w:val="bottom"/>
          </w:tcPr>
          <w:p>
            <w:pPr>
              <w:spacing w:after="0"/>
              <w:rPr>
                <w:sz w:val="14"/>
                <w:szCs w:val="14"/>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Agent and Trustees’ Fees and Expenses</w:t>
            </w:r>
          </w:p>
        </w:tc>
        <w:tc>
          <w:tcPr>
            <w:tcW w:w="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5280" w:type="dxa"/>
            <w:vAlign w:val="bottom"/>
            <w:tcBorders>
              <w:bottom w:val="single" w:sz="8" w:color="CCEEFF"/>
            </w:tcBorders>
            <w:gridSpan w:val="2"/>
            <w:shd w:val="clear" w:color="auto" w:fill="CCEEFF"/>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680" w:type="dxa"/>
            <w:vAlign w:val="bottom"/>
            <w:tcBorders>
              <w:bottom w:val="single" w:sz="8" w:color="CCEEFF"/>
            </w:tcBorders>
            <w:gridSpan w:val="2"/>
            <w:shd w:val="clear" w:color="auto" w:fill="CCEEFF"/>
          </w:tcPr>
          <w:p>
            <w:pPr>
              <w:ind w:left="40"/>
              <w:spacing w:after="0" w:line="22" w:lineRule="exact"/>
              <w:rPr>
                <w:sz w:val="20"/>
                <w:szCs w:val="20"/>
                <w:color w:val="auto"/>
              </w:rPr>
            </w:pPr>
            <w:r>
              <w:rPr>
                <w:rFonts w:ascii="Times New Roman" w:cs="Times New Roman" w:eastAsia="Times New Roman" w:hAnsi="Times New Roman"/>
                <w:sz w:val="2"/>
                <w:szCs w:val="2"/>
                <w:color w:val="auto"/>
              </w:rPr>
              <w:t>​ ​​</w:t>
            </w:r>
          </w:p>
        </w:tc>
        <w:tc>
          <w:tcPr>
            <w:tcW w:w="140" w:type="dxa"/>
            <w:vAlign w:val="bottom"/>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Rating Agency Fees</w:t>
            </w: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5280" w:type="dxa"/>
            <w:vAlign w:val="bottom"/>
            <w:gridSpan w:val="2"/>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680" w:type="dxa"/>
            <w:vAlign w:val="bottom"/>
            <w:gridSpan w:val="2"/>
          </w:tcPr>
          <w:p>
            <w:pPr>
              <w:ind w:left="40"/>
              <w:spacing w:after="0" w:line="22" w:lineRule="exact"/>
              <w:rPr>
                <w:sz w:val="20"/>
                <w:szCs w:val="20"/>
                <w:color w:val="auto"/>
              </w:rPr>
            </w:pPr>
            <w:r>
              <w:rPr>
                <w:rFonts w:ascii="Times New Roman" w:cs="Times New Roman" w:eastAsia="Times New Roman" w:hAnsi="Times New Roman"/>
                <w:sz w:val="2"/>
                <w:szCs w:val="2"/>
                <w:color w:val="auto"/>
              </w:rPr>
              <w:t>​ ​​</w:t>
            </w:r>
          </w:p>
        </w:tc>
        <w:tc>
          <w:tcPr>
            <w:tcW w:w="140" w:type="dxa"/>
            <w:vAlign w:val="bottom"/>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22"/>
        </w:trPr>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72"/>
        </w:trPr>
        <w:tc>
          <w:tcPr>
            <w:tcW w:w="280" w:type="dxa"/>
            <w:vAlign w:val="bottom"/>
          </w:tcPr>
          <w:p>
            <w:pPr>
              <w:spacing w:after="0"/>
              <w:rPr>
                <w:sz w:val="14"/>
                <w:szCs w:val="14"/>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Exchange Listing Fees</w:t>
            </w:r>
          </w:p>
        </w:tc>
        <w:tc>
          <w:tcPr>
            <w:tcW w:w="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5280" w:type="dxa"/>
            <w:vAlign w:val="bottom"/>
            <w:tcBorders>
              <w:bottom w:val="single" w:sz="8" w:color="CCEEFF"/>
            </w:tcBorders>
            <w:gridSpan w:val="2"/>
            <w:shd w:val="clear" w:color="auto" w:fill="CCEEFF"/>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680" w:type="dxa"/>
            <w:vAlign w:val="bottom"/>
            <w:tcBorders>
              <w:bottom w:val="single" w:sz="8" w:color="CCEEFF"/>
            </w:tcBorders>
            <w:gridSpan w:val="2"/>
            <w:shd w:val="clear" w:color="auto" w:fill="CCEEFF"/>
          </w:tcPr>
          <w:p>
            <w:pPr>
              <w:ind w:left="40"/>
              <w:spacing w:after="0" w:line="22" w:lineRule="exact"/>
              <w:rPr>
                <w:sz w:val="20"/>
                <w:szCs w:val="20"/>
                <w:color w:val="auto"/>
              </w:rPr>
            </w:pPr>
            <w:r>
              <w:rPr>
                <w:rFonts w:ascii="Times New Roman" w:cs="Times New Roman" w:eastAsia="Times New Roman" w:hAnsi="Times New Roman"/>
                <w:sz w:val="2"/>
                <w:szCs w:val="2"/>
                <w:color w:val="auto"/>
              </w:rPr>
              <w:t>​ ​​</w:t>
            </w:r>
          </w:p>
        </w:tc>
        <w:tc>
          <w:tcPr>
            <w:tcW w:w="140" w:type="dxa"/>
            <w:vAlign w:val="bottom"/>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5280" w:type="dxa"/>
            <w:vAlign w:val="bottom"/>
            <w:gridSpan w:val="2"/>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680" w:type="dxa"/>
            <w:vAlign w:val="bottom"/>
            <w:gridSpan w:val="2"/>
          </w:tcPr>
          <w:p>
            <w:pPr>
              <w:ind w:left="40"/>
              <w:spacing w:after="0" w:line="22" w:lineRule="exact"/>
              <w:rPr>
                <w:sz w:val="20"/>
                <w:szCs w:val="20"/>
                <w:color w:val="auto"/>
              </w:rPr>
            </w:pPr>
            <w:r>
              <w:rPr>
                <w:rFonts w:ascii="Times New Roman" w:cs="Times New Roman" w:eastAsia="Times New Roman" w:hAnsi="Times New Roman"/>
                <w:sz w:val="2"/>
                <w:szCs w:val="2"/>
                <w:color w:val="auto"/>
              </w:rPr>
              <w:t>​ ​​</w:t>
            </w:r>
          </w:p>
        </w:tc>
        <w:tc>
          <w:tcPr>
            <w:tcW w:w="140" w:type="dxa"/>
            <w:vAlign w:val="bottom"/>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22"/>
        </w:trPr>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72"/>
        </w:trPr>
        <w:tc>
          <w:tcPr>
            <w:tcW w:w="280" w:type="dxa"/>
            <w:vAlign w:val="bottom"/>
          </w:tcPr>
          <w:p>
            <w:pPr>
              <w:spacing w:after="0"/>
              <w:rPr>
                <w:sz w:val="14"/>
                <w:szCs w:val="14"/>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5280" w:type="dxa"/>
            <w:vAlign w:val="bottom"/>
            <w:tcBorders>
              <w:bottom w:val="single" w:sz="8" w:color="CCEEFF"/>
            </w:tcBorders>
            <w:gridSpan w:val="2"/>
            <w:shd w:val="clear" w:color="auto" w:fill="CCEEFF"/>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680" w:type="dxa"/>
            <w:vAlign w:val="bottom"/>
            <w:tcBorders>
              <w:bottom w:val="single" w:sz="8" w:color="CCEEFF"/>
            </w:tcBorders>
            <w:gridSpan w:val="2"/>
            <w:shd w:val="clear" w:color="auto" w:fill="CCEEFF"/>
          </w:tcPr>
          <w:p>
            <w:pPr>
              <w:ind w:left="40"/>
              <w:spacing w:after="0" w:line="22" w:lineRule="exact"/>
              <w:rPr>
                <w:sz w:val="20"/>
                <w:szCs w:val="20"/>
                <w:color w:val="auto"/>
              </w:rPr>
            </w:pPr>
            <w:r>
              <w:rPr>
                <w:rFonts w:ascii="Times New Roman" w:cs="Times New Roman" w:eastAsia="Times New Roman" w:hAnsi="Times New Roman"/>
                <w:sz w:val="2"/>
                <w:szCs w:val="2"/>
                <w:color w:val="auto"/>
              </w:rPr>
              <w:t>​ ​​</w:t>
            </w:r>
          </w:p>
        </w:tc>
        <w:tc>
          <w:tcPr>
            <w:tcW w:w="140" w:type="dxa"/>
            <w:vAlign w:val="bottom"/>
          </w:tcPr>
          <w:p>
            <w:pPr>
              <w:spacing w:after="0" w:line="22"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rPr>
                <w:sz w:val="1"/>
                <w:szCs w:val="1"/>
                <w:color w:val="auto"/>
              </w:rPr>
            </w:pPr>
          </w:p>
        </w:tc>
      </w:tr>
      <w:tr>
        <w:trPr>
          <w:trHeight w:val="174"/>
        </w:trPr>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520" w:hanging="290"/>
        <w:spacing w:after="0"/>
        <w:tabs>
          <w:tab w:leader="none" w:pos="1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in reliance on Rules 456(b) and 457(r) under the Securities Act.</w:t>
      </w:r>
    </w:p>
    <w:p>
      <w:pPr>
        <w:spacing w:after="0" w:line="54" w:lineRule="exact"/>
        <w:rPr>
          <w:sz w:val="20"/>
          <w:szCs w:val="20"/>
          <w:color w:val="auto"/>
        </w:rPr>
      </w:pPr>
    </w:p>
    <w:p>
      <w:pPr>
        <w:ind w:left="1520" w:right="1419" w:hanging="290"/>
        <w:spacing w:after="0" w:line="294" w:lineRule="auto"/>
        <w:tabs>
          <w:tab w:leader="none" w:pos="1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an indeterminate amount of securities is covered by this registration statement, the expenses in connection with the issuance and distribution of the securities are not currently determinable.</w:t>
      </w:r>
    </w:p>
    <w:p>
      <w:pPr>
        <w:spacing w:after="0" w:line="1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32" w:lineRule="exact"/>
        <w:rPr>
          <w:sz w:val="20"/>
          <w:szCs w:val="20"/>
          <w:color w:val="auto"/>
        </w:rPr>
      </w:pPr>
    </w:p>
    <w:p>
      <w:pPr>
        <w:ind w:left="1240" w:right="1299" w:firstLine="287"/>
        <w:spacing w:after="0" w:line="259" w:lineRule="auto"/>
        <w:rPr>
          <w:sz w:val="20"/>
          <w:szCs w:val="20"/>
          <w:color w:val="auto"/>
        </w:rPr>
      </w:pPr>
      <w:r>
        <w:rPr>
          <w:rFonts w:ascii="Times New Roman" w:cs="Times New Roman" w:eastAsia="Times New Roman" w:hAnsi="Times New Roman"/>
          <w:sz w:val="14"/>
          <w:szCs w:val="14"/>
          <w:color w:val="auto"/>
        </w:rPr>
        <w:t>Article VII of our Certificate of Incorporation provides that, to the fullest extent permitted under the New York Business Corporation Law, no director or officer of our company shall be personally liable to the company or its shareholders for monetary damages for any breach of fiduciary duty in such capacity.</w:t>
      </w:r>
    </w:p>
    <w:p>
      <w:pPr>
        <w:spacing w:after="0" w:line="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Section 722 of the New York Business Corporation Law permits a corporation to provide for the</w:t>
      </w:r>
    </w:p>
    <w:p>
      <w:pPr>
        <w:spacing w:after="0" w:line="25" w:lineRule="exact"/>
        <w:rPr>
          <w:sz w:val="20"/>
          <w:szCs w:val="20"/>
          <w:color w:val="auto"/>
        </w:rPr>
      </w:pPr>
    </w:p>
    <w:p>
      <w:pPr>
        <w:ind w:left="1240" w:right="1319"/>
        <w:spacing w:after="0" w:line="249" w:lineRule="auto"/>
        <w:rPr>
          <w:sz w:val="20"/>
          <w:szCs w:val="20"/>
          <w:color w:val="auto"/>
        </w:rPr>
      </w:pPr>
      <w:r>
        <w:rPr>
          <w:rFonts w:ascii="Times New Roman" w:cs="Times New Roman" w:eastAsia="Times New Roman" w:hAnsi="Times New Roman"/>
          <w:sz w:val="14"/>
          <w:szCs w:val="14"/>
          <w:color w:val="auto"/>
        </w:rPr>
        <w:t>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88" w:lineRule="exact"/>
        <w:rPr>
          <w:sz w:val="20"/>
          <w:szCs w:val="20"/>
          <w:color w:val="auto"/>
        </w:rPr>
      </w:pPr>
    </w:p>
    <w:p>
      <w:pPr>
        <w:ind w:left="1240" w:right="1399" w:firstLine="287"/>
        <w:spacing w:after="0" w:line="254" w:lineRule="auto"/>
        <w:rPr>
          <w:sz w:val="20"/>
          <w:szCs w:val="20"/>
          <w:color w:val="auto"/>
        </w:rPr>
      </w:pPr>
      <w:r>
        <w:rPr>
          <w:rFonts w:ascii="Times New Roman" w:cs="Times New Roman" w:eastAsia="Times New Roman" w:hAnsi="Times New Roman"/>
          <w:sz w:val="14"/>
          <w:szCs w:val="14"/>
          <w:color w:val="auto"/>
        </w:rPr>
        <w:t>Article IV of our Amended and Restated By-Laws provides that the directors and certain other personnel of our company shall be indemnified against expenses and certain other liabilities arising out of legal actions brought or threatened against them for their conduct on behalf of our company, subject to certain qualifications and provided that each such person acted in good faith and in a manner that they reasonably believed was in our best interest.</w:t>
      </w:r>
    </w:p>
    <w:p>
      <w:pPr>
        <w:spacing w:after="0" w:line="85" w:lineRule="exact"/>
        <w:rPr>
          <w:sz w:val="20"/>
          <w:szCs w:val="20"/>
          <w:color w:val="auto"/>
        </w:rPr>
      </w:pPr>
    </w:p>
    <w:p>
      <w:pPr>
        <w:ind w:left="1240" w:right="1279" w:firstLine="287"/>
        <w:spacing w:after="0" w:line="258"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us pursuant to the foregoing provisions or otherwise, we have been informed that in the opinion of the SEC such indemnification is against public policy as expressed in the Securities Act and is therefore unenforceable.</w:t>
      </w:r>
    </w:p>
    <w:p>
      <w:pPr>
        <w:spacing w:after="0" w:line="83" w:lineRule="exact"/>
        <w:rPr>
          <w:sz w:val="20"/>
          <w:szCs w:val="20"/>
          <w:color w:val="auto"/>
        </w:rPr>
      </w:pPr>
    </w:p>
    <w:p>
      <w:pPr>
        <w:ind w:left="1240" w:right="1559" w:firstLine="287"/>
        <w:spacing w:after="0" w:line="258" w:lineRule="auto"/>
        <w:rPr>
          <w:sz w:val="20"/>
          <w:szCs w:val="20"/>
          <w:color w:val="auto"/>
        </w:rPr>
      </w:pPr>
      <w:r>
        <w:rPr>
          <w:rFonts w:ascii="Times New Roman" w:cs="Times New Roman" w:eastAsia="Times New Roman" w:hAnsi="Times New Roman"/>
          <w:sz w:val="14"/>
          <w:szCs w:val="14"/>
          <w:color w:val="auto"/>
        </w:rPr>
        <w:t>Our employment agreement with our President and Chief Executive Officer includes a provision indemnifying him to the fullest extent permitted by law in connection with his serving as an officer or director of the Company. Such indemnification is in addition to and not in lieu of other indemnification rights. We maintain directors’ and officers’ liability insurance which insures against liabilities that our directors or officers may incur in such capacities.</w:t>
      </w:r>
    </w:p>
    <w:p>
      <w:pPr>
        <w:spacing w:after="0" w:line="1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32" w:lineRule="exact"/>
        <w:rPr>
          <w:sz w:val="20"/>
          <w:szCs w:val="20"/>
          <w:color w:val="auto"/>
        </w:rPr>
      </w:pPr>
    </w:p>
    <w:p>
      <w:pPr>
        <w:ind w:left="1240" w:right="1679" w:firstLine="287"/>
        <w:spacing w:after="0" w:line="277" w:lineRule="auto"/>
        <w:rPr>
          <w:sz w:val="20"/>
          <w:szCs w:val="20"/>
          <w:color w:val="auto"/>
        </w:rPr>
      </w:pPr>
      <w:r>
        <w:rPr>
          <w:rFonts w:ascii="Times New Roman" w:cs="Times New Roman" w:eastAsia="Times New Roman" w:hAnsi="Times New Roman"/>
          <w:sz w:val="14"/>
          <w:szCs w:val="14"/>
          <w:color w:val="auto"/>
        </w:rPr>
        <w:t>The Exhibits to this registration statement are listed in the Exhibit Index and are incorporated by reference herein.</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19" w:lineRule="exact"/>
        <w:rPr>
          <w:sz w:val="20"/>
          <w:szCs w:val="20"/>
          <w:color w:val="auto"/>
        </w:rPr>
      </w:pPr>
    </w:p>
    <w:p>
      <w:pPr>
        <w:ind w:left="2140" w:right="1319" w:hanging="623"/>
        <w:spacing w:after="0" w:line="294" w:lineRule="auto"/>
        <w:tabs>
          <w:tab w:leader="none" w:pos="184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To file, during any period in which offers or sales are being made of the securities registered hereby, a post-effective amendment to this registration statement:</w:t>
      </w:r>
    </w:p>
    <w:p>
      <w:pPr>
        <w:spacing w:after="0" w:line="68" w:lineRule="exact"/>
        <w:rPr>
          <w:rFonts w:ascii="Times New Roman" w:cs="Times New Roman" w:eastAsia="Times New Roman" w:hAnsi="Times New Roman"/>
          <w:sz w:val="14"/>
          <w:szCs w:val="14"/>
          <w:color w:val="auto"/>
        </w:rPr>
      </w:pPr>
    </w:p>
    <w:p>
      <w:pPr>
        <w:ind w:left="2380" w:hanging="288"/>
        <w:spacing w:after="0"/>
        <w:tabs>
          <w:tab w:leader="none" w:pos="23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19" w:lineRule="exact"/>
        <w:rPr>
          <w:rFonts w:ascii="Times New Roman" w:cs="Times New Roman" w:eastAsia="Times New Roman" w:hAnsi="Times New Roman"/>
          <w:sz w:val="14"/>
          <w:szCs w:val="14"/>
          <w:color w:val="auto"/>
        </w:rPr>
      </w:pPr>
    </w:p>
    <w:p>
      <w:pPr>
        <w:ind w:left="2380" w:right="1319" w:hanging="288"/>
        <w:spacing w:after="0" w:line="260" w:lineRule="auto"/>
        <w:tabs>
          <w:tab w:leader="none" w:pos="23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59" w:lineRule="exact"/>
        <w:rPr>
          <w:rFonts w:ascii="Times New Roman" w:cs="Times New Roman" w:eastAsia="Times New Roman" w:hAnsi="Times New Roman"/>
          <w:sz w:val="14"/>
          <w:szCs w:val="14"/>
          <w:color w:val="auto"/>
        </w:rPr>
      </w:pPr>
    </w:p>
    <w:p>
      <w:pPr>
        <w:ind w:left="2380" w:right="1799" w:hanging="288"/>
        <w:spacing w:after="0" w:line="275" w:lineRule="auto"/>
        <w:tabs>
          <w:tab w:leader="none" w:pos="23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80" w:lineRule="exact"/>
        <w:rPr>
          <w:sz w:val="20"/>
          <w:szCs w:val="20"/>
          <w:color w:val="auto"/>
        </w:rPr>
      </w:pPr>
    </w:p>
    <w:p>
      <w:pPr>
        <w:ind w:left="1520" w:right="1399"/>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the undertakings set forth in paragraphs (A)(1)(i), (A)(1)(ii) and (A)(1)(iii)</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255" w:lineRule="exact"/>
        <w:rPr>
          <w:sz w:val="20"/>
          <w:szCs w:val="20"/>
          <w:color w:val="auto"/>
        </w:rPr>
      </w:pPr>
    </w:p>
    <w:p>
      <w:pPr>
        <w:ind w:left="2100" w:right="1239" w:hanging="295"/>
        <w:spacing w:after="0" w:line="269" w:lineRule="auto"/>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75" w:lineRule="exact"/>
        <w:rPr>
          <w:rFonts w:ascii="Times New Roman" w:cs="Times New Roman" w:eastAsia="Times New Roman" w:hAnsi="Times New Roman"/>
          <w:sz w:val="14"/>
          <w:szCs w:val="14"/>
          <w:color w:val="auto"/>
        </w:rPr>
      </w:pPr>
    </w:p>
    <w:p>
      <w:pPr>
        <w:ind w:left="2100" w:right="1499" w:hanging="295"/>
        <w:spacing w:after="0" w:line="294" w:lineRule="auto"/>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68" w:lineRule="exact"/>
        <w:rPr>
          <w:rFonts w:ascii="Times New Roman" w:cs="Times New Roman" w:eastAsia="Times New Roman" w:hAnsi="Times New Roman"/>
          <w:sz w:val="14"/>
          <w:szCs w:val="14"/>
          <w:color w:val="auto"/>
        </w:rPr>
      </w:pPr>
    </w:p>
    <w:p>
      <w:pPr>
        <w:ind w:left="2100" w:hanging="295"/>
        <w:spacing w:after="0"/>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19" w:lineRule="exact"/>
        <w:rPr>
          <w:rFonts w:ascii="Times New Roman" w:cs="Times New Roman" w:eastAsia="Times New Roman" w:hAnsi="Times New Roman"/>
          <w:sz w:val="14"/>
          <w:szCs w:val="14"/>
          <w:color w:val="auto"/>
        </w:rPr>
      </w:pPr>
    </w:p>
    <w:p>
      <w:pPr>
        <w:ind w:left="2380" w:right="1339" w:hanging="288"/>
        <w:spacing w:after="0" w:line="275" w:lineRule="auto"/>
        <w:tabs>
          <w:tab w:leader="none" w:pos="23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2" w:lineRule="exact"/>
        <w:rPr>
          <w:rFonts w:ascii="Times New Roman" w:cs="Times New Roman" w:eastAsia="Times New Roman" w:hAnsi="Times New Roman"/>
          <w:sz w:val="14"/>
          <w:szCs w:val="14"/>
          <w:color w:val="auto"/>
        </w:rPr>
      </w:pPr>
    </w:p>
    <w:p>
      <w:pPr>
        <w:ind w:left="2380" w:right="1259" w:hanging="288"/>
        <w:spacing w:after="0" w:line="259" w:lineRule="auto"/>
        <w:tabs>
          <w:tab w:leader="none" w:pos="23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380" w:right="1259"/>
        <w:spacing w:after="0" w:line="275" w:lineRule="auto"/>
        <w:rPr>
          <w:sz w:val="20"/>
          <w:szCs w:val="20"/>
          <w:color w:val="auto"/>
        </w:rPr>
      </w:pPr>
      <w:r>
        <w:rPr>
          <w:rFonts w:ascii="Times New Roman" w:cs="Times New Roman" w:eastAsia="Times New Roman" w:hAnsi="Times New Roman"/>
          <w:sz w:val="14"/>
          <w:szCs w:val="14"/>
          <w:color w:val="auto"/>
        </w:rPr>
        <w:t>or modify any statement that was made in the registration statement or prospectus that was part of the registration statement or made in any such document immediately prior to such effective date.</w:t>
      </w:r>
    </w:p>
    <w:p>
      <w:pPr>
        <w:spacing w:after="0" w:line="82" w:lineRule="exact"/>
        <w:rPr>
          <w:sz w:val="20"/>
          <w:szCs w:val="20"/>
          <w:color w:val="auto"/>
        </w:rPr>
      </w:pPr>
    </w:p>
    <w:p>
      <w:pPr>
        <w:ind w:left="2100" w:right="1239" w:hanging="295"/>
        <w:spacing w:after="0" w:line="263" w:lineRule="auto"/>
        <w:tabs>
          <w:tab w:leader="none" w:pos="21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rFonts w:ascii="Times New Roman" w:cs="Times New Roman" w:eastAsia="Times New Roman" w:hAnsi="Times New Roman"/>
          <w:sz w:val="14"/>
          <w:szCs w:val="14"/>
          <w:color w:val="auto"/>
        </w:rPr>
      </w:pPr>
    </w:p>
    <w:p>
      <w:pPr>
        <w:ind w:left="2380" w:right="1479" w:hanging="288"/>
        <w:spacing w:after="0" w:line="294" w:lineRule="auto"/>
        <w:tabs>
          <w:tab w:leader="none" w:pos="2380"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57" w:lineRule="exact"/>
        <w:rPr>
          <w:rFonts w:ascii="Times New Roman" w:cs="Times New Roman" w:eastAsia="Times New Roman" w:hAnsi="Times New Roman"/>
          <w:sz w:val="14"/>
          <w:szCs w:val="14"/>
          <w:color w:val="auto"/>
        </w:rPr>
      </w:pPr>
    </w:p>
    <w:p>
      <w:pPr>
        <w:ind w:left="2380" w:right="1659" w:hanging="288"/>
        <w:spacing w:after="0" w:line="294" w:lineRule="auto"/>
        <w:tabs>
          <w:tab w:leader="none" w:pos="2380"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68" w:lineRule="exact"/>
        <w:rPr>
          <w:rFonts w:ascii="Times New Roman" w:cs="Times New Roman" w:eastAsia="Times New Roman" w:hAnsi="Times New Roman"/>
          <w:sz w:val="14"/>
          <w:szCs w:val="14"/>
          <w:color w:val="auto"/>
        </w:rPr>
      </w:pPr>
    </w:p>
    <w:p>
      <w:pPr>
        <w:ind w:left="2380" w:right="1359" w:hanging="288"/>
        <w:spacing w:after="0" w:line="275" w:lineRule="auto"/>
        <w:tabs>
          <w:tab w:leader="none" w:pos="2380"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2" w:lineRule="exact"/>
        <w:rPr>
          <w:rFonts w:ascii="Times New Roman" w:cs="Times New Roman" w:eastAsia="Times New Roman" w:hAnsi="Times New Roman"/>
          <w:sz w:val="14"/>
          <w:szCs w:val="14"/>
          <w:color w:val="auto"/>
        </w:rPr>
      </w:pPr>
    </w:p>
    <w:p>
      <w:pPr>
        <w:ind w:left="2380" w:right="1719" w:hanging="288"/>
        <w:spacing w:after="0" w:line="294" w:lineRule="auto"/>
        <w:tabs>
          <w:tab w:leader="none" w:pos="2380"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57" w:lineRule="exact"/>
        <w:rPr>
          <w:rFonts w:ascii="Times New Roman" w:cs="Times New Roman" w:eastAsia="Times New Roman" w:hAnsi="Times New Roman"/>
          <w:sz w:val="14"/>
          <w:szCs w:val="14"/>
          <w:color w:val="auto"/>
        </w:rPr>
      </w:pPr>
    </w:p>
    <w:p>
      <w:pPr>
        <w:ind w:left="1800" w:right="1299" w:hanging="283"/>
        <w:spacing w:after="0" w:line="263" w:lineRule="auto"/>
        <w:tabs>
          <w:tab w:leader="none" w:pos="18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266" w:lineRule="exact"/>
        <w:rPr>
          <w:rFonts w:ascii="Times New Roman" w:cs="Times New Roman" w:eastAsia="Times New Roman" w:hAnsi="Times New Roman"/>
          <w:sz w:val="14"/>
          <w:szCs w:val="14"/>
          <w:color w:val="auto"/>
        </w:rPr>
      </w:pPr>
    </w:p>
    <w:p>
      <w:pPr>
        <w:ind w:left="1800" w:right="1259" w:hanging="283"/>
        <w:spacing w:after="0" w:line="260" w:lineRule="auto"/>
        <w:tabs>
          <w:tab w:leader="none" w:pos="18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59" w:lineRule="exact"/>
        <w:rPr>
          <w:sz w:val="20"/>
          <w:szCs w:val="20"/>
          <w:color w:val="auto"/>
        </w:rPr>
      </w:pPr>
    </w:p>
    <w:tbl>
      <w:tblPr>
        <w:tblLayout w:type="fixed"/>
        <w:tblInd w:w="1240" w:type="dxa"/>
        <w:tblCellMar>
          <w:top w:w="0" w:type="dxa"/>
          <w:left w:w="0" w:type="dxa"/>
          <w:bottom w:w="0" w:type="dxa"/>
          <w:right w:w="0" w:type="dxa"/>
        </w:tblCellMar>
      </w:tblPr>
      <w:tr>
        <w:trPr>
          <w:trHeight w:val="129"/>
        </w:trPr>
        <w:tc>
          <w:tcPr>
            <w:tcW w:w="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540" w:type="dxa"/>
            <w:vAlign w:val="bottom"/>
            <w:gridSpan w:val="22"/>
          </w:tcPr>
          <w:p>
            <w:pPr>
              <w:spacing w:after="0" w:line="170"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 ​​</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81"/>
        </w:trPr>
        <w:tc>
          <w:tcPr>
            <w:tcW w:w="38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1.1*</w:t>
            </w:r>
          </w:p>
        </w:tc>
        <w:tc>
          <w:tcPr>
            <w:tcW w:w="20" w:type="dxa"/>
            <w:vAlign w:val="bottom"/>
            <w:tcBorders>
              <w:top w:val="single" w:sz="8" w:color="auto"/>
            </w:tcBorders>
          </w:tcPr>
          <w:p>
            <w:pPr>
              <w:spacing w:after="0"/>
              <w:rPr>
                <w:sz w:val="15"/>
                <w:szCs w:val="15"/>
                <w:color w:val="auto"/>
              </w:rPr>
            </w:pPr>
          </w:p>
        </w:tc>
        <w:tc>
          <w:tcPr>
            <w:tcW w:w="6140" w:type="dxa"/>
            <w:vAlign w:val="bottom"/>
            <w:gridSpan w:val="20"/>
          </w:tcPr>
          <w:p>
            <w:pPr>
              <w:spacing w:after="0" w:line="181"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 xml:space="preserve"> Form of Underwriting Agreement.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980" w:type="dxa"/>
            <w:vAlign w:val="bottom"/>
            <w:gridSpan w:val="19"/>
          </w:tcPr>
          <w:p>
            <w:pPr>
              <w:spacing w:after="0"/>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Restated Certificate of Incorporation of Regeneron Pharmaceuticals, Inc., as amended</w:t>
              </w:r>
            </w:hyperlink>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780" w:type="dxa"/>
            <w:vAlign w:val="bottom"/>
            <w:tcBorders>
              <w:bottom w:val="single" w:sz="8" w:color="0000EE"/>
            </w:tcBorders>
            <w:gridSpan w:val="16"/>
          </w:tcPr>
          <w:p>
            <w:pPr>
              <w:spacing w:after="0" w:line="153" w:lineRule="exact"/>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(incorporated by reference to Exhibit 3.1 to the Form 10-Q for Regeneron Pharmaceuticals, Inc.</w:t>
              </w:r>
            </w:hyperlink>
          </w:p>
        </w:tc>
        <w:tc>
          <w:tcPr>
            <w:tcW w:w="2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tcBorders>
              <w:bottom w:val="single" w:sz="8" w:color="0000EE"/>
            </w:tcBorders>
            <w:gridSpan w:val="8"/>
          </w:tcPr>
          <w:p>
            <w:pPr>
              <w:spacing w:after="0" w:line="153" w:lineRule="exact"/>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for the quarter ended June 30, 2015, filed on August 4, 2015).</w:t>
              </w:r>
            </w:hyperlink>
          </w:p>
        </w:tc>
        <w:tc>
          <w:tcPr>
            <w:tcW w:w="2260" w:type="dxa"/>
            <w:vAlign w:val="bottom"/>
            <w:gridSpan w:val="11"/>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6020" w:type="dxa"/>
            <w:vAlign w:val="bottom"/>
            <w:gridSpan w:val="20"/>
          </w:tcPr>
          <w:p>
            <w:pPr>
              <w:spacing w:after="0"/>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 xml:space="preserve">Amended and Restated By-Laws of Regeneron Pharmaceuticals, Inc. (incorporated by reference to </w:t>
              </w:r>
            </w:hyperlink>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152"/>
        </w:trPr>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4.2.1 ​ ​</w:t>
            </w:r>
          </w:p>
        </w:tc>
        <w:tc>
          <w:tcPr>
            <w:tcW w:w="5760" w:type="dxa"/>
            <w:vAlign w:val="bottom"/>
            <w:tcBorders>
              <w:top w:val="single" w:sz="8" w:color="0000EE"/>
              <w:bottom w:val="single" w:sz="8" w:color="0000EE"/>
            </w:tcBorders>
            <w:gridSpan w:val="15"/>
          </w:tcPr>
          <w:p>
            <w:pPr>
              <w:spacing w:after="0" w:line="153" w:lineRule="exact"/>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Exhibit 3.2 to the Form 8-K for Regeneron Pharmaceuticals, Inc., filed on December 21, 2016).</w:t>
              </w:r>
            </w:hyperlink>
          </w:p>
        </w:tc>
        <w:tc>
          <w:tcPr>
            <w:tcW w:w="180" w:type="dxa"/>
            <w:vAlign w:val="bottom"/>
            <w:tcBorders>
              <w:top w:val="single" w:sz="8" w:color="0000EE"/>
            </w:tcBorders>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560" w:type="dxa"/>
            <w:vAlign w:val="bottom"/>
            <w:gridSpan w:val="3"/>
            <w:vMerge w:val="continue"/>
          </w:tcPr>
          <w:p>
            <w:pPr>
              <w:spacing w:after="0"/>
              <w:rPr>
                <w:sz w:val="16"/>
                <w:szCs w:val="16"/>
                <w:color w:val="auto"/>
              </w:rPr>
            </w:pPr>
          </w:p>
        </w:tc>
        <w:tc>
          <w:tcPr>
            <w:tcW w:w="530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Amendment to the Amended and Restated By-Laws of Regeneron Pharmaceuticals, Inc.</w:t>
              </w:r>
            </w:hyperlink>
          </w:p>
        </w:tc>
        <w:tc>
          <w:tcPr>
            <w:tcW w:w="680" w:type="dxa"/>
            <w:vAlign w:val="bottom"/>
            <w:gridSpan w:val="7"/>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740" w:type="dxa"/>
            <w:vAlign w:val="bottom"/>
            <w:tcBorders>
              <w:bottom w:val="single" w:sz="8" w:color="0000EE"/>
            </w:tcBorders>
            <w:gridSpan w:val="14"/>
          </w:tcPr>
          <w:p>
            <w:pPr>
              <w:spacing w:after="0" w:line="153" w:lineRule="exact"/>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(incorporated by reference to Exhibit 3.2 to the Form 8-K for Regeneron Pharmaceuticals, Inc.,</w:t>
              </w:r>
            </w:hyperlink>
          </w:p>
        </w:tc>
        <w:tc>
          <w:tcPr>
            <w:tcW w:w="24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4.4</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tcBorders>
              <w:bottom w:val="single" w:sz="8" w:color="0000EE"/>
            </w:tcBorders>
            <w:gridSpan w:val="2"/>
          </w:tcPr>
          <w:p>
            <w:pPr>
              <w:spacing w:after="0" w:line="153" w:lineRule="exact"/>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filed on June 14, 2023).</w:t>
              </w:r>
            </w:hyperlink>
          </w:p>
        </w:tc>
        <w:tc>
          <w:tcPr>
            <w:tcW w:w="4560" w:type="dxa"/>
            <w:vAlign w:val="bottom"/>
            <w:gridSpan w:val="17"/>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80" w:type="dxa"/>
            <w:vAlign w:val="bottom"/>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598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Specimen Common Stock Certificate.</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616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 ​ Specimen Preferred Stock Certificate and Form of Certificate of Designation, Preferences, and</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Rights with respect to any series of Preferred Stock issued hereunder.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 4.6</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86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Indenture, dated August 12, 2020, between Regeneron Pharmaceuticals, Inc. and U.S. Bank Trust</w:t>
              </w:r>
            </w:hyperlink>
          </w:p>
        </w:tc>
        <w:tc>
          <w:tcPr>
            <w:tcW w:w="120" w:type="dxa"/>
            <w:vAlign w:val="bottom"/>
            <w:gridSpan w:val="2"/>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980" w:type="dxa"/>
            <w:vAlign w:val="bottom"/>
            <w:gridSpan w:val="19"/>
          </w:tcPr>
          <w:p>
            <w:pPr>
              <w:spacing w:after="0" w:line="153"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Company, National Association (incorporated by reference to Exhibit 4.1 to the Form 8-K for</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tcBorders>
              <w:top w:val="single" w:sz="8" w:color="0000EE"/>
              <w:bottom w:val="single" w:sz="8" w:color="0000EE"/>
            </w:tcBorders>
            <w:gridSpan w:val="7"/>
          </w:tcPr>
          <w:p>
            <w:pPr>
              <w:spacing w:after="0" w:line="153"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Regeneron Pharmaceuticals, Inc., filed on August 12, 2020).</w:t>
              </w:r>
            </w:hyperlink>
          </w:p>
        </w:tc>
        <w:tc>
          <w:tcPr>
            <w:tcW w:w="1980" w:type="dxa"/>
            <w:vAlign w:val="bottom"/>
            <w:tcBorders>
              <w:top w:val="single" w:sz="8" w:color="0000EE"/>
            </w:tcBorders>
            <w:gridSpan w:val="6"/>
          </w:tcPr>
          <w:p>
            <w:pPr>
              <w:spacing w:after="0"/>
              <w:rPr>
                <w:sz w:val="13"/>
                <w:szCs w:val="13"/>
                <w:color w:val="auto"/>
              </w:rPr>
            </w:pPr>
          </w:p>
        </w:tc>
        <w:tc>
          <w:tcPr>
            <w:tcW w:w="36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line="223"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4.7*</w:t>
            </w:r>
          </w:p>
        </w:tc>
        <w:tc>
          <w:tcPr>
            <w:tcW w:w="6160" w:type="dxa"/>
            <w:vAlign w:val="bottom"/>
            <w:gridSpan w:val="21"/>
          </w:tcPr>
          <w:p>
            <w:pPr>
              <w:spacing w:after="0" w:line="223"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Form of any Debt Security.</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5"/>
        </w:trPr>
        <w:tc>
          <w:tcPr>
            <w:tcW w:w="380" w:type="dxa"/>
            <w:vAlign w:val="bottom"/>
          </w:tcPr>
          <w:p>
            <w:pPr>
              <w:spacing w:after="0" w:line="216"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4.8*</w:t>
            </w:r>
          </w:p>
        </w:tc>
        <w:tc>
          <w:tcPr>
            <w:tcW w:w="6160" w:type="dxa"/>
            <w:vAlign w:val="bottom"/>
            <w:gridSpan w:val="21"/>
          </w:tcPr>
          <w:p>
            <w:pPr>
              <w:spacing w:after="0" w:line="216"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Form of Warrant Agreement (including form of Warrant Certificate).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80" w:type="dxa"/>
            <w:vAlign w:val="bottom"/>
          </w:tcPr>
          <w:p>
            <w:pPr>
              <w:spacing w:after="0" w:line="198"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5.1</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98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Opinion of Skadden, Arps, Slate, Meagher &amp; Flom LLP.</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 ​</w:t>
            </w:r>
          </w:p>
        </w:tc>
        <w:tc>
          <w:tcPr>
            <w:tcW w:w="2500" w:type="dxa"/>
            <w:vAlign w:val="bottom"/>
            <w:tcBorders>
              <w:top w:val="single" w:sz="8" w:color="0000EE"/>
            </w:tcBorders>
            <w:gridSpan w:val="4"/>
            <w:vMerge w:val="restart"/>
          </w:tcPr>
          <w:p>
            <w:pPr>
              <w:spacing w:after="0"/>
              <w:rPr>
                <w:sz w:val="20"/>
                <w:szCs w:val="20"/>
                <w:color w:val="auto"/>
              </w:rPr>
            </w:pPr>
            <w:r>
              <w:rPr>
                <w:rFonts w:ascii="Times New Roman" w:cs="Times New Roman" w:eastAsia="Times New Roman" w:hAnsi="Times New Roman"/>
                <w:sz w:val="14"/>
                <w:szCs w:val="14"/>
                <w:color w:val="0000EE"/>
              </w:rPr>
              <w:t>Consent of PricewaterhouseCoopers LLP.</w:t>
            </w:r>
          </w:p>
        </w:tc>
        <w:tc>
          <w:tcPr>
            <w:tcW w:w="880" w:type="dxa"/>
            <w:vAlign w:val="bottom"/>
            <w:tcBorders>
              <w:top w:val="single" w:sz="8" w:color="0000EE"/>
            </w:tcBorders>
            <w:gridSpan w:val="2"/>
            <w:vMerge w:val="restart"/>
          </w:tcPr>
          <w:p>
            <w:pPr>
              <w:spacing w:after="0"/>
              <w:rPr>
                <w:sz w:val="12"/>
                <w:szCs w:val="12"/>
                <w:color w:val="auto"/>
              </w:rPr>
            </w:pPr>
          </w:p>
        </w:tc>
        <w:tc>
          <w:tcPr>
            <w:tcW w:w="2600" w:type="dxa"/>
            <w:vAlign w:val="bottom"/>
            <w:gridSpan w:val="13"/>
            <w:vMerge w:val="restart"/>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9"/>
        </w:trPr>
        <w:tc>
          <w:tcPr>
            <w:tcW w:w="3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23.1</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500" w:type="dxa"/>
            <w:vAlign w:val="bottom"/>
            <w:tcBorders>
              <w:bottom w:val="single" w:sz="8" w:color="0000EE"/>
            </w:tcBorders>
            <w:gridSpan w:val="4"/>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600" w:type="dxa"/>
            <w:vAlign w:val="bottom"/>
            <w:gridSpan w:val="13"/>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 ​</w:t>
            </w:r>
          </w:p>
        </w:tc>
        <w:tc>
          <w:tcPr>
            <w:tcW w:w="492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color w:val="0000EE"/>
              </w:rPr>
              <w:t>Consent of Skadden, Arps, Slate, Meagher &amp; Flom LLP (included in Exhibit 5.1).</w:t>
            </w:r>
          </w:p>
        </w:tc>
        <w:tc>
          <w:tcPr>
            <w:tcW w:w="1060" w:type="dxa"/>
            <w:vAlign w:val="bottom"/>
            <w:gridSpan w:val="9"/>
            <w:vMerge w:val="restart"/>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9"/>
        </w:trPr>
        <w:tc>
          <w:tcPr>
            <w:tcW w:w="3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23.2</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920" w:type="dxa"/>
            <w:vAlign w:val="bottom"/>
            <w:tcBorders>
              <w:bottom w:val="single" w:sz="8" w:color="0000EE"/>
            </w:tcBorders>
            <w:gridSpan w:val="10"/>
            <w:vMerge w:val="continue"/>
          </w:tcPr>
          <w:p>
            <w:pPr>
              <w:spacing w:after="0"/>
              <w:rPr>
                <w:sz w:val="4"/>
                <w:szCs w:val="4"/>
                <w:color w:val="auto"/>
              </w:rPr>
            </w:pPr>
          </w:p>
        </w:tc>
        <w:tc>
          <w:tcPr>
            <w:tcW w:w="1060" w:type="dxa"/>
            <w:vAlign w:val="bottom"/>
            <w:gridSpan w:val="9"/>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 ​</w:t>
            </w:r>
          </w:p>
        </w:tc>
        <w:tc>
          <w:tcPr>
            <w:tcW w:w="33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0000EE"/>
              </w:rPr>
              <w:t>Power of Attorney (included on signature page hereto).</w:t>
            </w:r>
          </w:p>
        </w:tc>
        <w:tc>
          <w:tcPr>
            <w:tcW w:w="2660" w:type="dxa"/>
            <w:vAlign w:val="bottom"/>
            <w:gridSpan w:val="14"/>
            <w:vMerge w:val="restart"/>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9"/>
        </w:trPr>
        <w:tc>
          <w:tcPr>
            <w:tcW w:w="3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24.1</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320" w:type="dxa"/>
            <w:vAlign w:val="bottom"/>
            <w:tcBorders>
              <w:bottom w:val="single" w:sz="8" w:color="0000EE"/>
            </w:tcBorders>
            <w:gridSpan w:val="5"/>
            <w:vMerge w:val="continue"/>
          </w:tcPr>
          <w:p>
            <w:pPr>
              <w:spacing w:after="0"/>
              <w:rPr>
                <w:sz w:val="4"/>
                <w:szCs w:val="4"/>
                <w:color w:val="auto"/>
              </w:rPr>
            </w:pPr>
          </w:p>
        </w:tc>
        <w:tc>
          <w:tcPr>
            <w:tcW w:w="2660" w:type="dxa"/>
            <w:vAlign w:val="bottom"/>
            <w:gridSpan w:val="14"/>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598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color w:val="0000EE"/>
              </w:rPr>
              <w:t>Form T-1 Statement of Eligibility under the Trust Indenture Act of 1939, as amended, of U.S. Bank</w:t>
            </w:r>
          </w:p>
        </w:tc>
        <w:tc>
          <w:tcPr>
            <w:tcW w:w="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80" w:type="dxa"/>
            <w:vAlign w:val="bottom"/>
          </w:tcPr>
          <w:p>
            <w:pPr>
              <w:spacing w:after="0" w:line="33" w:lineRule="exact"/>
              <w:rPr>
                <w:sz w:val="20"/>
                <w:szCs w:val="20"/>
                <w:color w:val="auto"/>
              </w:rPr>
            </w:pPr>
            <w:r>
              <w:rPr>
                <w:rFonts w:ascii="Times New Roman" w:cs="Times New Roman" w:eastAsia="Times New Roman" w:hAnsi="Times New Roman"/>
                <w:sz w:val="3"/>
                <w:szCs w:val="3"/>
                <w:color w:val="auto"/>
              </w:rPr>
              <w:t>25.1</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980" w:type="dxa"/>
            <w:vAlign w:val="bottom"/>
            <w:tcBorders>
              <w:bottom w:val="single" w:sz="8" w:color="0000EE"/>
            </w:tcBorders>
            <w:gridSpan w:val="19"/>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4160" w:type="dxa"/>
            <w:vAlign w:val="bottom"/>
            <w:tcBorders>
              <w:bottom w:val="single" w:sz="8" w:color="0000EE"/>
            </w:tcBorders>
            <w:gridSpan w:val="9"/>
          </w:tcPr>
          <w:p>
            <w:pPr>
              <w:spacing w:after="0" w:line="153" w:lineRule="exact"/>
              <w:rPr>
                <w:sz w:val="20"/>
                <w:szCs w:val="20"/>
                <w:color w:val="auto"/>
              </w:rPr>
            </w:pPr>
            <w:r>
              <w:rPr>
                <w:rFonts w:ascii="Times New Roman" w:cs="Times New Roman" w:eastAsia="Times New Roman" w:hAnsi="Times New Roman"/>
                <w:sz w:val="14"/>
                <w:szCs w:val="14"/>
                <w:color w:val="0000EE"/>
              </w:rPr>
              <w:t>Trust Company, National Association, as trustee under the Indenture.</w:t>
            </w:r>
          </w:p>
        </w:tc>
        <w:tc>
          <w:tcPr>
            <w:tcW w:w="1820" w:type="dxa"/>
            <w:vAlign w:val="bottom"/>
            <w:gridSpan w:val="10"/>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38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4960" w:type="dxa"/>
            <w:vAlign w:val="bottom"/>
            <w:gridSpan w:val="18"/>
            <w:vMerge w:val="restart"/>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3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107</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Borders>
              <w:bottom w:val="single" w:sz="8" w:color="0000EE"/>
            </w:tcBorders>
            <w:vMerge w:val="continue"/>
          </w:tcPr>
          <w:p>
            <w:pPr>
              <w:spacing w:after="0"/>
              <w:rPr>
                <w:sz w:val="4"/>
                <w:szCs w:val="4"/>
                <w:color w:val="auto"/>
              </w:rPr>
            </w:pPr>
          </w:p>
        </w:tc>
        <w:tc>
          <w:tcPr>
            <w:tcW w:w="4960" w:type="dxa"/>
            <w:vAlign w:val="bottom"/>
            <w:gridSpan w:val="18"/>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130175</wp:posOffset>
            </wp:positionV>
            <wp:extent cx="98488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984885" cy="6985"/>
                    </a:xfrm>
                    <a:prstGeom prst="rect">
                      <a:avLst/>
                    </a:prstGeom>
                    <a:noFill/>
                  </pic:spPr>
                </pic:pic>
              </a:graphicData>
            </a:graphic>
          </wp:anchor>
        </w:drawing>
      </w:r>
    </w:p>
    <w:p>
      <w:pPr>
        <w:spacing w:after="0" w:line="288" w:lineRule="exact"/>
        <w:rPr>
          <w:sz w:val="20"/>
          <w:szCs w:val="20"/>
          <w:color w:val="auto"/>
        </w:rPr>
      </w:pPr>
    </w:p>
    <w:p>
      <w:pPr>
        <w:ind w:left="1520" w:right="1579" w:hanging="290"/>
        <w:spacing w:after="0" w:line="294" w:lineRule="auto"/>
        <w:tabs>
          <w:tab w:leader="none" w:pos="1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document to be incorporated by reference herein in connection with an offering of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201930</wp:posOffset>
            </wp:positionV>
            <wp:extent cx="544830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 w:name="page33"/>
    <w:bookmarkEnd w:id="32"/>
    <w:p>
      <w:pPr>
        <w:ind w:left="2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2" w:lineRule="exact"/>
        <w:rPr>
          <w:sz w:val="20"/>
          <w:szCs w:val="20"/>
          <w:color w:val="auto"/>
        </w:rPr>
      </w:pPr>
    </w:p>
    <w:p>
      <w:pPr>
        <w:ind w:left="1240" w:right="1299" w:firstLine="287"/>
        <w:spacing w:after="0" w:line="26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in the Town of Greenburgh, State of New York, on October 31, 2024.</w:t>
      </w:r>
    </w:p>
    <w:p>
      <w:pPr>
        <w:spacing w:after="0" w:line="87" w:lineRule="exact"/>
        <w:rPr>
          <w:sz w:val="20"/>
          <w:szCs w:val="20"/>
          <w:color w:val="auto"/>
        </w:rPr>
      </w:pPr>
    </w:p>
    <w:tbl>
      <w:tblPr>
        <w:tblLayout w:type="fixed"/>
        <w:tblInd w:w="4500" w:type="dxa"/>
        <w:tblCellMar>
          <w:top w:w="0" w:type="dxa"/>
          <w:left w:w="0" w:type="dxa"/>
          <w:bottom w:w="0" w:type="dxa"/>
          <w:right w:w="0" w:type="dxa"/>
        </w:tblCellMar>
      </w:tblPr>
      <w:tr>
        <w:trPr>
          <w:trHeight w:val="161"/>
        </w:trPr>
        <w:tc>
          <w:tcPr>
            <w:tcW w:w="3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​REGENERON PHARMACEUTICALS, INC.</w:t>
            </w:r>
          </w:p>
        </w:tc>
        <w:tc>
          <w:tcPr>
            <w:tcW w:w="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4"/>
        </w:trPr>
        <w:tc>
          <w:tcPr>
            <w:tcW w:w="1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180"/>
              <w:spacing w:after="0" w:line="144" w:lineRule="exact"/>
              <w:rPr>
                <w:sz w:val="20"/>
                <w:szCs w:val="20"/>
                <w:color w:val="auto"/>
              </w:rPr>
            </w:pPr>
            <w:r>
              <w:rPr>
                <w:rFonts w:ascii="Times New Roman" w:cs="Times New Roman" w:eastAsia="Times New Roman" w:hAnsi="Times New Roman"/>
                <w:sz w:val="14"/>
                <w:szCs w:val="14"/>
                <w:color w:val="auto"/>
              </w:rPr>
              <w:t>​</w:t>
            </w:r>
          </w:p>
        </w:tc>
      </w:tr>
      <w:tr>
        <w:trPr>
          <w:trHeight w:val="183"/>
        </w:trPr>
        <w:tc>
          <w:tcPr>
            <w:tcW w:w="3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By: /s/ CHRISTOPHER FENIMORE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0"/>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1"/>
                <w:szCs w:val="11"/>
                <w:color w:val="auto"/>
              </w:rPr>
              <w:t xml:space="preserve">Name: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Christopher Fenimore</w:t>
            </w:r>
          </w:p>
        </w:tc>
        <w:tc>
          <w:tcPr>
            <w:tcW w:w="180" w:type="dxa"/>
            <w:vAlign w:val="bottom"/>
            <w:tcBorders>
              <w:top w:val="single" w:sz="8" w:color="auto"/>
            </w:tcBorders>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​​Title: ​​Senior Vice President, Finance and</w:t>
            </w:r>
          </w:p>
        </w:tc>
        <w:tc>
          <w:tcPr>
            <w:tcW w:w="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Chief Financial Officer</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 AND POWER OF ATTORNEY</w:t>
      </w:r>
    </w:p>
    <w:p>
      <w:pPr>
        <w:spacing w:after="0" w:line="132" w:lineRule="exact"/>
        <w:rPr>
          <w:sz w:val="20"/>
          <w:szCs w:val="20"/>
          <w:color w:val="auto"/>
        </w:rPr>
      </w:pPr>
    </w:p>
    <w:p>
      <w:pPr>
        <w:ind w:left="1240" w:right="1259" w:firstLine="287"/>
        <w:spacing w:after="0" w:line="260" w:lineRule="auto"/>
        <w:rPr>
          <w:sz w:val="20"/>
          <w:szCs w:val="20"/>
          <w:color w:val="auto"/>
        </w:rPr>
      </w:pPr>
      <w:r>
        <w:rPr>
          <w:rFonts w:ascii="Times New Roman" w:cs="Times New Roman" w:eastAsia="Times New Roman" w:hAnsi="Times New Roman"/>
          <w:sz w:val="14"/>
          <w:szCs w:val="14"/>
          <w:color w:val="auto"/>
        </w:rPr>
        <w:t>In accordance with the requirements of the Securities Act of 1933, as amended, this Registration Statement has been signed by the following persons in the capacities and on the dates stated. Each person whose signature appears below constitutes and appoints each of Leonard S. Schleifer, Christopher Fenimore, Jason Pitofsky, and Joseph J. LaRosa,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266" w:lineRule="exact"/>
        <w:rPr>
          <w:sz w:val="20"/>
          <w:szCs w:val="20"/>
          <w:color w:val="auto"/>
        </w:rPr>
      </w:pPr>
    </w:p>
    <w:p>
      <w:pPr>
        <w:ind w:left="1240" w:right="1379" w:firstLine="287"/>
        <w:spacing w:after="0" w:line="29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75" w:lineRule="exact"/>
        <w:rPr>
          <w:sz w:val="20"/>
          <w:szCs w:val="20"/>
          <w:color w:val="auto"/>
        </w:rPr>
      </w:pPr>
    </w:p>
    <w:tbl>
      <w:tblPr>
        <w:tblLayout w:type="fixed"/>
        <w:tblInd w:w="240"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4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spacing w:after="0"/>
              <w:rPr>
                <w:sz w:val="15"/>
                <w:szCs w:val="15"/>
                <w:color w:val="auto"/>
              </w:rPr>
            </w:pPr>
          </w:p>
        </w:tc>
        <w:tc>
          <w:tcPr>
            <w:tcW w:w="2620" w:type="dxa"/>
            <w:vAlign w:val="bottom"/>
          </w:tcPr>
          <w:p>
            <w:pPr>
              <w:ind w:left="126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Date</w:t>
            </w:r>
          </w:p>
        </w:tc>
        <w:tc>
          <w:tcPr>
            <w:tcW w:w="1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10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LEONARD S. SCHLEIFER</w:t>
            </w:r>
          </w:p>
        </w:tc>
        <w:tc>
          <w:tcPr>
            <w:tcW w:w="14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Board co-Chair, President and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000" w:type="dxa"/>
            <w:vAlign w:val="bottom"/>
          </w:tcPr>
          <w:p>
            <w:pPr>
              <w:spacing w:after="0"/>
              <w:rPr>
                <w:sz w:val="7"/>
                <w:szCs w:val="7"/>
                <w:color w:val="auto"/>
              </w:rPr>
            </w:pPr>
          </w:p>
        </w:tc>
        <w:tc>
          <w:tcPr>
            <w:tcW w:w="900" w:type="dxa"/>
            <w:vAlign w:val="bottom"/>
            <w:tcBorders>
              <w:bottom w:val="single" w:sz="8" w:color="auto"/>
            </w:tcBorders>
          </w:tcPr>
          <w:p>
            <w:pPr>
              <w:spacing w:after="0" w:line="67" w:lineRule="exact"/>
              <w:rPr>
                <w:sz w:val="20"/>
                <w:szCs w:val="20"/>
                <w:color w:val="auto"/>
              </w:rPr>
            </w:pPr>
            <w:r>
              <w:rPr>
                <w:rFonts w:ascii="Times New Roman" w:cs="Times New Roman" w:eastAsia="Times New Roman" w:hAnsi="Times New Roman"/>
                <w:sz w:val="7"/>
                <w:szCs w:val="7"/>
                <w:color w:val="auto"/>
              </w:rPr>
              <w:t>​</w:t>
            </w:r>
          </w:p>
        </w:tc>
        <w:tc>
          <w:tcPr>
            <w:tcW w:w="1440" w:type="dxa"/>
            <w:vAlign w:val="bottom"/>
            <w:tcBorders>
              <w:bottom w:val="single" w:sz="8" w:color="auto"/>
            </w:tcBorders>
          </w:tcPr>
          <w:p>
            <w:pPr>
              <w:spacing w:after="0"/>
              <w:rPr>
                <w:sz w:val="7"/>
                <w:szCs w:val="7"/>
                <w:color w:val="auto"/>
              </w:rPr>
            </w:pPr>
          </w:p>
        </w:tc>
        <w:tc>
          <w:tcPr>
            <w:tcW w:w="2780" w:type="dxa"/>
            <w:vAlign w:val="bottom"/>
            <w:gridSpan w:val="3"/>
            <w:vMerge w:val="restart"/>
          </w:tcPr>
          <w:p>
            <w:pPr>
              <w:spacing w:after="0" w:line="145" w:lineRule="exact"/>
              <w:rPr>
                <w:sz w:val="20"/>
                <w:szCs w:val="20"/>
                <w:color w:val="auto"/>
              </w:rPr>
            </w:pPr>
            <w:r>
              <w:rPr>
                <w:rFonts w:ascii="Times New Roman" w:cs="Times New Roman" w:eastAsia="Times New Roman" w:hAnsi="Times New Roman"/>
                <w:sz w:val="16"/>
                <w:szCs w:val="16"/>
                <w:color w:val="auto"/>
                <w:vertAlign w:val="superscript"/>
              </w:rPr>
              <w:t>​ ​</w:t>
            </w:r>
            <w:r>
              <w:rPr>
                <w:rFonts w:ascii="Times New Roman" w:cs="Times New Roman" w:eastAsia="Times New Roman" w:hAnsi="Times New Roman"/>
                <w:sz w:val="10"/>
                <w:szCs w:val="10"/>
                <w:i w:val="1"/>
                <w:iCs w:val="1"/>
                <w:color w:val="auto"/>
              </w:rPr>
              <w:t xml:space="preserve"> Chief Executive Officer</w:t>
            </w:r>
          </w:p>
        </w:tc>
        <w:tc>
          <w:tcPr>
            <w:tcW w:w="1420" w:type="dxa"/>
            <w:vAlign w:val="bottom"/>
            <w:gridSpan w:val="3"/>
            <w:vMerge w:val="restart"/>
          </w:tcPr>
          <w:p>
            <w:pPr>
              <w:ind w:left="120"/>
              <w:spacing w:after="0" w:line="145" w:lineRule="exact"/>
              <w:rPr>
                <w:sz w:val="20"/>
                <w:szCs w:val="20"/>
                <w:color w:val="auto"/>
              </w:rPr>
            </w:pPr>
            <w:r>
              <w:rPr>
                <w:rFonts w:ascii="Times New Roman" w:cs="Times New Roman" w:eastAsia="Times New Roman" w:hAnsi="Times New Roman"/>
                <w:sz w:val="16"/>
                <w:szCs w:val="16"/>
                <w:color w:val="auto"/>
                <w:vertAlign w:val="superscript"/>
              </w:rPr>
              <w:t>​ ​</w:t>
            </w:r>
            <w:r>
              <w:rPr>
                <w:rFonts w:ascii="Times New Roman" w:cs="Times New Roman" w:eastAsia="Times New Roman" w:hAnsi="Times New Roman"/>
                <w:sz w:val="10"/>
                <w:szCs w:val="10"/>
                <w:color w:val="auto"/>
              </w:rPr>
              <w:t xml:space="preserve"> October 31, 2024</w:t>
            </w:r>
          </w:p>
        </w:tc>
        <w:tc>
          <w:tcPr>
            <w:tcW w:w="1000" w:type="dxa"/>
            <w:vAlign w:val="bottom"/>
            <w:vMerge w:val="restart"/>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
        </w:trPr>
        <w:tc>
          <w:tcPr>
            <w:tcW w:w="1000" w:type="dxa"/>
            <w:vAlign w:val="bottom"/>
          </w:tcPr>
          <w:p>
            <w:pPr>
              <w:spacing w:after="0"/>
              <w:rPr>
                <w:sz w:val="3"/>
                <w:szCs w:val="3"/>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Leonard S. Schleifer, M.D., Ph.D.</w:t>
            </w:r>
          </w:p>
        </w:tc>
        <w:tc>
          <w:tcPr>
            <w:tcW w:w="2780" w:type="dxa"/>
            <w:vAlign w:val="bottom"/>
            <w:gridSpan w:val="3"/>
            <w:vMerge w:val="continue"/>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000" w:type="dxa"/>
            <w:vAlign w:val="bottom"/>
          </w:tcPr>
          <w:p>
            <w:pPr>
              <w:spacing w:after="0"/>
              <w:rPr>
                <w:sz w:val="24"/>
                <w:szCs w:val="24"/>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/s/ CHRISTOPHER FENIMORE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Senior Vice President, Finance and Chief</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278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Financial Officer</w:t>
            </w:r>
          </w:p>
        </w:tc>
        <w:tc>
          <w:tcPr>
            <w:tcW w:w="2420" w:type="dxa"/>
            <w:vAlign w:val="bottom"/>
            <w:gridSpan w:val="4"/>
          </w:tcPr>
          <w:p>
            <w:pPr>
              <w:ind w:left="120"/>
              <w:spacing w:after="0" w:line="146" w:lineRule="exact"/>
              <w:rPr>
                <w:sz w:val="20"/>
                <w:szCs w:val="20"/>
                <w:color w:val="auto"/>
              </w:rPr>
            </w:pPr>
            <w:r>
              <w:rPr>
                <w:rFonts w:ascii="Times New Roman" w:cs="Times New Roman" w:eastAsia="Times New Roman" w:hAnsi="Times New Roman"/>
                <w:sz w:val="14"/>
                <w:szCs w:val="14"/>
                <w:color w:val="auto"/>
              </w:rPr>
              <w:t>​ ​ October 31, 2024 ​</w:t>
            </w:r>
          </w:p>
        </w:tc>
        <w:tc>
          <w:tcPr>
            <w:tcW w:w="0" w:type="dxa"/>
            <w:vAlign w:val="bottom"/>
          </w:tcPr>
          <w:p>
            <w:pPr>
              <w:spacing w:after="0"/>
              <w:rPr>
                <w:sz w:val="1"/>
                <w:szCs w:val="1"/>
                <w:color w:val="auto"/>
              </w:rPr>
            </w:pPr>
          </w:p>
        </w:tc>
      </w:tr>
      <w:tr>
        <w:trPr>
          <w:trHeight w:val="214"/>
        </w:trPr>
        <w:tc>
          <w:tcPr>
            <w:tcW w:w="10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Christopher Fenimore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4"/>
                <w:szCs w:val="24"/>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/s/ JASON PITOFSKY</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Vice President, Controller</w:t>
            </w:r>
          </w:p>
        </w:tc>
        <w:tc>
          <w:tcPr>
            <w:tcW w:w="24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color w:val="auto"/>
              </w:rPr>
              <w:t>​ ​ October 31, 2024 ​</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234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tc>
        <w:tc>
          <w:tcPr>
            <w:tcW w:w="24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Jason Pitofsky</w:t>
            </w: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1000" w:type="dxa"/>
            <w:vAlign w:val="bottom"/>
          </w:tcPr>
          <w:p>
            <w:pPr>
              <w:spacing w:after="0"/>
              <w:rPr>
                <w:sz w:val="24"/>
                <w:szCs w:val="24"/>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/s/ GEORGE D. YANCOPOULOS</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Board co-Chair, President and</w:t>
            </w:r>
          </w:p>
        </w:tc>
        <w:tc>
          <w:tcPr>
            <w:tcW w:w="24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color w:val="auto"/>
              </w:rPr>
              <w:t>​ ​ October 31, 2024 ​</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234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Chief Scientific Officer</w:t>
            </w:r>
          </w:p>
        </w:tc>
        <w:tc>
          <w:tcPr>
            <w:tcW w:w="24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D. Yancopoulos, M.D., Ph.D.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8"/>
        </w:trPr>
        <w:tc>
          <w:tcPr>
            <w:tcW w:w="10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/s/ BONNIE L. BASSLER</w:t>
            </w:r>
          </w:p>
        </w:tc>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Director</w:t>
            </w:r>
          </w:p>
        </w:tc>
        <w:tc>
          <w:tcPr>
            <w:tcW w:w="24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 ​ October 31, 2024 ​</w:t>
            </w: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Bonnie L. Bassler, Ph.D.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0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/s/ MICHAEL S. BROWN</w:t>
            </w:r>
          </w:p>
        </w:tc>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Director</w:t>
            </w:r>
          </w:p>
        </w:tc>
        <w:tc>
          <w:tcPr>
            <w:tcW w:w="24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 ​ October 31, 2024 ​</w:t>
            </w: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S. Brown, M.D.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8"/>
        </w:trPr>
        <w:tc>
          <w:tcPr>
            <w:tcW w:w="1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-2269490</wp:posOffset>
            </wp:positionV>
            <wp:extent cx="146367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1463675" cy="698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-1831975</wp:posOffset>
            </wp:positionV>
            <wp:extent cx="146367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1463675" cy="698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-1442085</wp:posOffset>
            </wp:positionV>
            <wp:extent cx="146367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1463675" cy="698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-1052830</wp:posOffset>
            </wp:positionV>
            <wp:extent cx="146367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1463675" cy="698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-676275</wp:posOffset>
            </wp:positionV>
            <wp:extent cx="146367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1463675" cy="698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-26035</wp:posOffset>
            </wp:positionV>
            <wp:extent cx="3238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-26035</wp:posOffset>
            </wp:positionV>
            <wp:extent cx="3238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 w:name="page34"/>
    <w:bookmarkEnd w:id="33"/>
    <w:p>
      <w:pPr>
        <w:ind w:left="2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40" w:lineRule="exact"/>
        <w:rPr>
          <w:sz w:val="20"/>
          <w:szCs w:val="20"/>
          <w:color w:val="auto"/>
        </w:rPr>
      </w:pPr>
    </w:p>
    <w:p>
      <w:pPr>
        <w:ind w:left="2180" w:hanging="950"/>
        <w:spacing w:after="0"/>
        <w:tabs>
          <w:tab w:leader="none" w:pos="2180" w:val="left"/>
        </w:tabs>
        <w:numPr>
          <w:ilvl w:val="0"/>
          <w:numId w:val="30"/>
        </w:numPr>
        <w:rPr>
          <w:rFonts w:ascii="Times New Roman" w:cs="Times New Roman" w:eastAsia="Times New Roman" w:hAnsi="Times New Roman"/>
          <w:sz w:val="23"/>
          <w:szCs w:val="23"/>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19685</wp:posOffset>
            </wp:positionV>
            <wp:extent cx="148399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1483995" cy="6985"/>
                    </a:xfrm>
                    <a:prstGeom prst="rect">
                      <a:avLst/>
                    </a:prstGeom>
                    <a:noFill/>
                  </pic:spPr>
                </pic:pic>
              </a:graphicData>
            </a:graphic>
          </wp:anchor>
        </w:drawing>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 N. ANTHONY COLES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43815</wp:posOffset>
            </wp:positionV>
            <wp:extent cx="146367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1463675" cy="6985"/>
                    </a:xfrm>
                    <a:prstGeom prst="rect">
                      <a:avLst/>
                    </a:prstGeom>
                    <a:noFill/>
                  </pic:spPr>
                </pic:pic>
              </a:graphicData>
            </a:graphic>
          </wp:anchor>
        </w:drawing>
      </w:r>
    </w:p>
    <w:p>
      <w:pPr>
        <w:spacing w:after="0" w:line="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N. Anthony Coles, M.D.</w:t>
      </w:r>
    </w:p>
    <w:p>
      <w:pPr>
        <w:spacing w:after="0" w:line="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/s/ JOSEPH L.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-11430</wp:posOffset>
            </wp:positionV>
            <wp:extent cx="146367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1463675" cy="6985"/>
                    </a:xfrm>
                    <a:prstGeom prst="rect">
                      <a:avLst/>
                    </a:prstGeom>
                    <a:noFill/>
                  </pic:spPr>
                </pic:pic>
              </a:graphicData>
            </a:graphic>
          </wp:anchor>
        </w:drawing>
      </w:r>
    </w:p>
    <w:p>
      <w:pPr>
        <w:spacing w:after="0" w:line="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Joseph L. Goldstein, M.D.</w:t>
      </w:r>
    </w:p>
    <w:p>
      <w:pPr>
        <w:spacing w:after="0" w:line="1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/s/ KATHRYN GUARINI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-11430</wp:posOffset>
            </wp:positionV>
            <wp:extent cx="146367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1463675" cy="6985"/>
                    </a:xfrm>
                    <a:prstGeom prst="rect">
                      <a:avLst/>
                    </a:prstGeom>
                    <a:noFill/>
                  </pic:spPr>
                </pic:pic>
              </a:graphicData>
            </a:graphic>
          </wp:anchor>
        </w:drawing>
      </w:r>
    </w:p>
    <w:p>
      <w:pPr>
        <w:spacing w:after="0" w:line="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Kathryn Guarini, Ph.D.</w:t>
      </w:r>
    </w:p>
    <w:p>
      <w:pPr>
        <w:spacing w:after="0" w:line="1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/s/ CHRISTINE A.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-11430</wp:posOffset>
            </wp:positionV>
            <wp:extent cx="146367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1463675" cy="6985"/>
                    </a:xfrm>
                    <a:prstGeom prst="rect">
                      <a:avLst/>
                    </a:prstGeom>
                    <a:noFill/>
                  </pic:spPr>
                </pic:pic>
              </a:graphicData>
            </a:graphic>
          </wp:anchor>
        </w:drawing>
      </w:r>
    </w:p>
    <w:p>
      <w:pPr>
        <w:spacing w:after="0" w:line="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Christine A. Poon</w:t>
      </w:r>
    </w:p>
    <w:p>
      <w:pPr>
        <w:spacing w:after="0" w:line="1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/s/ 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-11430</wp:posOffset>
            </wp:positionV>
            <wp:extent cx="146367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1463675" cy="6985"/>
                    </a:xfrm>
                    <a:prstGeom prst="rect">
                      <a:avLst/>
                    </a:prstGeom>
                    <a:noFill/>
                  </pic:spPr>
                </pic:pic>
              </a:graphicData>
            </a:graphic>
          </wp:anchor>
        </w:drawing>
      </w:r>
    </w:p>
    <w:p>
      <w:pPr>
        <w:spacing w:after="0" w:line="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Arthur F. Ryan</w:t>
      </w:r>
    </w:p>
    <w:p>
      <w:pPr>
        <w:spacing w:after="0" w:line="1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/s/ DAVID P. SCHENKEIN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-11430</wp:posOffset>
            </wp:positionV>
            <wp:extent cx="146367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1463675" cy="6985"/>
                    </a:xfrm>
                    <a:prstGeom prst="rect">
                      <a:avLst/>
                    </a:prstGeom>
                    <a:noFill/>
                  </pic:spPr>
                </pic:pic>
              </a:graphicData>
            </a:graphic>
          </wp:anchor>
        </w:drawing>
      </w:r>
    </w:p>
    <w:p>
      <w:pPr>
        <w:spacing w:after="0" w:line="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David P. Schenkein, M.D.</w:t>
      </w:r>
    </w:p>
    <w:p>
      <w:pPr>
        <w:spacing w:after="0" w:line="1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/s/ 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-11430</wp:posOffset>
            </wp:positionV>
            <wp:extent cx="146367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1463675" cy="6985"/>
                    </a:xfrm>
                    <a:prstGeom prst="rect">
                      <a:avLst/>
                    </a:prstGeom>
                    <a:noFill/>
                  </pic:spPr>
                </pic:pic>
              </a:graphicData>
            </a:graphic>
          </wp:anchor>
        </w:drawing>
      </w:r>
    </w:p>
    <w:p>
      <w:pPr>
        <w:spacing w:after="0" w:line="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George L. Sing</w:t>
      </w:r>
    </w:p>
    <w:p>
      <w:pPr>
        <w:spacing w:after="0" w:line="1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/s/ CRAIG B.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-11430</wp:posOffset>
            </wp:positionV>
            <wp:extent cx="146367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1463675" cy="6985"/>
                    </a:xfrm>
                    <a:prstGeom prst="rect">
                      <a:avLst/>
                    </a:prstGeom>
                    <a:noFill/>
                  </pic:spPr>
                </pic:pic>
              </a:graphicData>
            </a:graphic>
          </wp:anchor>
        </w:drawing>
      </w:r>
    </w:p>
    <w:p>
      <w:pPr>
        <w:spacing w:after="0" w:line="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Craig B. Thompson, M.D.</w:t>
      </w:r>
    </w:p>
    <w:p>
      <w:pPr>
        <w:spacing w:after="0" w:line="8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/s/ HUDA Y. ZOGHBI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-11430</wp:posOffset>
            </wp:positionV>
            <wp:extent cx="146367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1463675" cy="6985"/>
                    </a:xfrm>
                    <a:prstGeom prst="rect">
                      <a:avLst/>
                    </a:prstGeom>
                    <a:noFill/>
                  </pic:spPr>
                </pic:pic>
              </a:graphicData>
            </a:graphic>
          </wp:anchor>
        </w:drawing>
      </w:r>
    </w:p>
    <w:p>
      <w:pPr>
        <w:spacing w:after="0" w:line="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Huda Y. Zoghbi, M.D.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8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640" w:type="dxa"/>
            <w:vAlign w:val="bottom"/>
            <w:tcBorders>
              <w:bottom w:val="single" w:sz="8" w:color="auto"/>
            </w:tcBorders>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Date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602"/>
        </w:trPr>
        <w:tc>
          <w:tcPr>
            <w:tcW w:w="1060" w:type="dxa"/>
            <w:vAlign w:val="bottom"/>
            <w:gridSpan w:val="2"/>
          </w:tcPr>
          <w:p>
            <w:pPr>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i w:val="1"/>
                <w:iCs w:val="1"/>
                <w:color w:val="auto"/>
              </w:rPr>
              <w:t xml:space="preserve"> Director</w:t>
            </w:r>
          </w:p>
        </w:tc>
        <w:tc>
          <w:tcPr>
            <w:tcW w:w="1240" w:type="dxa"/>
            <w:vAlign w:val="bottom"/>
          </w:tcPr>
          <w:p>
            <w:pPr>
              <w:spacing w:after="0"/>
              <w:rPr>
                <w:sz w:val="24"/>
                <w:szCs w:val="24"/>
                <w:color w:val="auto"/>
              </w:rPr>
            </w:pPr>
          </w:p>
        </w:tc>
        <w:tc>
          <w:tcPr>
            <w:tcW w:w="1920" w:type="dxa"/>
            <w:vAlign w:val="bottom"/>
            <w:gridSpan w:val="3"/>
          </w:tcPr>
          <w:p>
            <w:pPr>
              <w:ind w:left="62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October 31, 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45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Director</w:t>
            </w:r>
          </w:p>
        </w:tc>
        <w:tc>
          <w:tcPr>
            <w:tcW w:w="1240" w:type="dxa"/>
            <w:vAlign w:val="bottom"/>
          </w:tcPr>
          <w:p>
            <w:pPr>
              <w:spacing w:after="0"/>
              <w:rPr>
                <w:sz w:val="24"/>
                <w:szCs w:val="24"/>
                <w:color w:val="auto"/>
              </w:rPr>
            </w:pPr>
          </w:p>
        </w:tc>
        <w:tc>
          <w:tcPr>
            <w:tcW w:w="196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rPr>
              <w:t>​ ​ October 31, 2024 ​</w:t>
            </w:r>
          </w:p>
        </w:tc>
      </w:tr>
      <w:tr>
        <w:trPr>
          <w:trHeight w:val="61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Director</w:t>
            </w:r>
          </w:p>
        </w:tc>
        <w:tc>
          <w:tcPr>
            <w:tcW w:w="1240" w:type="dxa"/>
            <w:vAlign w:val="bottom"/>
          </w:tcPr>
          <w:p>
            <w:pPr>
              <w:spacing w:after="0"/>
              <w:rPr>
                <w:sz w:val="24"/>
                <w:szCs w:val="24"/>
                <w:color w:val="auto"/>
              </w:rPr>
            </w:pPr>
          </w:p>
        </w:tc>
        <w:tc>
          <w:tcPr>
            <w:tcW w:w="196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rPr>
              <w:t>​ ​ October 31, 2024 ​</w:t>
            </w:r>
          </w:p>
        </w:tc>
      </w:tr>
      <w:tr>
        <w:trPr>
          <w:trHeight w:val="61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Director</w:t>
            </w:r>
          </w:p>
        </w:tc>
        <w:tc>
          <w:tcPr>
            <w:tcW w:w="1240" w:type="dxa"/>
            <w:vAlign w:val="bottom"/>
          </w:tcPr>
          <w:p>
            <w:pPr>
              <w:spacing w:after="0"/>
              <w:rPr>
                <w:sz w:val="24"/>
                <w:szCs w:val="24"/>
                <w:color w:val="auto"/>
              </w:rPr>
            </w:pPr>
          </w:p>
        </w:tc>
        <w:tc>
          <w:tcPr>
            <w:tcW w:w="196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rPr>
              <w:t>​ ​ October 31, 2024 ​</w:t>
            </w:r>
          </w:p>
        </w:tc>
      </w:tr>
      <w:tr>
        <w:trPr>
          <w:trHeight w:val="61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Director</w:t>
            </w:r>
          </w:p>
        </w:tc>
        <w:tc>
          <w:tcPr>
            <w:tcW w:w="1240" w:type="dxa"/>
            <w:vAlign w:val="bottom"/>
          </w:tcPr>
          <w:p>
            <w:pPr>
              <w:spacing w:after="0"/>
              <w:rPr>
                <w:sz w:val="24"/>
                <w:szCs w:val="24"/>
                <w:color w:val="auto"/>
              </w:rPr>
            </w:pPr>
          </w:p>
        </w:tc>
        <w:tc>
          <w:tcPr>
            <w:tcW w:w="196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rPr>
              <w:t>​ ​ October 31, 2024 ​</w:t>
            </w:r>
          </w:p>
        </w:tc>
      </w:tr>
      <w:tr>
        <w:trPr>
          <w:trHeight w:val="61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Director</w:t>
            </w:r>
          </w:p>
        </w:tc>
        <w:tc>
          <w:tcPr>
            <w:tcW w:w="1240" w:type="dxa"/>
            <w:vAlign w:val="bottom"/>
          </w:tcPr>
          <w:p>
            <w:pPr>
              <w:spacing w:after="0"/>
              <w:rPr>
                <w:sz w:val="24"/>
                <w:szCs w:val="24"/>
                <w:color w:val="auto"/>
              </w:rPr>
            </w:pPr>
          </w:p>
        </w:tc>
        <w:tc>
          <w:tcPr>
            <w:tcW w:w="196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rPr>
              <w:t>​ ​ October 31, 2024 ​</w:t>
            </w:r>
          </w:p>
        </w:tc>
      </w:tr>
      <w:tr>
        <w:trPr>
          <w:trHeight w:val="61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Director</w:t>
            </w:r>
          </w:p>
        </w:tc>
        <w:tc>
          <w:tcPr>
            <w:tcW w:w="1240" w:type="dxa"/>
            <w:vAlign w:val="bottom"/>
          </w:tcPr>
          <w:p>
            <w:pPr>
              <w:spacing w:after="0"/>
              <w:rPr>
                <w:sz w:val="24"/>
                <w:szCs w:val="24"/>
                <w:color w:val="auto"/>
              </w:rPr>
            </w:pPr>
          </w:p>
        </w:tc>
        <w:tc>
          <w:tcPr>
            <w:tcW w:w="196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rPr>
              <w:t>​ ​ October 31, 2024 ​</w:t>
            </w:r>
          </w:p>
        </w:tc>
      </w:tr>
      <w:tr>
        <w:trPr>
          <w:trHeight w:val="614"/>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Director</w:t>
            </w:r>
          </w:p>
        </w:tc>
        <w:tc>
          <w:tcPr>
            <w:tcW w:w="1240" w:type="dxa"/>
            <w:vAlign w:val="bottom"/>
          </w:tcPr>
          <w:p>
            <w:pPr>
              <w:spacing w:after="0"/>
              <w:rPr>
                <w:sz w:val="24"/>
                <w:szCs w:val="24"/>
                <w:color w:val="auto"/>
              </w:rPr>
            </w:pPr>
          </w:p>
        </w:tc>
        <w:tc>
          <w:tcPr>
            <w:tcW w:w="196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rPr>
              <w:t>​ ​ October 31, 2024 ​</w:t>
            </w:r>
          </w:p>
        </w:tc>
      </w:tr>
      <w:tr>
        <w:trPr>
          <w:trHeight w:val="592"/>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Director</w:t>
            </w:r>
          </w:p>
        </w:tc>
        <w:tc>
          <w:tcPr>
            <w:tcW w:w="1240" w:type="dxa"/>
            <w:vAlign w:val="bottom"/>
          </w:tcPr>
          <w:p>
            <w:pPr>
              <w:spacing w:after="0"/>
              <w:rPr>
                <w:sz w:val="24"/>
                <w:szCs w:val="24"/>
                <w:color w:val="auto"/>
              </w:rPr>
            </w:pPr>
          </w:p>
        </w:tc>
        <w:tc>
          <w:tcPr>
            <w:tcW w:w="196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rPr>
              <w:t>​ ​ October 31, 2024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2997200</wp:posOffset>
            </wp:positionV>
            <wp:extent cx="544830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5448300" cy="39370"/>
                    </a:xfrm>
                    <a:prstGeom prst="rect">
                      <a:avLst/>
                    </a:prstGeom>
                    <a:noFill/>
                  </pic:spPr>
                </pic:pic>
              </a:graphicData>
            </a:graphic>
          </wp:anchor>
        </w:drawing>
      </w:r>
    </w:p>
    <w:p>
      <w:pPr>
        <w:sectPr>
          <w:pgSz w:w="11900" w:h="16838" w:orient="portrait"/>
          <w:cols w:equalWidth="0" w:num="2">
            <w:col w:w="2980" w:space="580"/>
            <w:col w:w="5459"/>
          </w:cols>
          <w:pgMar w:left="1440" w:top="108" w:right="1440" w:bottom="1440" w:gutter="0" w:footer="0" w:header="0"/>
        </w:sectPr>
      </w:pPr>
    </w:p>
    <w:bookmarkStart w:id="34" w:name="page35"/>
    <w:bookmarkEnd w:id="34"/>
    <w:p>
      <w:pPr>
        <w:ind w:left="10460"/>
        <w:spacing w:after="0"/>
        <w:rPr>
          <w:sz w:val="20"/>
          <w:szCs w:val="20"/>
          <w:color w:val="auto"/>
        </w:rPr>
      </w:pPr>
      <w:r>
        <w:rPr>
          <w:rFonts w:ascii="Times New Roman" w:cs="Times New Roman" w:eastAsia="Times New Roman" w:hAnsi="Times New Roman"/>
          <w:sz w:val="14"/>
          <w:szCs w:val="14"/>
          <w:b w:val="1"/>
          <w:bCs w:val="1"/>
          <w:color w:val="auto"/>
        </w:rPr>
        <w:t>EXHIBIT 4.4</w:t>
      </w:r>
    </w:p>
    <w:p>
      <w:pPr>
        <w:sectPr>
          <w:pgSz w:w="11900" w:h="16838" w:orient="portrait"/>
          <w:cols w:equalWidth="0" w:num="1">
            <w:col w:w="11280"/>
          </w:cols>
          <w:pgMar w:left="300" w:top="317" w:right="319" w:bottom="1440" w:gutter="0" w:footer="0" w:header="0"/>
        </w:sectPr>
      </w:pP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4" w:lineRule="exact"/>
        <w:rPr>
          <w:sz w:val="20"/>
          <w:szCs w:val="20"/>
          <w:color w:val="auto"/>
        </w:rPr>
      </w:pPr>
    </w:p>
    <w:p>
      <w:pPr>
        <w:sectPr>
          <w:pgSz w:w="11900" w:h="16838" w:orient="portrait"/>
          <w:cols w:equalWidth="0" w:num="2">
            <w:col w:w="9320" w:space="720"/>
            <w:col w:w="1240"/>
          </w:cols>
          <w:pgMar w:left="300" w:top="317" w:right="31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NUMBER</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Times New Roman" w:cs="Times New Roman" w:eastAsia="Times New Roman" w:hAnsi="Times New Roman"/>
          <w:sz w:val="14"/>
          <w:szCs w:val="14"/>
          <w:b w:val="1"/>
          <w:bCs w:val="1"/>
          <w:color w:val="auto"/>
        </w:rPr>
        <w:t>REGENERON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SHARES</w:t>
      </w:r>
    </w:p>
    <w:p>
      <w:pPr>
        <w:spacing w:after="0" w:line="184" w:lineRule="exact"/>
        <w:rPr>
          <w:sz w:val="20"/>
          <w:szCs w:val="20"/>
          <w:color w:val="auto"/>
        </w:rPr>
      </w:pPr>
    </w:p>
    <w:p>
      <w:pPr>
        <w:sectPr>
          <w:pgSz w:w="11900" w:h="16838" w:orient="portrait"/>
          <w:cols w:equalWidth="0" w:num="5">
            <w:col w:w="60" w:space="180"/>
            <w:col w:w="4180" w:space="720"/>
            <w:col w:w="4560" w:space="720"/>
            <w:col w:w="40" w:space="180"/>
            <w:col w:w="640"/>
          </w:cols>
          <w:pgMar w:left="300" w:top="317" w:right="319" w:bottom="1440" w:gutter="0" w:footer="0" w:header="0"/>
          <w:type w:val="continuous"/>
        </w:sectPr>
      </w:pPr>
    </w:p>
    <w:p>
      <w:pPr>
        <w:jc w:val="center"/>
        <w:ind w:right="5660"/>
        <w:spacing w:after="0"/>
        <w:rPr>
          <w:sz w:val="20"/>
          <w:szCs w:val="20"/>
          <w:color w:val="auto"/>
        </w:rPr>
      </w:pPr>
      <w:r>
        <w:rPr>
          <w:rFonts w:ascii="Times New Roman" w:cs="Times New Roman" w:eastAsia="Times New Roman" w:hAnsi="Times New Roman"/>
          <w:sz w:val="14"/>
          <w:szCs w:val="14"/>
          <w:color w:val="auto"/>
        </w:rPr>
        <w:t>INCORPORATED UNDER THE LAWS</w:t>
      </w:r>
    </w:p>
    <w:p>
      <w:pPr>
        <w:spacing w:after="0" w:line="25" w:lineRule="exact"/>
        <w:rPr>
          <w:sz w:val="20"/>
          <w:szCs w:val="20"/>
          <w:color w:val="auto"/>
        </w:rPr>
      </w:pPr>
    </w:p>
    <w:p>
      <w:pPr>
        <w:jc w:val="center"/>
        <w:ind w:right="5660"/>
        <w:spacing w:after="0"/>
        <w:rPr>
          <w:sz w:val="20"/>
          <w:szCs w:val="20"/>
          <w:color w:val="auto"/>
        </w:rPr>
      </w:pPr>
      <w:r>
        <w:rPr>
          <w:rFonts w:ascii="Times New Roman" w:cs="Times New Roman" w:eastAsia="Times New Roman" w:hAnsi="Times New Roman"/>
          <w:sz w:val="14"/>
          <w:szCs w:val="14"/>
          <w:color w:val="auto"/>
        </w:rPr>
        <w:t>OF THE STATE OF NEW YORK</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Times New Roman" w:cs="Times New Roman" w:eastAsia="Times New Roman" w:hAnsi="Times New Roman"/>
          <w:sz w:val="14"/>
          <w:szCs w:val="14"/>
          <w:color w:val="auto"/>
        </w:rPr>
        <w:t>SEE REVERSE FOR CERTAIN</w:t>
      </w:r>
    </w:p>
    <w:p>
      <w:pPr>
        <w:spacing w:after="0" w:line="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DEFINITIONS</w:t>
      </w:r>
    </w:p>
    <w:p>
      <w:pPr>
        <w:spacing w:after="0" w:line="168" w:lineRule="exact"/>
        <w:rPr>
          <w:sz w:val="20"/>
          <w:szCs w:val="20"/>
          <w:color w:val="auto"/>
        </w:rPr>
      </w:pPr>
    </w:p>
    <w:p>
      <w:pPr>
        <w:sectPr>
          <w:pgSz w:w="11900" w:h="16838" w:orient="portrait"/>
          <w:cols w:equalWidth="0" w:num="2">
            <w:col w:w="8500" w:space="720"/>
            <w:col w:w="2060"/>
          </w:cols>
          <w:pgMar w:left="300" w:top="317" w:right="31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Regeneron Pharmaceuticals, Inc.</w:t>
      </w:r>
    </w:p>
    <w:p>
      <w:pPr>
        <w:spacing w:after="0" w:line="186"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4"/>
          <w:szCs w:val="14"/>
          <w:color w:val="auto"/>
        </w:rPr>
        <w:t>CUSIP 75886F 10 7</w:t>
      </w:r>
    </w:p>
    <w:p>
      <w:pPr>
        <w:sectPr>
          <w:pgSz w:w="11900" w:h="16838" w:orient="portrait"/>
          <w:cols w:equalWidth="0" w:num="1">
            <w:col w:w="11280"/>
          </w:cols>
          <w:pgMar w:left="300" w:top="317" w:right="319"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Certifies that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 the owner of</w:t>
      </w:r>
    </w:p>
    <w:p>
      <w:pPr>
        <w:spacing w:after="0" w:line="182" w:lineRule="exact"/>
        <w:rPr>
          <w:sz w:val="20"/>
          <w:szCs w:val="20"/>
          <w:color w:val="auto"/>
        </w:rPr>
      </w:pPr>
    </w:p>
    <w:p>
      <w:pPr>
        <w:sectPr>
          <w:pgSz w:w="11900" w:h="16838" w:orient="portrait"/>
          <w:cols w:equalWidth="0" w:num="2">
            <w:col w:w="4600" w:space="720"/>
            <w:col w:w="5960"/>
          </w:cols>
          <w:pgMar w:left="300" w:top="317"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FULLY PAID AND NON-ASSESSABLE SHARES OF COMMON STOCK, PAR VALUE $.001 PER SHARE, 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Regeneron Pharmaceuticals, Inc., transferable on the books of the Corporation by the holder hereof in person or by duly authorized attorney upon surrender of this certificate properly endorsed.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This certificate is not valid unless countersigned by the Transfer Agent.</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Witness the seal of the Corporation and the signatures of its duly authorized officers.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14"/>
                <w:szCs w:val="14"/>
                <w:color w:val="auto"/>
              </w:rPr>
            </w:pPr>
          </w:p>
        </w:tc>
        <w:tc>
          <w:tcPr>
            <w:tcW w:w="63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[SEAL]</w:t>
            </w:r>
          </w:p>
        </w:tc>
      </w:tr>
      <w:tr>
        <w:trPr>
          <w:trHeight w:val="186"/>
        </w:trPr>
        <w:tc>
          <w:tcPr>
            <w:tcW w:w="492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SECRETARY</w:t>
            </w:r>
          </w:p>
        </w:tc>
        <w:tc>
          <w:tcPr>
            <w:tcW w:w="6360" w:type="dxa"/>
            <w:vAlign w:val="bottom"/>
          </w:tcPr>
          <w:p>
            <w:pPr>
              <w:ind w:left="230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345"/>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COUNTERSIGNED AND REGISTERED: EQUINITI TRUST COMPANY</w:t>
            </w:r>
          </w:p>
        </w:tc>
        <w:tc>
          <w:tcPr>
            <w:tcW w:w="6360" w:type="dxa"/>
            <w:vAlign w:val="bottom"/>
          </w:tcPr>
          <w:p>
            <w:pPr>
              <w:spacing w:after="0"/>
              <w:rPr>
                <w:sz w:val="24"/>
                <w:szCs w:val="24"/>
                <w:color w:val="auto"/>
              </w:rPr>
            </w:pPr>
          </w:p>
        </w:tc>
      </w:tr>
      <w:tr>
        <w:trPr>
          <w:trHeight w:val="331"/>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63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TRANSFER AGENT AND REGISTRAR</w:t>
            </w:r>
          </w:p>
        </w:tc>
      </w:tr>
      <w:tr>
        <w:trPr>
          <w:trHeight w:val="186"/>
        </w:trPr>
        <w:tc>
          <w:tcPr>
            <w:tcW w:w="4920" w:type="dxa"/>
            <w:vAlign w:val="bottom"/>
          </w:tcPr>
          <w:p>
            <w:pPr>
              <w:spacing w:after="0"/>
              <w:rPr>
                <w:sz w:val="16"/>
                <w:szCs w:val="16"/>
                <w:color w:val="auto"/>
              </w:rPr>
            </w:pPr>
          </w:p>
        </w:tc>
        <w:tc>
          <w:tcPr>
            <w:tcW w:w="63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AUTHORIZED SIGNATURE</w:t>
            </w:r>
          </w:p>
        </w:tc>
      </w:tr>
      <w:tr>
        <w:trPr>
          <w:trHeight w:val="540"/>
        </w:trPr>
        <w:tc>
          <w:tcPr>
            <w:tcW w:w="49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17" w:right="31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t>Regeneron Pharmaceuticals, Inc.</w:t>
      </w:r>
    </w:p>
    <w:p>
      <w:pPr>
        <w:spacing w:after="0" w:line="186"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THE RECORD HOLDER OF THIS CERTIFICATE MAY OBTAIN FROM THE SECRETARY OF THE CORPORATION, UPON REQUEST AND WITHOUT CHARGE, A FULL STATEMENT OF THE DESIGNATION, RELATIVE RIGHTS, PREFERENCES AND LIMITATIONS OF THE SHARES OF EACH CLASS AUTHORIZED TO BE ISSUED AND THE DESIGNATION, RELATIVE RIGHTS, PREFERENCES AND LIMITATIONS OF EACH SERIES OF PREFERRED SHARES AUTHORIZED TO BE ISSUED SO FAR AS THE SAME HAVE BEEN FIXED AND THE AUTHORITY OF THE BOARD OF DIRECTORS TO DESIGNATE AND FIX THE RELATIVE RIGHTS, PREFERENCES AND LIMITATIONS OF OTHER SERIES.</w:t>
      </w:r>
    </w:p>
    <w:p>
      <w:pPr>
        <w:spacing w:after="0" w:line="317"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The following abbreviations, when used in the inscription on the face of this certificate, shall be construed as though they were written out in full according to applicable laws or regulations: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TEN COM</w:t>
            </w:r>
          </w:p>
        </w:tc>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as tenants in common</w:t>
            </w:r>
          </w:p>
        </w:tc>
        <w:tc>
          <w:tcPr>
            <w:tcW w:w="34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UNIF GIFT MIN ACT –</w:t>
            </w: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Custodian</w:t>
            </w:r>
          </w:p>
        </w:tc>
      </w:tr>
      <w:tr>
        <w:trPr>
          <w:trHeight w:val="178"/>
        </w:trPr>
        <w:tc>
          <w:tcPr>
            <w:tcW w:w="7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9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(Cust)</w:t>
            </w:r>
          </w:p>
        </w:tc>
        <w:tc>
          <w:tcPr>
            <w:tcW w:w="1120" w:type="dxa"/>
            <w:vAlign w:val="bottom"/>
          </w:tcPr>
          <w:p>
            <w:pPr>
              <w:spacing w:after="0"/>
              <w:rPr>
                <w:sz w:val="15"/>
                <w:szCs w:val="15"/>
                <w:color w:val="auto"/>
              </w:rPr>
            </w:pPr>
          </w:p>
        </w:tc>
        <w:tc>
          <w:tcPr>
            <w:tcW w:w="9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(Minor)</w:t>
            </w:r>
          </w:p>
        </w:tc>
      </w:tr>
      <w:tr>
        <w:trPr>
          <w:trHeight w:val="330"/>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TEN ENT</w:t>
            </w:r>
          </w:p>
        </w:tc>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as tenants by the entireties</w:t>
            </w:r>
          </w:p>
        </w:tc>
        <w:tc>
          <w:tcPr>
            <w:tcW w:w="348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under Uniform Gifts to Minors</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5"/>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JT TEN</w:t>
            </w:r>
          </w:p>
        </w:tc>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as joint tenants with right of survivorship and not as tenants in common</w:t>
            </w:r>
          </w:p>
        </w:tc>
        <w:tc>
          <w:tcPr>
            <w:tcW w:w="348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Act</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4948555</wp:posOffset>
            </wp:positionH>
            <wp:positionV relativeFrom="paragraph">
              <wp:posOffset>-5715</wp:posOffset>
            </wp:positionV>
            <wp:extent cx="221551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2215515" cy="6985"/>
                    </a:xfrm>
                    <a:prstGeom prst="rect">
                      <a:avLst/>
                    </a:prstGeom>
                    <a:noFill/>
                  </pic:spPr>
                </pic:pic>
              </a:graphicData>
            </a:graphic>
          </wp:anchor>
        </w:drawing>
      </w:r>
    </w:p>
    <w:p>
      <w:pPr>
        <w:ind w:left="9120"/>
        <w:spacing w:after="0"/>
        <w:rPr>
          <w:sz w:val="20"/>
          <w:szCs w:val="20"/>
          <w:color w:val="auto"/>
        </w:rPr>
      </w:pPr>
      <w:r>
        <w:rPr>
          <w:rFonts w:ascii="Times New Roman" w:cs="Times New Roman" w:eastAsia="Times New Roman" w:hAnsi="Times New Roman"/>
          <w:sz w:val="14"/>
          <w:szCs w:val="14"/>
          <w:color w:val="auto"/>
        </w:rPr>
        <w:t>(State)</w:t>
      </w:r>
    </w:p>
    <w:p>
      <w:pPr>
        <w:spacing w:after="0" w:line="17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Additional abbreviations may also be used though not in the above list.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Value received, _______________________hereby sell, assign and transfer unto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INSERT SOCIAL SECURITY OR OTHER IDENTIFYING NUMBER OF ASSIGNEE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6026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PLEASE PRINT OR TYPEWRITE NAME AND ADDRESS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6026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125730</wp:posOffset>
            </wp:positionV>
            <wp:extent cx="716026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 Shares of the capital stock represented by the within Certificate, and do hereby irrevocably constitute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6026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appoint ______________________________________________________________Attorney to transfer the said stock on the books of the within-named Corporation with full power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substitution in the premises.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Dated:__________________________</w:t>
      </w:r>
    </w:p>
    <w:p>
      <w:pPr>
        <w:spacing w:after="0" w:line="1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X</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NOTICE: THE SIGNATURE TO THIS ASSIGNMENT MUST CORRESPOND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-100965</wp:posOffset>
            </wp:positionV>
            <wp:extent cx="357632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3576320" cy="6985"/>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 AS WRITTEN UPON THE PAGE OF THE CERTIFICATE, IN EVERY PARTICULAR,</w:t>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16026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2" w:lineRule="exact"/>
        <w:rPr>
          <w:sz w:val="20"/>
          <w:szCs w:val="20"/>
          <w:color w:val="auto"/>
        </w:rPr>
      </w:pPr>
    </w:p>
    <w:tbl>
      <w:tblPr>
        <w:tblLayout w:type="fixed"/>
        <w:tblInd w:w="4400" w:type="dxa"/>
        <w:tblCellMar>
          <w:top w:w="0" w:type="dxa"/>
          <w:left w:w="0" w:type="dxa"/>
          <w:bottom w:w="0" w:type="dxa"/>
          <w:right w:w="0" w:type="dxa"/>
        </w:tblCellMar>
      </w:tblPr>
      <w:tr>
        <w:trPr>
          <w:trHeight w:val="172"/>
        </w:trPr>
        <w:tc>
          <w:tcPr>
            <w:tcW w:w="3660" w:type="dxa"/>
            <w:vAlign w:val="bottom"/>
          </w:tcPr>
          <w:p>
            <w:pPr>
              <w:jc w:val="center"/>
              <w:ind w:right="1088"/>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9"/>
                <w:szCs w:val="9"/>
                <w:color w:val="auto"/>
              </w:rPr>
              <w:t>kadden</w:t>
            </w:r>
            <w:r>
              <w:rPr>
                <w:rFonts w:ascii="Times New Roman" w:cs="Times New Roman" w:eastAsia="Times New Roman" w:hAnsi="Times New Roman"/>
                <w:sz w:val="14"/>
                <w:szCs w:val="14"/>
                <w:color w:val="auto"/>
              </w:rPr>
              <w:t>, A</w:t>
            </w:r>
            <w:r>
              <w:rPr>
                <w:rFonts w:ascii="Times New Roman" w:cs="Times New Roman" w:eastAsia="Times New Roman" w:hAnsi="Times New Roman"/>
                <w:sz w:val="9"/>
                <w:szCs w:val="9"/>
                <w:color w:val="auto"/>
              </w:rPr>
              <w:t>rps</w:t>
            </w:r>
            <w:r>
              <w:rPr>
                <w:rFonts w:ascii="Times New Roman" w:cs="Times New Roman" w:eastAsia="Times New Roman" w:hAnsi="Times New Roman"/>
                <w:sz w:val="14"/>
                <w:szCs w:val="14"/>
                <w:color w:val="auto"/>
              </w:rPr>
              <w:t>, S</w:t>
            </w:r>
            <w:r>
              <w:rPr>
                <w:rFonts w:ascii="Times New Roman" w:cs="Times New Roman" w:eastAsia="Times New Roman" w:hAnsi="Times New Roman"/>
                <w:sz w:val="9"/>
                <w:szCs w:val="9"/>
                <w:color w:val="auto"/>
              </w:rPr>
              <w:t>late</w:t>
            </w:r>
            <w:r>
              <w:rPr>
                <w:rFonts w:ascii="Times New Roman" w:cs="Times New Roman" w:eastAsia="Times New Roman" w:hAnsi="Times New Roman"/>
                <w:sz w:val="14"/>
                <w:szCs w:val="14"/>
                <w:color w:val="auto"/>
              </w:rPr>
              <w:t>, M</w:t>
            </w:r>
            <w:r>
              <w:rPr>
                <w:rFonts w:ascii="Times New Roman" w:cs="Times New Roman" w:eastAsia="Times New Roman" w:hAnsi="Times New Roman"/>
                <w:sz w:val="9"/>
                <w:szCs w:val="9"/>
                <w:color w:val="auto"/>
              </w:rPr>
              <w:t>eagher</w:t>
            </w:r>
            <w:r>
              <w:rPr>
                <w:rFonts w:ascii="Times New Roman" w:cs="Times New Roman" w:eastAsia="Times New Roman" w:hAnsi="Times New Roman"/>
                <w:sz w:val="14"/>
                <w:szCs w:val="14"/>
                <w:color w:val="auto"/>
              </w:rPr>
              <w:t xml:space="preserve"> &amp; F</w:t>
            </w:r>
            <w:r>
              <w:rPr>
                <w:rFonts w:ascii="Times New Roman" w:cs="Times New Roman" w:eastAsia="Times New Roman" w:hAnsi="Times New Roman"/>
                <w:sz w:val="9"/>
                <w:szCs w:val="9"/>
                <w:color w:val="auto"/>
              </w:rPr>
              <w:t>lom llp</w:t>
            </w: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60" w:type="dxa"/>
            <w:vAlign w:val="bottom"/>
          </w:tcPr>
          <w:p>
            <w:pPr>
              <w:jc w:val="center"/>
              <w:ind w:right="1088"/>
              <w:spacing w:after="0"/>
              <w:rPr>
                <w:sz w:val="20"/>
                <w:szCs w:val="20"/>
                <w:color w:val="auto"/>
              </w:rPr>
            </w:pPr>
            <w:r>
              <w:rPr>
                <w:rFonts w:ascii="Times New Roman" w:cs="Times New Roman" w:eastAsia="Times New Roman" w:hAnsi="Times New Roman"/>
                <w:sz w:val="14"/>
                <w:szCs w:val="14"/>
                <w:color w:val="auto"/>
              </w:rPr>
              <w:t>ONE MANHATTAN WEST</w:t>
            </w: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60" w:type="dxa"/>
            <w:vAlign w:val="bottom"/>
          </w:tcPr>
          <w:p>
            <w:pPr>
              <w:jc w:val="center"/>
              <w:ind w:right="1088"/>
              <w:spacing w:after="0"/>
              <w:rPr>
                <w:sz w:val="20"/>
                <w:szCs w:val="20"/>
                <w:color w:val="auto"/>
              </w:rPr>
            </w:pPr>
            <w:r>
              <w:rPr>
                <w:rFonts w:ascii="Times New Roman" w:cs="Times New Roman" w:eastAsia="Times New Roman" w:hAnsi="Times New Roman"/>
                <w:sz w:val="14"/>
                <w:szCs w:val="14"/>
                <w:color w:val="auto"/>
              </w:rPr>
              <w:t>NEW YORK, NY 10001</w:t>
            </w:r>
          </w:p>
        </w:tc>
        <w:tc>
          <w:tcPr>
            <w:tcW w:w="2460" w:type="dxa"/>
            <w:vAlign w:val="bottom"/>
            <w:vMerge w:val="restart"/>
          </w:tcPr>
          <w:p>
            <w:pPr>
              <w:jc w:val="center"/>
              <w:ind w:left="1088"/>
              <w:spacing w:after="0"/>
              <w:rPr>
                <w:sz w:val="20"/>
                <w:szCs w:val="20"/>
                <w:color w:val="auto"/>
              </w:rPr>
            </w:pPr>
            <w:r>
              <w:rPr>
                <w:rFonts w:ascii="Times New Roman" w:cs="Times New Roman" w:eastAsia="Times New Roman" w:hAnsi="Times New Roman"/>
                <w:sz w:val="14"/>
                <w:szCs w:val="14"/>
                <w:color w:val="auto"/>
              </w:rPr>
              <w:t>FIRM/AFFILIATE</w:t>
            </w: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2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660" w:type="dxa"/>
            <w:vAlign w:val="bottom"/>
          </w:tcPr>
          <w:p>
            <w:pPr>
              <w:jc w:val="center"/>
              <w:ind w:right="1088"/>
              <w:spacing w:after="0"/>
              <w:rPr>
                <w:sz w:val="20"/>
                <w:szCs w:val="20"/>
                <w:color w:val="auto"/>
              </w:rPr>
            </w:pPr>
            <w:r>
              <w:rPr>
                <w:rFonts w:ascii="Times New Roman" w:cs="Times New Roman" w:eastAsia="Times New Roman" w:hAnsi="Times New Roman"/>
                <w:sz w:val="14"/>
                <w:szCs w:val="14"/>
                <w:color w:val="auto"/>
                <w:w w:val="99"/>
              </w:rPr>
              <w:t>______</w:t>
            </w:r>
          </w:p>
        </w:tc>
        <w:tc>
          <w:tcPr>
            <w:tcW w:w="246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OFFICES</w:t>
            </w:r>
          </w:p>
        </w:tc>
        <w:tc>
          <w:tcPr>
            <w:tcW w:w="0" w:type="dxa"/>
            <w:vAlign w:val="bottom"/>
          </w:tcPr>
          <w:p>
            <w:pPr>
              <w:spacing w:after="0"/>
              <w:rPr>
                <w:sz w:val="1"/>
                <w:szCs w:val="1"/>
                <w:color w:val="auto"/>
              </w:rPr>
            </w:pPr>
          </w:p>
        </w:tc>
      </w:tr>
      <w:tr>
        <w:trPr>
          <w:trHeight w:val="186"/>
        </w:trPr>
        <w:tc>
          <w:tcPr>
            <w:tcW w:w="3660" w:type="dxa"/>
            <w:vAlign w:val="bottom"/>
            <w:vMerge w:val="restart"/>
          </w:tcPr>
          <w:p>
            <w:pPr>
              <w:jc w:val="center"/>
              <w:ind w:right="1088"/>
              <w:spacing w:after="0"/>
              <w:rPr>
                <w:sz w:val="20"/>
                <w:szCs w:val="20"/>
                <w:color w:val="auto"/>
              </w:rPr>
            </w:pPr>
            <w:r>
              <w:rPr>
                <w:rFonts w:ascii="Times New Roman" w:cs="Times New Roman" w:eastAsia="Times New Roman" w:hAnsi="Times New Roman"/>
                <w:sz w:val="14"/>
                <w:szCs w:val="14"/>
                <w:color w:val="auto"/>
              </w:rPr>
              <w:t>TEL: (212) 735-3000</w:t>
            </w:r>
          </w:p>
        </w:tc>
        <w:tc>
          <w:tcPr>
            <w:tcW w:w="24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_____</w:t>
            </w:r>
          </w:p>
        </w:tc>
        <w:tc>
          <w:tcPr>
            <w:tcW w:w="0" w:type="dxa"/>
            <w:vAlign w:val="bottom"/>
          </w:tcPr>
          <w:p>
            <w:pPr>
              <w:spacing w:after="0"/>
              <w:rPr>
                <w:sz w:val="1"/>
                <w:szCs w:val="1"/>
                <w:color w:val="auto"/>
              </w:rPr>
            </w:pPr>
          </w:p>
        </w:tc>
      </w:tr>
      <w:tr>
        <w:trPr>
          <w:trHeight w:val="159"/>
        </w:trPr>
        <w:tc>
          <w:tcPr>
            <w:tcW w:w="366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660" w:type="dxa"/>
            <w:vAlign w:val="bottom"/>
          </w:tcPr>
          <w:p>
            <w:pPr>
              <w:jc w:val="center"/>
              <w:ind w:right="1088"/>
              <w:spacing w:after="0"/>
              <w:rPr>
                <w:sz w:val="20"/>
                <w:szCs w:val="20"/>
                <w:color w:val="auto"/>
              </w:rPr>
            </w:pPr>
            <w:r>
              <w:rPr>
                <w:rFonts w:ascii="Times New Roman" w:cs="Times New Roman" w:eastAsia="Times New Roman" w:hAnsi="Times New Roman"/>
                <w:sz w:val="14"/>
                <w:szCs w:val="14"/>
                <w:color w:val="auto"/>
              </w:rPr>
              <w:t>FAX: (212) 735-2000</w:t>
            </w:r>
          </w:p>
        </w:tc>
        <w:tc>
          <w:tcPr>
            <w:tcW w:w="24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w w:val="99"/>
              </w:rPr>
              <w:t>BOSTON</w:t>
            </w:r>
          </w:p>
        </w:tc>
        <w:tc>
          <w:tcPr>
            <w:tcW w:w="0" w:type="dxa"/>
            <w:vAlign w:val="bottom"/>
          </w:tcPr>
          <w:p>
            <w:pPr>
              <w:spacing w:after="0"/>
              <w:rPr>
                <w:sz w:val="1"/>
                <w:szCs w:val="1"/>
                <w:color w:val="auto"/>
              </w:rPr>
            </w:pPr>
          </w:p>
        </w:tc>
      </w:tr>
      <w:tr>
        <w:trPr>
          <w:trHeight w:val="172"/>
        </w:trPr>
        <w:tc>
          <w:tcPr>
            <w:tcW w:w="3660" w:type="dxa"/>
            <w:vAlign w:val="bottom"/>
          </w:tcPr>
          <w:p>
            <w:pPr>
              <w:jc w:val="center"/>
              <w:ind w:right="1088"/>
              <w:spacing w:after="0"/>
              <w:rPr>
                <w:sz w:val="20"/>
                <w:szCs w:val="20"/>
                <w:color w:val="auto"/>
              </w:rPr>
            </w:pPr>
            <w:r>
              <w:rPr>
                <w:rFonts w:ascii="Times New Roman" w:cs="Times New Roman" w:eastAsia="Times New Roman" w:hAnsi="Times New Roman"/>
                <w:sz w:val="14"/>
                <w:szCs w:val="14"/>
                <w:color w:val="auto"/>
              </w:rPr>
              <w:t>www.skadden.com</w:t>
            </w:r>
          </w:p>
        </w:tc>
        <w:tc>
          <w:tcPr>
            <w:tcW w:w="246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CHICAGO</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HOUSTON</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LOS ANGELES</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w w:val="98"/>
              </w:rPr>
              <w:t>PALO ALTO</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WASHINGTON, D.C.</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WILMINGTON</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24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_____</w:t>
            </w:r>
          </w:p>
        </w:tc>
        <w:tc>
          <w:tcPr>
            <w:tcW w:w="0" w:type="dxa"/>
            <w:vAlign w:val="bottom"/>
          </w:tcPr>
          <w:p>
            <w:pPr>
              <w:spacing w:after="0"/>
              <w:rPr>
                <w:sz w:val="1"/>
                <w:szCs w:val="1"/>
                <w:color w:val="auto"/>
              </w:rPr>
            </w:pPr>
          </w:p>
        </w:tc>
      </w:tr>
      <w:tr>
        <w:trPr>
          <w:trHeight w:val="331"/>
        </w:trPr>
        <w:tc>
          <w:tcPr>
            <w:tcW w:w="3660" w:type="dxa"/>
            <w:vAlign w:val="bottom"/>
          </w:tcPr>
          <w:p>
            <w:pPr>
              <w:spacing w:after="0"/>
              <w:rPr>
                <w:sz w:val="24"/>
                <w:szCs w:val="24"/>
                <w:color w:val="auto"/>
              </w:rPr>
            </w:pPr>
          </w:p>
        </w:tc>
        <w:tc>
          <w:tcPr>
            <w:tcW w:w="246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BEIJING</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BRUSSELS</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FRANKFURT</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HONG KONG</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LONDON</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MUNICH</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PARIS</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SÃO PAULO</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SEOUL</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SHANGHAI</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SINGAPORE</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246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TOKYO</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24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TORONTO</w:t>
            </w:r>
          </w:p>
        </w:tc>
        <w:tc>
          <w:tcPr>
            <w:tcW w:w="0" w:type="dxa"/>
            <w:vAlign w:val="bottom"/>
          </w:tcPr>
          <w:p>
            <w:pPr>
              <w:spacing w:after="0"/>
              <w:rPr>
                <w:sz w:val="1"/>
                <w:szCs w:val="1"/>
                <w:color w:val="auto"/>
              </w:rPr>
            </w:pPr>
          </w:p>
        </w:tc>
      </w:tr>
      <w:tr>
        <w:trPr>
          <w:trHeight w:val="345"/>
        </w:trPr>
        <w:tc>
          <w:tcPr>
            <w:tcW w:w="3660" w:type="dxa"/>
            <w:vAlign w:val="bottom"/>
          </w:tcPr>
          <w:p>
            <w:pPr>
              <w:jc w:val="center"/>
              <w:ind w:right="1108"/>
              <w:spacing w:after="0"/>
              <w:rPr>
                <w:sz w:val="20"/>
                <w:szCs w:val="20"/>
                <w:color w:val="auto"/>
              </w:rPr>
            </w:pPr>
            <w:r>
              <w:rPr>
                <w:rFonts w:ascii="Times New Roman" w:cs="Times New Roman" w:eastAsia="Times New Roman" w:hAnsi="Times New Roman"/>
                <w:sz w:val="14"/>
                <w:szCs w:val="14"/>
                <w:color w:val="auto"/>
              </w:rPr>
              <w:t>October 31, 2024</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Regeneron Pharmaceuticals,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777 Old Saw Mill River Road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Tarrytown, New York 10591-6707</w:t>
      </w:r>
    </w:p>
    <w:p>
      <w:pPr>
        <w:spacing w:after="0" w:line="17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Re:           Regeneron Pharmaceuticals, Inc.</w:t>
      </w:r>
    </w:p>
    <w:p>
      <w:pPr>
        <w:spacing w:after="0" w:line="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u w:val="single" w:color="auto"/>
          <w:color w:val="auto"/>
        </w:rPr>
        <w:t>Registration Statement on Form S-3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We have acted as special United States counsel to Regeneron Pharmaceuticals, Inc., a New York corporation (the “Company”), in connection with the registration statement 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S-3 (the “Registration Statement”) to be filed on the date hereof by the Company with the Securities and Exchange Commission (the “Commission”) under the Securities Act of 1933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Act”).  The Registration Statement relates to the issuance and sale by the Company from time to time, pursuant to Rule 415 of the General Rules and Regulations of the Commission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promulgated under the Securities Act (the “Rules and Regulations”), of (i) shares of common stock, par value $0.001 per share, of the Company (“Common Stock”), (ii) shares of preferred stock,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 value $0.01 per share, of the Company (“Preferred Stock”), which may be issued in one or more series, (iii) debt securities of the Company (“Debt Securities”), which may be issued in one 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more series under the indenture, dated August 12, 2020 (the “Indenture”), between the Company and U.S. Bank Trust Company, National Association, as trustee, which is filed as an exhibit to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Registration Statement, (iv) warrants to purchase shares of Common Stock, shares of Preferred Stock or Debt Securities (“Warrants”), which may be issued pursuant to one or more warrant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agreements (each, a “Warrant Agreement”) proposed to be entered into by the Company and one or more warrant agents to be named therein and (v) such indeterminate number of shares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 or Preferred Stock and indeterminate amount of Debt Securities as may be issued upon conversion, exchange or exercise, as applicable, of any Preferred Stock, Debt Securities 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Warrants, including such shares of Common Stock or Preferred Stock as may be issued pursuant to anti-dilution adjustments determined at the time of offering (collectively, “Indeterminate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The Common Stock, Preferred Stock, Indeterminate Securities, Debt Securities and Warrants offered pursuant to the Registration Statement are collectively referred to herein as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240665</wp:posOffset>
            </wp:positionV>
            <wp:extent cx="716026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auto"/>
        </w:rPr>
        <w:t>Regeneron Pharmaceuticals,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31, 2024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This opinion is being furnished in accordance with the requirements of Item 601(b)(5) of Regulation S-K under the Securities Act.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In rendering the opinions stated herein, we have examined and relied upon the following: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(a)            the Registration Statement;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(b)            an executed copy of the Indenture;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(c)            an executed copy of a certificate of Joseph J. LaRosa, Executive Vice President, General Counsel and Secretary of the Company, dated the date hereof (the “Secretary’s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Certificate”);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(d)            a copy of the Company’s Restated Certificate of Incorporation, certified by the Secretary of State of the State of New York as of October 31, 2024, and certified pursuant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Secretary’s Certificate;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(e)            a copy of the Company’s Amended and Restated By-Laws, as amended and in effect as of the date hereof and certified pursuant to the Secretary’s Certificate;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(f)            a copy of certain resolutions of the Board of Directors of the Company, adopted on September 13, 2024, certified pursuant to the Secretary’s Certificate.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We have also examined originals or copies, certified or otherwise identified to our satisfaction, of such records of the Company and such agreements, certificates and receipts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public officials, certificates of officers or other representatives of the Company and others, and such other documents as we have deemed necessary or appropriate as a basis for the opinions stated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firstLine="1034"/>
        <w:spacing w:after="0" w:line="262" w:lineRule="auto"/>
        <w:rPr>
          <w:sz w:val="20"/>
          <w:szCs w:val="20"/>
          <w:color w:val="auto"/>
        </w:rPr>
      </w:pPr>
      <w:r>
        <w:rPr>
          <w:rFonts w:ascii="Times New Roman" w:cs="Times New Roman" w:eastAsia="Times New Roman" w:hAnsi="Times New Roman"/>
          <w:sz w:val="14"/>
          <w:szCs w:val="14"/>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334010</wp:posOffset>
            </wp:positionV>
            <wp:extent cx="716026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auto"/>
        </w:rPr>
        <w:t>Regeneron Pharmaceuticals,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31, 2024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5" w:lineRule="exact"/>
        <w:rPr>
          <w:sz w:val="20"/>
          <w:szCs w:val="20"/>
          <w:color w:val="auto"/>
        </w:rPr>
      </w:pPr>
    </w:p>
    <w:p>
      <w:pPr>
        <w:ind w:right="160" w:firstLine="1034"/>
        <w:spacing w:after="0" w:line="265" w:lineRule="auto"/>
        <w:rPr>
          <w:sz w:val="20"/>
          <w:szCs w:val="20"/>
          <w:color w:val="auto"/>
        </w:rPr>
      </w:pPr>
      <w:r>
        <w:rPr>
          <w:rFonts w:ascii="Times New Roman" w:cs="Times New Roman" w:eastAsia="Times New Roman" w:hAnsi="Times New Roman"/>
          <w:sz w:val="14"/>
          <w:szCs w:val="14"/>
          <w:color w:val="auto"/>
        </w:rPr>
        <w:t>We do not express any opinion with respect to the laws of any jurisdiction other than the laws of the State of New York, including the Business Corporation Law of the State of New York (“NYBCL”) (collectively, “Opined-on Law”). The Securities may be issued from time to time on a delayed or continuous basis, and this opinion is limited to the laws, including the rules and regulations, as in effect on the date hereof, which laws are subject to change with possible retroactive effect.  </w:t>
      </w:r>
    </w:p>
    <w:p>
      <w:pPr>
        <w:spacing w:after="0" w:line="156" w:lineRule="exact"/>
        <w:rPr>
          <w:sz w:val="20"/>
          <w:szCs w:val="20"/>
          <w:color w:val="auto"/>
        </w:rPr>
      </w:pPr>
    </w:p>
    <w:p>
      <w:pPr>
        <w:ind w:right="300" w:firstLine="1034"/>
        <w:spacing w:after="0" w:line="273" w:lineRule="auto"/>
        <w:rPr>
          <w:sz w:val="20"/>
          <w:szCs w:val="20"/>
          <w:color w:val="auto"/>
        </w:rPr>
      </w:pPr>
      <w:r>
        <w:rPr>
          <w:rFonts w:ascii="Times New Roman" w:cs="Times New Roman" w:eastAsia="Times New Roman" w:hAnsi="Times New Roman"/>
          <w:sz w:val="14"/>
          <w:szCs w:val="14"/>
          <w:color w:val="auto"/>
        </w:rPr>
        <w:t>As used herein, “Transaction Documents” means the Indenture and the supplemental indentures thereto and officer’s certificates establishing the terms of the Debt Securities pursuant thereto, any Warrant Agreement and any applicable underwriting or purchase agreement.  </w:t>
      </w:r>
    </w:p>
    <w:p>
      <w:pPr>
        <w:spacing w:after="0" w:line="151" w:lineRule="exact"/>
        <w:rPr>
          <w:sz w:val="20"/>
          <w:szCs w:val="20"/>
          <w:color w:val="auto"/>
        </w:rPr>
      </w:pPr>
    </w:p>
    <w:p>
      <w:pPr>
        <w:ind w:firstLine="1034"/>
        <w:spacing w:after="0" w:line="256" w:lineRule="auto"/>
        <w:rPr>
          <w:sz w:val="20"/>
          <w:szCs w:val="20"/>
          <w:color w:val="auto"/>
        </w:rPr>
      </w:pPr>
      <w:r>
        <w:rPr>
          <w:rFonts w:ascii="Times New Roman" w:cs="Times New Roman" w:eastAsia="Times New Roman" w:hAnsi="Times New Roman"/>
          <w:sz w:val="14"/>
          <w:szCs w:val="14"/>
          <w:color w:val="auto"/>
        </w:rPr>
        <w:t>The opinions stated in paragraphs 1 through 4 below presume that all of the following (collectively, the “general conditions”)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shall have taken all necessary corporate action to approve the issuance and sale of such Securities and related matters and appropriate officers of the Company have taken all related action as directed by or under the direction of the Board of Directors of the Company; and (v) the terms of the applicable Transaction Documents and the issuance and sale of such Securities have been duly established in conformity with the certificate of incorporation of the Company so as not to violate any applicable law, the certificate of incorporation of the Company or the bylaws of the Company, or result in a default under or breach of any agreement or instrument binding upon the Company or its properties, and so as to comply with any requirement or restriction imposed by any court or governmental body having jurisdiction over the Company or its properties.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Based upon the foregoing and subject to the qualifications and assumptions stated herein, we are of the opinion that: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1.             With respect to any shares of Common Stock offered by the Company, including any Indeterminate Securities constituting Common Stock (the “Offered Common Stock”),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when (a) the general conditions shall have been satisfied, (b) if the Offered Common Stock is to be certificated, certificates in the form required under the NYBCL representing the shares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Offered Common Stock are duly executed and countersigned or, if the Offered Common Stock is to be issued in uncertificated form, a resolution of the Board of Directors has duly authorized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the Offered Common Stock in uncertificated form and (c) the shares of Offered Common Stock are registered in the Company’s share registry and delivered upon payment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agreed-upon consideration therefor, the shares of Offered Common Stock, when issued and sold or otherwise distributed in accordance with the provisions of the applicable Transaction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Documents, will be duly authorized by all requisite corporate action on the part of the Company under the NYBCL and validly issued, fully paid and nonassessable, provided that the consideration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therefor is not less than $0.001 per share of Common Stock.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240665</wp:posOffset>
            </wp:positionV>
            <wp:extent cx="716026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Regeneron Pharmaceuticals,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31, 2024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5" w:lineRule="exact"/>
        <w:rPr>
          <w:sz w:val="20"/>
          <w:szCs w:val="20"/>
          <w:color w:val="auto"/>
        </w:rPr>
      </w:pPr>
    </w:p>
    <w:p>
      <w:pPr>
        <w:ind w:right="140" w:firstLine="1034"/>
        <w:spacing w:after="0" w:line="258" w:lineRule="auto"/>
        <w:rPr>
          <w:sz w:val="20"/>
          <w:szCs w:val="20"/>
          <w:color w:val="auto"/>
        </w:rPr>
      </w:pPr>
      <w:r>
        <w:rPr>
          <w:rFonts w:ascii="Times New Roman" w:cs="Times New Roman" w:eastAsia="Times New Roman" w:hAnsi="Times New Roman"/>
          <w:sz w:val="14"/>
          <w:szCs w:val="14"/>
          <w:color w:val="auto"/>
        </w:rPr>
        <w:t>2.             With respect to the shares of any series of Preferred Stock offered by the Company, including any Indeterminate Securities constituting Preferred Stock of such series (the “Offered Preferred Stock”), when (a) the general conditions shall have been satisfied, (b) the Board of Directors of the Company, or a duly authorized committee thereof, has duly adopted a Certificate of Amendment to the Company’s certificate of incorporation for the Offered Preferred Stock in accordance with the NYBCL (the “Certificate of Amendment”), (c) the filing of the Certificate of Amendment with the Department of State of the State of New York has duly occurred, (d) if the Offered Preferred Stock is to be certificated, certificates in the form required under the NYBCL representing the shares of Offered Preferred Stock are duly executed and countersigned or, if the Offered Preferred Stock is to be issued in uncertificated form, a resolution of the Board of Directors has duly authorized the issuance of the Offered Common Stock in uncertificated form and (e) the shares of Offered Preferred Stock are registered in the Company’s share registry and delivered upon payment of the agreed-upon consideration therefor, the shares of Offered Preferred Stock, when issued and sold or otherwise distributed in accordance with the provisions of the applicable Transaction Documents, will be duly authorized by all requisite corporate action on the part of the Company under the NYBCL and validly issued, fully paid and nonassessable, provided that the consideration therefor is not less than $0.01 per share of Preferred Stock.  </w:t>
      </w:r>
    </w:p>
    <w:p>
      <w:pPr>
        <w:spacing w:after="0" w:line="166" w:lineRule="exact"/>
        <w:rPr>
          <w:sz w:val="20"/>
          <w:szCs w:val="20"/>
          <w:color w:val="auto"/>
        </w:rPr>
      </w:pPr>
    </w:p>
    <w:p>
      <w:pPr>
        <w:ind w:firstLine="1034"/>
        <w:spacing w:after="0" w:line="260" w:lineRule="auto"/>
        <w:rPr>
          <w:sz w:val="20"/>
          <w:szCs w:val="20"/>
          <w:color w:val="auto"/>
        </w:rPr>
      </w:pPr>
      <w:r>
        <w:rPr>
          <w:rFonts w:ascii="Times New Roman" w:cs="Times New Roman" w:eastAsia="Times New Roman" w:hAnsi="Times New Roman"/>
          <w:sz w:val="14"/>
          <w:szCs w:val="14"/>
          <w:color w:val="auto"/>
        </w:rPr>
        <w:t>3.             With respect to any series of Debt Securities offered by the Company, including any Indeterminate Securities constituting Debt Securities of such series (the “Offered Debt Securities”), when (a) the general conditions shall have been satisfied, (b) the issuance, sale and terms of the Offered Debt Securities and related matters have been approved and established in conformity with the applicable Transaction Documents and (c)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 upon payment of the agreed-upon consideration therefor, the Offered Debt Securities will constitute valid and binding obligations of the Company, enforceable against the Company in accordance with their respective terms under the laws of the State of New York.  </w:t>
      </w:r>
    </w:p>
    <w:p>
      <w:pPr>
        <w:spacing w:after="0" w:line="160" w:lineRule="exact"/>
        <w:rPr>
          <w:sz w:val="20"/>
          <w:szCs w:val="20"/>
          <w:color w:val="auto"/>
        </w:rPr>
      </w:pPr>
    </w:p>
    <w:p>
      <w:pPr>
        <w:ind w:right="40" w:firstLine="1034"/>
        <w:spacing w:after="0" w:line="261" w:lineRule="auto"/>
        <w:rPr>
          <w:sz w:val="20"/>
          <w:szCs w:val="20"/>
          <w:color w:val="auto"/>
        </w:rPr>
      </w:pPr>
      <w:r>
        <w:rPr>
          <w:rFonts w:ascii="Times New Roman" w:cs="Times New Roman" w:eastAsia="Times New Roman" w:hAnsi="Times New Roman"/>
          <w:sz w:val="14"/>
          <w:szCs w:val="14"/>
          <w:color w:val="auto"/>
        </w:rPr>
        <w:t>4.             With respect to any Warrants offered by the Company (the “Offered Warrants”), when (a) the general conditions shall have been satisfied, (b) the Common Stock, Preferred Stock and/or Debt Securities for which the Offered Warrants are exercisable have been duly authorized for issuance by the Company and (c) certificates evidencing the Offered Warrants have been duly executed, delivered and countersigned in accordance with the provisions of the applicable Warrant Agreement, the Offered Warrants,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334010</wp:posOffset>
            </wp:positionV>
            <wp:extent cx="716026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auto"/>
        </w:rPr>
        <w:t>Regeneron Pharmaceuticals,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31, 2024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The opinions stated herein are subject to the following assumptions and qualifications: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(a)            we do not express any opinion with respect to the effect on the opinions stated herein of any bankruptcy, insolvency, reorganization, moratorium, fraudulent transfer,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preference and other similar laws or governmental orders affecting creditors’ rights generally, and the opinions stated herein are limited by such laws and governmental orders and by general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principles of equity (regardless of whether enforcement is sought in equity or at law);</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(b)            we do not express any opinion with respect to any law, rule or regulation that is applicable to any party to any of the Transaction Documents or the transactions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contemplated thereby solely because such law, rule or regulation is part of a regulatory regime applicable to any such party or any of its affiliates as a result of the specific assets or business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of such party or such affiliates;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firstLine="1034"/>
        <w:spacing w:after="0" w:line="273" w:lineRule="auto"/>
        <w:rPr>
          <w:sz w:val="20"/>
          <w:szCs w:val="20"/>
          <w:color w:val="auto"/>
        </w:rPr>
      </w:pPr>
      <w:r>
        <w:rPr>
          <w:rFonts w:ascii="Times New Roman" w:cs="Times New Roman" w:eastAsia="Times New Roman" w:hAnsi="Times New Roman"/>
          <w:sz w:val="14"/>
          <w:szCs w:val="14"/>
          <w:color w:val="auto"/>
        </w:rPr>
        <w:t>(c)            except to the extent expressly stated in the opinions contained herein, we have assumed that each of the Transaction Documents constitutes the valid and binding obligation of each party to such Transaction Document, enforceable against such party in accordance with its terms;  </w:t>
      </w:r>
    </w:p>
    <w:p>
      <w:pPr>
        <w:spacing w:after="0" w:line="151" w:lineRule="exact"/>
        <w:rPr>
          <w:sz w:val="20"/>
          <w:szCs w:val="20"/>
          <w:color w:val="auto"/>
        </w:rPr>
      </w:pPr>
    </w:p>
    <w:p>
      <w:pPr>
        <w:ind w:right="260" w:firstLine="1034"/>
        <w:spacing w:after="0" w:line="265" w:lineRule="auto"/>
        <w:rPr>
          <w:sz w:val="20"/>
          <w:szCs w:val="20"/>
          <w:color w:val="auto"/>
        </w:rPr>
      </w:pPr>
      <w:r>
        <w:rPr>
          <w:rFonts w:ascii="Times New Roman" w:cs="Times New Roman" w:eastAsia="Times New Roman" w:hAnsi="Times New Roman"/>
          <w:sz w:val="14"/>
          <w:szCs w:val="14"/>
          <w:color w:val="auto"/>
        </w:rPr>
        <w:t>(d)            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  </w:t>
      </w:r>
    </w:p>
    <w:p>
      <w:pPr>
        <w:spacing w:after="0" w:line="1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(e)            we do not express any opinion with respect to the enforceability of any provision of any Transaction Document to the extent that such provision purports to bind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to the exclusive jurisdiction of any particular court or courts;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right="60" w:firstLine="1034"/>
        <w:spacing w:after="0" w:line="265" w:lineRule="auto"/>
        <w:rPr>
          <w:sz w:val="20"/>
          <w:szCs w:val="20"/>
          <w:color w:val="auto"/>
        </w:rPr>
      </w:pPr>
      <w:r>
        <w:rPr>
          <w:rFonts w:ascii="Times New Roman" w:cs="Times New Roman" w:eastAsia="Times New Roman" w:hAnsi="Times New Roman"/>
          <w:sz w:val="14"/>
          <w:szCs w:val="14"/>
          <w:color w:val="auto"/>
        </w:rPr>
        <w:t>(f)            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  </w:t>
      </w:r>
    </w:p>
    <w:p>
      <w:pPr>
        <w:spacing w:after="0" w:line="156" w:lineRule="exact"/>
        <w:rPr>
          <w:sz w:val="20"/>
          <w:szCs w:val="20"/>
          <w:color w:val="auto"/>
        </w:rPr>
      </w:pPr>
    </w:p>
    <w:p>
      <w:pPr>
        <w:ind w:right="40" w:firstLine="1034"/>
        <w:spacing w:after="0" w:line="265" w:lineRule="auto"/>
        <w:rPr>
          <w:sz w:val="20"/>
          <w:szCs w:val="20"/>
          <w:color w:val="auto"/>
        </w:rPr>
      </w:pPr>
      <w:r>
        <w:rPr>
          <w:rFonts w:ascii="Times New Roman" w:cs="Times New Roman" w:eastAsia="Times New Roman" w:hAnsi="Times New Roman"/>
          <w:sz w:val="14"/>
          <w:szCs w:val="14"/>
          <w:color w:val="auto"/>
        </w:rPr>
        <w:t>(g)            the opinions stated herein are limited to the agreements and documents specifically identified in the opinions contained herein (the “Specified Documents”) without regard to any agreement or other document referenced in any such Specified Document (including agreements or other documents incorporated by reference or attached or annexed thereto) and without regard to any other agreement or document relating to any such Specified Document that is not a Transaction Document;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332105</wp:posOffset>
            </wp:positionV>
            <wp:extent cx="716026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auto"/>
        </w:rPr>
        <w:t>Regeneron Pharmaceuticals,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31, 2024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5" w:lineRule="exact"/>
        <w:rPr>
          <w:sz w:val="20"/>
          <w:szCs w:val="20"/>
          <w:color w:val="auto"/>
        </w:rPr>
      </w:pPr>
    </w:p>
    <w:p>
      <w:pPr>
        <w:ind w:right="260" w:firstLine="1034"/>
        <w:spacing w:after="0" w:line="273" w:lineRule="auto"/>
        <w:rPr>
          <w:sz w:val="20"/>
          <w:szCs w:val="20"/>
          <w:color w:val="auto"/>
        </w:rPr>
      </w:pPr>
      <w:r>
        <w:rPr>
          <w:rFonts w:ascii="Times New Roman" w:cs="Times New Roman" w:eastAsia="Times New Roman" w:hAnsi="Times New Roman"/>
          <w:sz w:val="14"/>
          <w:szCs w:val="14"/>
          <w:color w:val="auto"/>
        </w:rPr>
        <w:t>(h)            we do not express any opinion with respect to the enforceability of any provision contained in any Transaction Document providing for indemnity by any party thereto against any loss in obtaining the currency due to such party under any Transaction Document from a court judgment in another currency;  </w:t>
      </w:r>
    </w:p>
    <w:p>
      <w:pPr>
        <w:spacing w:after="0" w:line="151" w:lineRule="exact"/>
        <w:rPr>
          <w:sz w:val="20"/>
          <w:szCs w:val="20"/>
          <w:color w:val="auto"/>
        </w:rPr>
      </w:pPr>
    </w:p>
    <w:p>
      <w:pPr>
        <w:ind w:right="340" w:firstLine="1034"/>
        <w:spacing w:after="0" w:line="273" w:lineRule="auto"/>
        <w:rPr>
          <w:sz w:val="20"/>
          <w:szCs w:val="20"/>
          <w:color w:val="auto"/>
        </w:rPr>
      </w:pPr>
      <w:r>
        <w:rPr>
          <w:rFonts w:ascii="Times New Roman" w:cs="Times New Roman" w:eastAsia="Times New Roman" w:hAnsi="Times New Roman"/>
          <w:sz w:val="14"/>
          <w:szCs w:val="14"/>
          <w:color w:val="auto"/>
        </w:rPr>
        <w:t>(i)            we have assumed that the choice of a currency other than U.S. dollars as the currency in which any Securities may be denominated does not contravene any exchange control or other laws of the jurisdiction of any such currency, and further we call to your attention that a court may not award a judgment in any currency other than U.S. dollars;  </w:t>
      </w:r>
    </w:p>
    <w:p>
      <w:pPr>
        <w:spacing w:after="0" w:line="15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(j)            we have assumed that the choice of New York law to govern the Indenture and any supplemental indenture thereto is a valid and legal provision;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(k)            subsequent to the effectiveness of the Indenture and immediately prior to the issuance of any series of Offered Debt Securities, the applicable Indenture has not been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amended, restated, supplemented or otherwise modified in any way that affects or relates to such series of Offered Debt Securities other than by the applicable Transaction Documents relating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series of Offered Debt Securities;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(l)            we have assumed that the laws of the State of New York will be chosen to govern any Warrant Agreements and that such choice is and will be a valid and legal provision;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(m)            to the extent that any opinion relates to the enforceability of the choice of New York law and choice of New York forum provisions contained in any Transaction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Document, the opinions stated herein are subject to the qualification that such enforceability may be subject to, in each case, (i) the exceptions and limitations in New York General Obligations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Law sections 5-1401 and 5-1402 and (ii) principles of comity and constitutionality;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firstLine="1034"/>
        <w:spacing w:after="0" w:line="261" w:lineRule="auto"/>
        <w:rPr>
          <w:sz w:val="20"/>
          <w:szCs w:val="20"/>
          <w:color w:val="auto"/>
        </w:rPr>
      </w:pPr>
      <w:r>
        <w:rPr>
          <w:rFonts w:ascii="Times New Roman" w:cs="Times New Roman" w:eastAsia="Times New Roman" w:hAnsi="Times New Roman"/>
          <w:sz w:val="14"/>
          <w:szCs w:val="14"/>
          <w:color w:val="auto"/>
        </w:rPr>
        <w:t>(n)            In connection with rendering the opinions set forth in paragraphs 1 and 2, we draw your attention to Section 630 of the NYBCL Section 630 may impose liability for unpaid debts, wages or salaries owing to any laborers, servants or employees other than contractors for services performed by them on the ten largest shareholders of (i) corporations organized under the laws of the State of New York or (ii) corporations organized under the laws of other jurisdictions when the unpaid services were performed in the State of New York. NYBCL Section 630 does not apply to a corporation that has shares listed on a national securities exchange or regularly quoted in an over-the-counter market. We have assumed that Section 630 of the NYBCL does not presently apply to the Company and that such section will continue to be inapplicable to the Company; and  </w:t>
      </w:r>
    </w:p>
    <w:p>
      <w:pPr>
        <w:spacing w:after="0" w:line="15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(o)            this opinion letter shall be interpreted in accordance with customary practice of United States lawyers who regularly give opinions in transactions of this type.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240665</wp:posOffset>
            </wp:positionV>
            <wp:extent cx="716026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color w:val="auto"/>
        </w:rPr>
        <w:t>Regeneron Pharmaceuticals,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31, 2024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7</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In addition, in rendering the foregoing opinions we have further assumed that: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right="100" w:firstLine="1034"/>
        <w:spacing w:after="0" w:line="256" w:lineRule="auto"/>
        <w:rPr>
          <w:sz w:val="20"/>
          <w:szCs w:val="20"/>
          <w:color w:val="auto"/>
        </w:rPr>
      </w:pPr>
      <w:r>
        <w:rPr>
          <w:rFonts w:ascii="Times New Roman" w:cs="Times New Roman" w:eastAsia="Times New Roman" w:hAnsi="Times New Roman"/>
          <w:sz w:val="14"/>
          <w:szCs w:val="14"/>
          <w:color w:val="auto"/>
        </w:rPr>
        <w:t>(a)            neither the execution and delivery by the Company of the Transaction Documents nor the performance by the Company of its obligations thereunder, including the issuance and sale of the applicable Securities: (i) constitutes or will constitute a violation of, or a default under, any lease, indenture, agreement or other instrument to which the Company or its property is subject, (ii) contravenes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Opined-on Law);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(b)            neither the execution and delivery by the Company of the Transaction Documents nor the performance by the Company of its obligations thereunder, including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and sale of the applicable Securities, requires or will require the consent, approval, licensing or authorization of, or any filing, recording or registration with, any governmental authority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any law, rule or regulation of any jurisdiction.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ind w:firstLine="1034"/>
        <w:spacing w:after="0" w:line="256" w:lineRule="auto"/>
        <w:rPr>
          <w:sz w:val="20"/>
          <w:szCs w:val="20"/>
          <w:color w:val="auto"/>
        </w:rPr>
      </w:pPr>
      <w:r>
        <w:rPr>
          <w:rFonts w:ascii="Times New Roman" w:cs="Times New Roman" w:eastAsia="Times New Roman" w:hAnsi="Times New Roman"/>
          <w:sz w:val="14"/>
          <w:szCs w:val="14"/>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ectPr>
          <w:pgSz w:w="11900" w:h="16838" w:orient="portrait"/>
          <w:cols w:equalWidth="0" w:num="1">
            <w:col w:w="11140"/>
          </w:cols>
          <w:pgMar w:left="300" w:top="211" w:right="459" w:bottom="1440" w:gutter="0" w:footer="0" w:header="0"/>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DJG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Skadden, Arps, Slate, Meagher &amp; Flom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568960</wp:posOffset>
            </wp:positionV>
            <wp:extent cx="716026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716" w:lineRule="exact"/>
        <w:rPr>
          <w:sz w:val="20"/>
          <w:szCs w:val="20"/>
          <w:color w:val="auto"/>
        </w:rPr>
      </w:pPr>
    </w:p>
    <w:p>
      <w:pPr>
        <w:sectPr>
          <w:pgSz w:w="11900" w:h="16838" w:orient="portrait"/>
          <w:cols w:equalWidth="0" w:num="2">
            <w:col w:w="4920" w:space="720"/>
            <w:col w:w="5500"/>
          </w:cols>
          <w:pgMar w:left="300" w:top="211" w:right="459"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ectPr>
          <w:pgSz w:w="11900" w:h="16838" w:orient="portrait"/>
          <w:cols w:equalWidth="0" w:num="1">
            <w:col w:w="11140"/>
          </w:cols>
          <w:pgMar w:left="300" w:top="211" w:right="459" w:bottom="1440" w:gutter="0" w:footer="0" w:header="0"/>
          <w:type w:val="continuous"/>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84" w:lineRule="exact"/>
        <w:rPr>
          <w:sz w:val="20"/>
          <w:szCs w:val="20"/>
          <w:color w:val="auto"/>
        </w:rPr>
      </w:pPr>
    </w:p>
    <w:p>
      <w:pPr>
        <w:jc w:val="both"/>
        <w:ind w:right="180"/>
        <w:spacing w:after="0" w:line="275"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Regeneron Pharmaceuticals, Inc. of our report dated February 5, 2024 relating to the financial statements and the effectiveness of internal control over financial reporting, which appears in Regeneron Pharmaceuticals, Inc.'s Annual Report on Form 10-K for the year ended December 31, 2023. We also consent to the reference to us under the heading “Experts” in such Registration Statement.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Florham Park, New Jersey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716026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44" w:name="page45"/>
    <w:bookmarkEnd w:id="44"/>
    <w:p>
      <w:pPr>
        <w:ind w:left="10400"/>
        <w:spacing w:after="0"/>
        <w:rPr>
          <w:sz w:val="20"/>
          <w:szCs w:val="20"/>
          <w:color w:val="auto"/>
        </w:rPr>
      </w:pPr>
      <w:r>
        <w:rPr>
          <w:rFonts w:ascii="Times New Roman" w:cs="Times New Roman" w:eastAsia="Times New Roman" w:hAnsi="Times New Roman"/>
          <w:sz w:val="17"/>
          <w:szCs w:val="17"/>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165100</wp:posOffset>
            </wp:positionV>
            <wp:extent cx="7160260"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60260"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192405</wp:posOffset>
            </wp:positionV>
            <wp:extent cx="716026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142875</wp:posOffset>
            </wp:positionV>
            <wp:extent cx="178498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1784985" cy="69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T-1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ELIGIBILITY UNDER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TRUST INDENTURE ACT OF 1939 OF 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 DESIGNATED TO ACT AS TRUSTEE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if an Application to Determine Eligibility of</w:t>
      </w:r>
    </w:p>
    <w:p>
      <w:pPr>
        <w:spacing w:after="0" w:line="8"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a Trustee Pursuant to Section 305(b)(2)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146685</wp:posOffset>
            </wp:positionV>
            <wp:extent cx="357632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3576320" cy="698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U.S. BANK TRUST COMPANY, NATIONAL ASSOCIATION</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7200" w:type="dxa"/>
            <w:vAlign w:val="bottom"/>
            <w:gridSpan w:val="2"/>
          </w:tcPr>
          <w:p>
            <w:pPr>
              <w:jc w:val="center"/>
              <w:ind w:right="4048"/>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tc>
      </w:tr>
      <w:tr>
        <w:trPr>
          <w:trHeight w:val="315"/>
        </w:trPr>
        <w:tc>
          <w:tcPr>
            <w:tcW w:w="4100" w:type="dxa"/>
            <w:vAlign w:val="bottom"/>
          </w:tcPr>
          <w:p>
            <w:pPr>
              <w:spacing w:after="0"/>
              <w:rPr>
                <w:sz w:val="24"/>
                <w:szCs w:val="24"/>
                <w:color w:val="auto"/>
              </w:rPr>
            </w:pPr>
          </w:p>
        </w:tc>
        <w:tc>
          <w:tcPr>
            <w:tcW w:w="7200" w:type="dxa"/>
            <w:vAlign w:val="bottom"/>
            <w:gridSpan w:val="2"/>
          </w:tcPr>
          <w:p>
            <w:pPr>
              <w:jc w:val="center"/>
              <w:ind w:right="4028"/>
              <w:spacing w:after="0"/>
              <w:rPr>
                <w:sz w:val="20"/>
                <w:szCs w:val="20"/>
                <w:color w:val="auto"/>
              </w:rPr>
            </w:pPr>
            <w:r>
              <w:rPr>
                <w:rFonts w:ascii="Times New Roman" w:cs="Times New Roman" w:eastAsia="Times New Roman" w:hAnsi="Times New Roman"/>
                <w:sz w:val="14"/>
                <w:szCs w:val="14"/>
                <w:b w:val="1"/>
                <w:bCs w:val="1"/>
                <w:color w:val="auto"/>
              </w:rPr>
              <w:t>91-1821036</w:t>
            </w:r>
          </w:p>
        </w:tc>
      </w:tr>
      <w:tr>
        <w:trPr>
          <w:trHeight w:val="186"/>
        </w:trPr>
        <w:tc>
          <w:tcPr>
            <w:tcW w:w="4100" w:type="dxa"/>
            <w:vAlign w:val="bottom"/>
          </w:tcPr>
          <w:p>
            <w:pPr>
              <w:spacing w:after="0"/>
              <w:rPr>
                <w:sz w:val="16"/>
                <w:szCs w:val="16"/>
                <w:color w:val="auto"/>
              </w:rPr>
            </w:pPr>
          </w:p>
        </w:tc>
        <w:tc>
          <w:tcPr>
            <w:tcW w:w="7200" w:type="dxa"/>
            <w:vAlign w:val="bottom"/>
            <w:gridSpan w:val="2"/>
          </w:tcPr>
          <w:p>
            <w:pPr>
              <w:jc w:val="center"/>
              <w:ind w:right="40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73"/>
        </w:trPr>
        <w:tc>
          <w:tcPr>
            <w:tcW w:w="4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5640" w:type="dxa"/>
            <w:vAlign w:val="bottom"/>
            <w:tcBorders>
              <w:bottom w:val="single" w:sz="8" w:color="auto"/>
            </w:tcBorders>
          </w:tcPr>
          <w:p>
            <w:pPr>
              <w:spacing w:after="0"/>
              <w:rPr>
                <w:sz w:val="15"/>
                <w:szCs w:val="15"/>
                <w:color w:val="auto"/>
              </w:rPr>
            </w:pPr>
          </w:p>
        </w:tc>
      </w:tr>
      <w:tr>
        <w:trPr>
          <w:trHeight w:val="148"/>
        </w:trPr>
        <w:tc>
          <w:tcPr>
            <w:tcW w:w="4100" w:type="dxa"/>
            <w:vAlign w:val="bottom"/>
            <w:tcBorders>
              <w:left w:val="single" w:sz="8" w:color="auto"/>
            </w:tcBorders>
          </w:tcPr>
          <w:p>
            <w:pPr>
              <w:jc w:val="center"/>
              <w:ind w:left="1488"/>
              <w:spacing w:after="0" w:line="149" w:lineRule="exact"/>
              <w:rPr>
                <w:sz w:val="20"/>
                <w:szCs w:val="20"/>
                <w:color w:val="auto"/>
              </w:rPr>
            </w:pPr>
            <w:r>
              <w:rPr>
                <w:rFonts w:ascii="Times New Roman" w:cs="Times New Roman" w:eastAsia="Times New Roman" w:hAnsi="Times New Roman"/>
                <w:sz w:val="14"/>
                <w:szCs w:val="14"/>
                <w:color w:val="auto"/>
              </w:rPr>
              <w:t>800 Nicollet Mall</w:t>
            </w:r>
          </w:p>
        </w:tc>
        <w:tc>
          <w:tcPr>
            <w:tcW w:w="1560" w:type="dxa"/>
            <w:vAlign w:val="bottom"/>
            <w:tcBorders>
              <w:right w:val="single" w:sz="8" w:color="auto"/>
            </w:tcBorders>
          </w:tcPr>
          <w:p>
            <w:pPr>
              <w:spacing w:after="0"/>
              <w:rPr>
                <w:sz w:val="12"/>
                <w:szCs w:val="12"/>
                <w:color w:val="auto"/>
              </w:rPr>
            </w:pPr>
          </w:p>
        </w:tc>
        <w:tc>
          <w:tcPr>
            <w:tcW w:w="5640" w:type="dxa"/>
            <w:vAlign w:val="bottom"/>
            <w:tcBorders>
              <w:right w:val="single" w:sz="8" w:color="auto"/>
            </w:tcBorders>
          </w:tcPr>
          <w:p>
            <w:pPr>
              <w:spacing w:after="0"/>
              <w:rPr>
                <w:sz w:val="12"/>
                <w:szCs w:val="12"/>
                <w:color w:val="auto"/>
              </w:rPr>
            </w:pPr>
          </w:p>
        </w:tc>
      </w:tr>
      <w:tr>
        <w:trPr>
          <w:trHeight w:val="186"/>
        </w:trPr>
        <w:tc>
          <w:tcPr>
            <w:tcW w:w="4100" w:type="dxa"/>
            <w:vAlign w:val="bottom"/>
            <w:tcBorders>
              <w:left w:val="single" w:sz="8" w:color="auto"/>
              <w:bottom w:val="single" w:sz="8" w:color="auto"/>
            </w:tcBorders>
          </w:tcPr>
          <w:p>
            <w:pPr>
              <w:jc w:val="center"/>
              <w:ind w:left="1488"/>
              <w:spacing w:after="0"/>
              <w:rPr>
                <w:sz w:val="20"/>
                <w:szCs w:val="20"/>
                <w:color w:val="auto"/>
              </w:rPr>
            </w:pPr>
            <w:r>
              <w:rPr>
                <w:rFonts w:ascii="Times New Roman" w:cs="Times New Roman" w:eastAsia="Times New Roman" w:hAnsi="Times New Roman"/>
                <w:sz w:val="14"/>
                <w:szCs w:val="14"/>
                <w:color w:val="auto"/>
              </w:rPr>
              <w:t>Minneapolis, Minnesota</w:t>
            </w:r>
          </w:p>
        </w:tc>
        <w:tc>
          <w:tcPr>
            <w:tcW w:w="1560" w:type="dxa"/>
            <w:vAlign w:val="bottom"/>
            <w:tcBorders>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jc w:val="right"/>
              <w:ind w:right="2588"/>
              <w:spacing w:after="0"/>
              <w:rPr>
                <w:sz w:val="20"/>
                <w:szCs w:val="20"/>
                <w:color w:val="auto"/>
              </w:rPr>
            </w:pPr>
            <w:r>
              <w:rPr>
                <w:rFonts w:ascii="Times New Roman" w:cs="Times New Roman" w:eastAsia="Times New Roman" w:hAnsi="Times New Roman"/>
                <w:sz w:val="14"/>
                <w:szCs w:val="14"/>
                <w:color w:val="auto"/>
              </w:rPr>
              <w:t>55402</w:t>
            </w:r>
          </w:p>
        </w:tc>
      </w:tr>
      <w:tr>
        <w:trPr>
          <w:trHeight w:val="164"/>
        </w:trPr>
        <w:tc>
          <w:tcPr>
            <w:tcW w:w="4100" w:type="dxa"/>
            <w:vAlign w:val="bottom"/>
            <w:tcBorders>
              <w:left w:val="single" w:sz="8" w:color="auto"/>
              <w:bottom w:val="single" w:sz="8" w:color="auto"/>
            </w:tcBorders>
          </w:tcPr>
          <w:p>
            <w:pPr>
              <w:jc w:val="center"/>
              <w:ind w:left="14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560" w:type="dxa"/>
            <w:vAlign w:val="bottom"/>
            <w:tcBorders>
              <w:bottom w:val="single" w:sz="8" w:color="auto"/>
              <w:right w:val="single" w:sz="8" w:color="auto"/>
            </w:tcBorders>
          </w:tcPr>
          <w:p>
            <w:pPr>
              <w:spacing w:after="0"/>
              <w:rPr>
                <w:sz w:val="14"/>
                <w:szCs w:val="14"/>
                <w:color w:val="auto"/>
              </w:rPr>
            </w:pPr>
          </w:p>
        </w:tc>
        <w:tc>
          <w:tcPr>
            <w:tcW w:w="5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Kathy L. Mitchell</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 Bank Trust Company, National Association</w:t>
      </w:r>
    </w:p>
    <w:p>
      <w:pPr>
        <w:jc w:val="center"/>
        <w:spacing w:after="0" w:line="198" w:lineRule="auto"/>
        <w:rPr>
          <w:sz w:val="20"/>
          <w:szCs w:val="20"/>
          <w:color w:val="auto"/>
        </w:rPr>
      </w:pPr>
      <w:r>
        <w:rPr>
          <w:rFonts w:ascii="Times New Roman" w:cs="Times New Roman" w:eastAsia="Times New Roman" w:hAnsi="Times New Roman"/>
          <w:sz w:val="14"/>
          <w:szCs w:val="14"/>
          <w:color w:val="auto"/>
        </w:rPr>
        <w:t>185 Asylum Street, 27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w:t>
      </w:r>
    </w:p>
    <w:p>
      <w:pPr>
        <w:jc w:val="center"/>
        <w:spacing w:after="0"/>
        <w:rPr>
          <w:sz w:val="20"/>
          <w:szCs w:val="20"/>
          <w:color w:val="auto"/>
        </w:rPr>
      </w:pPr>
      <w:r>
        <w:rPr>
          <w:rFonts w:ascii="Times New Roman" w:cs="Times New Roman" w:eastAsia="Times New Roman" w:hAnsi="Times New Roman"/>
          <w:sz w:val="14"/>
          <w:szCs w:val="14"/>
          <w:color w:val="auto"/>
        </w:rPr>
        <w:t>Hartford, CT 06103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(860) 241-6832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and telephone number of agent for service)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Regeneron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(Issuer with respect to the Securities)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4580" w:type="dxa"/>
            <w:vAlign w:val="bottom"/>
            <w:tcBorders>
              <w:top w:val="single" w:sz="8" w:color="auto"/>
              <w:left w:val="single" w:sz="8" w:color="auto"/>
              <w:bottom w:val="single" w:sz="8" w:color="auto"/>
            </w:tcBorders>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080" w:type="dxa"/>
            <w:vAlign w:val="bottom"/>
            <w:tcBorders>
              <w:top w:val="single" w:sz="8" w:color="auto"/>
              <w:bottom w:val="single" w:sz="8" w:color="auto"/>
              <w:right w:val="single" w:sz="8" w:color="auto"/>
            </w:tcBorders>
          </w:tcPr>
          <w:p>
            <w:pPr>
              <w:spacing w:after="0"/>
              <w:rPr>
                <w:sz w:val="15"/>
                <w:szCs w:val="15"/>
                <w:color w:val="auto"/>
              </w:rPr>
            </w:pPr>
          </w:p>
        </w:tc>
        <w:tc>
          <w:tcPr>
            <w:tcW w:w="5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13-3444607</w:t>
            </w:r>
          </w:p>
        </w:tc>
      </w:tr>
      <w:tr>
        <w:trPr>
          <w:trHeight w:val="163"/>
        </w:trPr>
        <w:tc>
          <w:tcPr>
            <w:tcW w:w="4580" w:type="dxa"/>
            <w:vAlign w:val="bottom"/>
            <w:tcBorders>
              <w:left w:val="single" w:sz="8" w:color="auto"/>
              <w:bottom w:val="single" w:sz="8" w:color="auto"/>
            </w:tcBorders>
          </w:tcPr>
          <w:p>
            <w:pPr>
              <w:jc w:val="center"/>
              <w:ind w:left="100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080" w:type="dxa"/>
            <w:vAlign w:val="bottom"/>
            <w:tcBorders>
              <w:bottom w:val="single" w:sz="8" w:color="auto"/>
              <w:right w:val="single" w:sz="8" w:color="auto"/>
            </w:tcBorders>
          </w:tcPr>
          <w:p>
            <w:pPr>
              <w:spacing w:after="0"/>
              <w:rPr>
                <w:sz w:val="14"/>
                <w:szCs w:val="14"/>
                <w:color w:val="auto"/>
              </w:rPr>
            </w:pPr>
          </w:p>
        </w:tc>
        <w:tc>
          <w:tcPr>
            <w:tcW w:w="5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63"/>
        </w:trPr>
        <w:tc>
          <w:tcPr>
            <w:tcW w:w="458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5640" w:type="dxa"/>
            <w:vAlign w:val="bottom"/>
            <w:tcBorders>
              <w:bottom w:val="single" w:sz="8" w:color="auto"/>
              <w:right w:val="single" w:sz="8" w:color="auto"/>
            </w:tcBorders>
          </w:tcPr>
          <w:p>
            <w:pPr>
              <w:spacing w:after="0"/>
              <w:rPr>
                <w:sz w:val="14"/>
                <w:szCs w:val="14"/>
                <w:color w:val="auto"/>
              </w:rPr>
            </w:pPr>
          </w:p>
        </w:tc>
      </w:tr>
      <w:tr>
        <w:trPr>
          <w:trHeight w:val="163"/>
        </w:trPr>
        <w:tc>
          <w:tcPr>
            <w:tcW w:w="4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640" w:type="dxa"/>
            <w:vAlign w:val="bottom"/>
            <w:tcBorders>
              <w:bottom w:val="single" w:sz="8" w:color="auto"/>
            </w:tcBorders>
          </w:tcPr>
          <w:p>
            <w:pPr>
              <w:spacing w:after="0"/>
              <w:rPr>
                <w:sz w:val="14"/>
                <w:szCs w:val="14"/>
                <w:color w:val="auto"/>
              </w:rPr>
            </w:pPr>
          </w:p>
        </w:tc>
      </w:tr>
      <w:tr>
        <w:trPr>
          <w:trHeight w:val="146"/>
        </w:trPr>
        <w:tc>
          <w:tcPr>
            <w:tcW w:w="4580" w:type="dxa"/>
            <w:vAlign w:val="bottom"/>
            <w:tcBorders>
              <w:left w:val="single" w:sz="8" w:color="auto"/>
            </w:tcBorders>
          </w:tcPr>
          <w:p>
            <w:pPr>
              <w:jc w:val="center"/>
              <w:ind w:left="968"/>
              <w:spacing w:after="0" w:line="147" w:lineRule="exact"/>
              <w:rPr>
                <w:sz w:val="20"/>
                <w:szCs w:val="20"/>
                <w:color w:val="auto"/>
              </w:rPr>
            </w:pPr>
            <w:r>
              <w:rPr>
                <w:rFonts w:ascii="Times New Roman" w:cs="Times New Roman" w:eastAsia="Times New Roman" w:hAnsi="Times New Roman"/>
                <w:sz w:val="14"/>
                <w:szCs w:val="14"/>
                <w:b w:val="1"/>
                <w:bCs w:val="1"/>
                <w:color w:val="auto"/>
              </w:rPr>
              <w:t>777 Old Saw Mill River Road</w:t>
            </w:r>
          </w:p>
        </w:tc>
        <w:tc>
          <w:tcPr>
            <w:tcW w:w="1080" w:type="dxa"/>
            <w:vAlign w:val="bottom"/>
            <w:tcBorders>
              <w:right w:val="single" w:sz="8" w:color="auto"/>
            </w:tcBorders>
          </w:tcPr>
          <w:p>
            <w:pPr>
              <w:spacing w:after="0"/>
              <w:rPr>
                <w:sz w:val="12"/>
                <w:szCs w:val="12"/>
                <w:color w:val="auto"/>
              </w:rPr>
            </w:pPr>
          </w:p>
        </w:tc>
        <w:tc>
          <w:tcPr>
            <w:tcW w:w="5640" w:type="dxa"/>
            <w:vAlign w:val="bottom"/>
            <w:tcBorders>
              <w:right w:val="single" w:sz="8" w:color="auto"/>
            </w:tcBorders>
          </w:tcPr>
          <w:p>
            <w:pPr>
              <w:spacing w:after="0"/>
              <w:rPr>
                <w:sz w:val="12"/>
                <w:szCs w:val="12"/>
                <w:color w:val="auto"/>
              </w:rPr>
            </w:pPr>
          </w:p>
        </w:tc>
      </w:tr>
      <w:tr>
        <w:trPr>
          <w:trHeight w:val="188"/>
        </w:trPr>
        <w:tc>
          <w:tcPr>
            <w:tcW w:w="4580" w:type="dxa"/>
            <w:vAlign w:val="bottom"/>
            <w:tcBorders>
              <w:left w:val="single" w:sz="8" w:color="auto"/>
              <w:bottom w:val="single" w:sz="8" w:color="auto"/>
            </w:tcBorders>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Tarrytown, New York</w:t>
            </w:r>
          </w:p>
        </w:tc>
        <w:tc>
          <w:tcPr>
            <w:tcW w:w="1080" w:type="dxa"/>
            <w:vAlign w:val="bottom"/>
            <w:tcBorders>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10591-6707</w:t>
            </w:r>
          </w:p>
        </w:tc>
      </w:tr>
      <w:tr>
        <w:trPr>
          <w:trHeight w:val="164"/>
        </w:trPr>
        <w:tc>
          <w:tcPr>
            <w:tcW w:w="4580" w:type="dxa"/>
            <w:vAlign w:val="bottom"/>
            <w:tcBorders>
              <w:left w:val="single" w:sz="8" w:color="auto"/>
              <w:bottom w:val="single" w:sz="8" w:color="auto"/>
            </w:tcBorders>
          </w:tcPr>
          <w:p>
            <w:pPr>
              <w:jc w:val="center"/>
              <w:ind w:left="10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080" w:type="dxa"/>
            <w:vAlign w:val="bottom"/>
            <w:tcBorders>
              <w:bottom w:val="single" w:sz="8" w:color="auto"/>
              <w:right w:val="single" w:sz="8" w:color="auto"/>
            </w:tcBorders>
          </w:tcPr>
          <w:p>
            <w:pPr>
              <w:spacing w:after="0"/>
              <w:rPr>
                <w:sz w:val="14"/>
                <w:szCs w:val="14"/>
                <w:color w:val="auto"/>
              </w:rPr>
            </w:pPr>
          </w:p>
        </w:tc>
        <w:tc>
          <w:tcPr>
            <w:tcW w:w="5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383"/>
        </w:trPr>
        <w:tc>
          <w:tcPr>
            <w:tcW w:w="4580" w:type="dxa"/>
            <w:vAlign w:val="bottom"/>
          </w:tcPr>
          <w:p>
            <w:pPr>
              <w:spacing w:after="0"/>
              <w:rPr>
                <w:sz w:val="24"/>
                <w:szCs w:val="24"/>
                <w:color w:val="auto"/>
              </w:rPr>
            </w:pPr>
          </w:p>
        </w:tc>
        <w:tc>
          <w:tcPr>
            <w:tcW w:w="6720" w:type="dxa"/>
            <w:vAlign w:val="bottom"/>
            <w:gridSpan w:val="2"/>
          </w:tcPr>
          <w:p>
            <w:pPr>
              <w:jc w:val="center"/>
              <w:ind w:right="4508"/>
              <w:spacing w:after="0"/>
              <w:rPr>
                <w:sz w:val="20"/>
                <w:szCs w:val="20"/>
                <w:color w:val="auto"/>
              </w:rPr>
            </w:pPr>
            <w:r>
              <w:rPr>
                <w:rFonts w:ascii="Times New Roman" w:cs="Times New Roman" w:eastAsia="Times New Roman" w:hAnsi="Times New Roman"/>
                <w:sz w:val="20"/>
                <w:szCs w:val="20"/>
                <w:b w:val="1"/>
                <w:bCs w:val="1"/>
                <w:color w:val="auto"/>
              </w:rPr>
              <w:t>Debt Securities</w:t>
            </w:r>
          </w:p>
        </w:tc>
      </w:tr>
      <w:tr>
        <w:trPr>
          <w:trHeight w:val="188"/>
        </w:trPr>
        <w:tc>
          <w:tcPr>
            <w:tcW w:w="4580" w:type="dxa"/>
            <w:vAlign w:val="bottom"/>
          </w:tcPr>
          <w:p>
            <w:pPr>
              <w:spacing w:after="0"/>
              <w:rPr>
                <w:sz w:val="16"/>
                <w:szCs w:val="16"/>
                <w:color w:val="auto"/>
              </w:rPr>
            </w:pPr>
          </w:p>
        </w:tc>
        <w:tc>
          <w:tcPr>
            <w:tcW w:w="6720" w:type="dxa"/>
            <w:vAlign w:val="bottom"/>
            <w:gridSpan w:val="2"/>
          </w:tcPr>
          <w:p>
            <w:pPr>
              <w:jc w:val="center"/>
              <w:ind w:right="4528"/>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r>
      <w:tr>
        <w:trPr>
          <w:trHeight w:val="216"/>
        </w:trPr>
        <w:tc>
          <w:tcPr>
            <w:tcW w:w="4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r>
      <w:tr>
        <w:trPr>
          <w:trHeight w:val="575"/>
        </w:trPr>
        <w:tc>
          <w:tcPr>
            <w:tcW w:w="4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09" w:right="319" w:bottom="1440" w:gutter="0" w:footer="0" w:header="0"/>
        </w:sectPr>
      </w:pPr>
    </w:p>
    <w:bookmarkStart w:id="45" w:name="page46"/>
    <w:bookmarkEnd w:id="45"/>
    <w:p>
      <w:pPr>
        <w:ind w:left="5300"/>
        <w:spacing w:after="0"/>
        <w:rPr>
          <w:sz w:val="20"/>
          <w:szCs w:val="20"/>
          <w:color w:val="auto"/>
        </w:rPr>
      </w:pPr>
      <w:r>
        <w:rPr>
          <w:rFonts w:ascii="Times New Roman" w:cs="Times New Roman" w:eastAsia="Times New Roman" w:hAnsi="Times New Roman"/>
          <w:sz w:val="14"/>
          <w:szCs w:val="14"/>
          <w:b w:val="1"/>
          <w:bCs w:val="1"/>
          <w:u w:val="single" w:color="auto"/>
          <w:color w:val="auto"/>
        </w:rPr>
        <w:t>FORM T-1</w:t>
      </w:r>
    </w:p>
    <w:p>
      <w:pPr>
        <w:spacing w:after="0" w:line="18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 xml:space="preserve">GENERAL INFORMATION. </w:t>
      </w:r>
      <w:r>
        <w:rPr>
          <w:rFonts w:ascii="Times New Roman" w:cs="Times New Roman" w:eastAsia="Times New Roman" w:hAnsi="Times New Roman"/>
          <w:sz w:val="14"/>
          <w:szCs w:val="14"/>
          <w:color w:val="auto"/>
        </w:rPr>
        <w:t>Furnish the following information as to the Trustee.</w:t>
      </w:r>
    </w:p>
    <w:p>
      <w:pPr>
        <w:spacing w:after="0" w:line="184" w:lineRule="exact"/>
        <w:rPr>
          <w:sz w:val="20"/>
          <w:szCs w:val="20"/>
          <w:color w:val="auto"/>
        </w:rPr>
      </w:pPr>
    </w:p>
    <w:p>
      <w:pPr>
        <w:ind w:left="1300" w:right="4680" w:hanging="518"/>
        <w:spacing w:after="0" w:line="268" w:lineRule="auto"/>
        <w:tabs>
          <w:tab w:leader="none" w:pos="104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Name and address of each examining or supervising authority to which it is subject. </w:t>
      </w:r>
      <w:r>
        <w:rPr>
          <w:rFonts w:ascii="Times New Roman" w:cs="Times New Roman" w:eastAsia="Times New Roman" w:hAnsi="Times New Roman"/>
          <w:sz w:val="14"/>
          <w:szCs w:val="14"/>
          <w:color w:val="auto"/>
        </w:rPr>
        <w:t>Comptroller of the Currency</w:t>
      </w: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Washington, D.C.</w:t>
      </w:r>
    </w:p>
    <w:p>
      <w:pPr>
        <w:spacing w:after="0" w:line="168"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Whether it is authorized to exercise corporate trust powers.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Yes</w:t>
      </w:r>
    </w:p>
    <w:p>
      <w:pPr>
        <w:spacing w:after="0" w:line="16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 xml:space="preserve">AFFILIATIONS WITH THE OBLIGOR. </w:t>
      </w:r>
      <w:r>
        <w:rPr>
          <w:rFonts w:ascii="Times New Roman" w:cs="Times New Roman" w:eastAsia="Times New Roman" w:hAnsi="Times New Roman"/>
          <w:sz w:val="14"/>
          <w:szCs w:val="14"/>
          <w:i w:val="1"/>
          <w:iCs w:val="1"/>
          <w:color w:val="auto"/>
        </w:rPr>
        <w:t>If the obligor is an affiliate of the Trustee, describe each such affiliation.</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None</w:t>
      </w:r>
    </w:p>
    <w:p>
      <w:pPr>
        <w:spacing w:after="0" w:line="16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Items 3-15</w:t>
      </w:r>
      <w:r>
        <w:rPr>
          <w:sz w:val="20"/>
          <w:szCs w:val="20"/>
          <w:color w:val="auto"/>
        </w:rPr>
        <w:tab/>
      </w:r>
      <w:r>
        <w:rPr>
          <w:rFonts w:ascii="Times New Roman" w:cs="Times New Roman" w:eastAsia="Times New Roman" w:hAnsi="Times New Roman"/>
          <w:sz w:val="14"/>
          <w:szCs w:val="14"/>
          <w:i w:val="1"/>
          <w:iCs w:val="1"/>
          <w:color w:val="auto"/>
        </w:rPr>
        <w:t>Items 3-15 are not applicable because to the best of the Trustee's knowledge, the obligor is not in default under any Indenture for which the Trustee acts as Trustee.</w:t>
      </w:r>
    </w:p>
    <w:p>
      <w:pPr>
        <w:spacing w:after="0" w:line="18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 xml:space="preserve">LIST OF EXHIBITS: </w:t>
      </w:r>
      <w:r>
        <w:rPr>
          <w:rFonts w:ascii="Times New Roman" w:cs="Times New Roman" w:eastAsia="Times New Roman" w:hAnsi="Times New Roman"/>
          <w:sz w:val="14"/>
          <w:szCs w:val="14"/>
          <w:i w:val="1"/>
          <w:iCs w:val="1"/>
          <w:color w:val="auto"/>
        </w:rPr>
        <w:t>List below all exhibits filed as a part of this statement of eligibility and qualification.</w:t>
      </w:r>
    </w:p>
    <w:p>
      <w:pPr>
        <w:spacing w:after="0" w:line="186" w:lineRule="exact"/>
        <w:rPr>
          <w:sz w:val="20"/>
          <w:szCs w:val="20"/>
          <w:color w:val="auto"/>
        </w:rPr>
      </w:pPr>
    </w:p>
    <w:p>
      <w:pPr>
        <w:ind w:left="1040" w:hanging="258"/>
        <w:spacing w:after="0"/>
        <w:tabs>
          <w:tab w:leader="none" w:pos="10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Trustee, attached as Exhibit 1.</w:t>
      </w:r>
    </w:p>
    <w:p>
      <w:pPr>
        <w:spacing w:after="0" w:line="183"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certificate of authority of the Trustee to commence business, attached as Exhibit 2.</w:t>
      </w:r>
    </w:p>
    <w:p>
      <w:pPr>
        <w:spacing w:after="0" w:line="183"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included as Exhibit 2.</w:t>
      </w:r>
    </w:p>
    <w:p>
      <w:pPr>
        <w:spacing w:after="0" w:line="183"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attached as Exhibit 4.</w:t>
      </w:r>
    </w:p>
    <w:p>
      <w:pPr>
        <w:spacing w:after="0" w:line="183"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Indenture referred to in Item 4. Not applicable.</w:t>
      </w:r>
    </w:p>
    <w:p>
      <w:pPr>
        <w:spacing w:after="0" w:line="183"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Trust Indenture Act of 1939, attached as Exhibit 6.</w:t>
      </w:r>
    </w:p>
    <w:p>
      <w:pPr>
        <w:spacing w:after="0" w:line="183"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of Condition of the Trustee as of June 30, 2024,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716026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540"/>
          </w:cols>
          <w:pgMar w:left="300" w:top="747" w:right="10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6" w:lineRule="exact"/>
        <w:rPr>
          <w:sz w:val="20"/>
          <w:szCs w:val="20"/>
          <w:color w:val="auto"/>
        </w:rPr>
      </w:pPr>
    </w:p>
    <w:p>
      <w:pPr>
        <w:jc w:val="both"/>
        <w:ind w:firstLine="517"/>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Hartford, State of Connecticut on the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4"/>
          <w:szCs w:val="14"/>
          <w:color w:val="auto"/>
        </w:rPr>
        <w:t xml:space="preserve"> day of October,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ind w:left="5640"/>
              <w:spacing w:after="0"/>
              <w:rPr>
                <w:sz w:val="20"/>
                <w:szCs w:val="20"/>
                <w:color w:val="auto"/>
              </w:rPr>
            </w:pPr>
            <w:r>
              <w:rPr>
                <w:rFonts w:ascii="Times New Roman" w:cs="Times New Roman" w:eastAsia="Times New Roman" w:hAnsi="Times New Roman"/>
                <w:sz w:val="14"/>
                <w:szCs w:val="14"/>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Kathy L. Mitchell</w:t>
            </w:r>
          </w:p>
        </w:tc>
      </w:tr>
      <w:tr>
        <w:trPr>
          <w:trHeight w:val="149"/>
        </w:trPr>
        <w:tc>
          <w:tcPr>
            <w:tcW w:w="610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Kathy L. Mitchell</w:t>
            </w:r>
          </w:p>
        </w:tc>
      </w:tr>
      <w:tr>
        <w:trPr>
          <w:trHeight w:val="186"/>
        </w:trPr>
        <w:tc>
          <w:tcPr>
            <w:tcW w:w="610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r>
        <w:trPr>
          <w:trHeight w:val="540"/>
        </w:trPr>
        <w:tc>
          <w:tcPr>
            <w:tcW w:w="61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47"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 S. BANK TRUST COMPANY, NATIONAL ASSOCIATION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 of organizing an association (the “Association”) to perform any lawful activities of national banks, the undersigned enter into the following Articles of Association: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color w:val="auto"/>
        </w:rPr>
        <w:t>The title of this Association shall be U. S. Bank Trust Company, National Association.</w:t>
      </w:r>
    </w:p>
    <w:p>
      <w:pPr>
        <w:spacing w:after="0" w:line="1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SECOND. </w:t>
      </w:r>
      <w:r>
        <w:rPr>
          <w:rFonts w:ascii="Times New Roman" w:cs="Times New Roman" w:eastAsia="Times New Roman" w:hAnsi="Times New Roman"/>
          <w:sz w:val="14"/>
          <w:szCs w:val="14"/>
          <w:color w:val="auto"/>
        </w:rPr>
        <w:t>The main office of the Association shall be in the city of Portland, county of Multnomah, state of Oregon. The business of the Association will be limited to fiduciary powers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support of activities incidental to the exercise of those powers. The Association may not expand or alter its business beyond that stated in this article without the prior approval of the Comptroller of the Currency.</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THIRD. </w:t>
      </w:r>
      <w:r>
        <w:rPr>
          <w:rFonts w:ascii="Times New Roman" w:cs="Times New Roman" w:eastAsia="Times New Roman" w:hAnsi="Times New Roman"/>
          <w:sz w:val="14"/>
          <w:szCs w:val="14"/>
          <w:color w:val="auto"/>
        </w:rPr>
        <w:t>The board of directors of the Association shall consist of not less than five nor more than twenty-five persons, the exact number to be fixed and determined from time to time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FOURTH. </w:t>
      </w:r>
      <w:r>
        <w:rPr>
          <w:rFonts w:ascii="Times New Roman" w:cs="Times New Roman" w:eastAsia="Times New Roman" w:hAnsi="Times New Roman"/>
          <w:sz w:val="14"/>
          <w:szCs w:val="14"/>
          <w:color w:val="auto"/>
        </w:rPr>
        <w:t>There shall be an annual meeting of the shareholders to elect directors and transact whatever other business may be brought before the meeting. It shall be held at the main office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48" w:name="page49"/>
    <w:bookmarkEnd w:id="48"/>
    <w:p>
      <w:pPr>
        <w:jc w:val="both"/>
        <w:spacing w:after="0" w:line="275" w:lineRule="auto"/>
        <w:rPr>
          <w:sz w:val="20"/>
          <w:szCs w:val="20"/>
          <w:color w:val="auto"/>
        </w:rPr>
      </w:pPr>
      <w:r>
        <w:rPr>
          <w:rFonts w:ascii="Times New Roman" w:cs="Times New Roman" w:eastAsia="Times New Roman" w:hAnsi="Times New Roman"/>
          <w:sz w:val="14"/>
          <w:szCs w:val="14"/>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3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4"/>
          <w:szCs w:val="14"/>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3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b w:val="1"/>
          <w:bCs w:val="1"/>
          <w:color w:val="auto"/>
        </w:rPr>
        <w:t xml:space="preserve">FIFTH. </w:t>
      </w:r>
      <w:r>
        <w:rPr>
          <w:rFonts w:ascii="Times New Roman" w:cs="Times New Roman" w:eastAsia="Times New Roman" w:hAnsi="Times New Roman"/>
          <w:sz w:val="14"/>
          <w:szCs w:val="14"/>
          <w:color w:val="auto"/>
        </w:rPr>
        <w:t>The authorized amount of capital stock of the Association shall be 1,000,000 shares of common stock of the par value of ten dollars ($10) each; but said capital stock may be increased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decreased from time to time, according to the provisions of the laws of the United States. The Association shall have only one class of capital stock.</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3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4"/>
          <w:szCs w:val="14"/>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2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all shares of voting stock shall be voted together as a class, on any matters requiring shareholder approval.</w:t>
      </w:r>
    </w:p>
    <w:p>
      <w:pPr>
        <w:spacing w:after="0" w:line="18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4"/>
          <w:szCs w:val="14"/>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SIXTH. </w:t>
      </w:r>
      <w:r>
        <w:rPr>
          <w:rFonts w:ascii="Times New Roman" w:cs="Times New Roman" w:eastAsia="Times New Roman" w:hAnsi="Times New Roman"/>
          <w:sz w:val="14"/>
          <w:szCs w:val="14"/>
          <w:color w:val="auto"/>
        </w:rPr>
        <w:t>The board of directors shall appoint one of its members president of this Association and one of its members chairperson of the board and shall have the power to appoint one or more 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shall have the power to:</w:t>
      </w:r>
    </w:p>
    <w:p>
      <w:pPr>
        <w:spacing w:after="0" w:line="184" w:lineRule="exact"/>
        <w:rPr>
          <w:sz w:val="20"/>
          <w:szCs w:val="20"/>
          <w:color w:val="auto"/>
        </w:rPr>
      </w:pPr>
    </w:p>
    <w:p>
      <w:pPr>
        <w:ind w:left="520" w:hanging="514"/>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 the duties of the officers, employees, and agents of the Association.</w:t>
      </w:r>
    </w:p>
    <w:p>
      <w:pPr>
        <w:spacing w:after="0" w:line="183"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Delegate the performance of its duties, but not the responsibility for its duties, to the officers, employees, and agents of the Association.</w:t>
      </w:r>
    </w:p>
    <w:p>
      <w:pPr>
        <w:spacing w:after="0" w:line="183"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 the compensation and enter employment contracts with its officers and employees upon reasonable terms and conditions consistent with applicable law.</w:t>
      </w:r>
    </w:p>
    <w:p>
      <w:pPr>
        <w:spacing w:after="0" w:line="183"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Dismiss officers and employees.</w:t>
      </w:r>
    </w:p>
    <w:p>
      <w:pPr>
        <w:spacing w:after="0" w:line="183"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bonds from officers and employees and to fix the penalty thereof.</w:t>
      </w:r>
    </w:p>
    <w:p>
      <w:pPr>
        <w:spacing w:after="0" w:line="183"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written policies authorized by the Association's management or committees of the board.</w:t>
      </w:r>
    </w:p>
    <w:p>
      <w:pPr>
        <w:spacing w:after="0" w:line="183" w:lineRule="exact"/>
        <w:rPr>
          <w:rFonts w:ascii="Times New Roman" w:cs="Times New Roman" w:eastAsia="Times New Roman" w:hAnsi="Times New Roman"/>
          <w:sz w:val="14"/>
          <w:szCs w:val="14"/>
          <w:color w:val="auto"/>
        </w:rPr>
      </w:pPr>
    </w:p>
    <w:p>
      <w:pPr>
        <w:ind w:left="520" w:hanging="514"/>
        <w:spacing w:after="0" w:line="294"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50" w:name="page51"/>
    <w:bookmarkEnd w:id="50"/>
    <w:p>
      <w:pPr>
        <w:ind w:left="520" w:hanging="514"/>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and administer the business and affairs of the Association.</w:t>
      </w:r>
    </w:p>
    <w:p>
      <w:pPr>
        <w:spacing w:after="0" w:line="183"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initial Bylaws, not inconsistent with law or the Articles of Association, for managing the business and regulating the affairs of the Association.</w:t>
      </w:r>
    </w:p>
    <w:p>
      <w:pPr>
        <w:spacing w:after="0" w:line="183"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repeal Bylaws, except to the extent that the Articles of Association reserve this power in whole or in part to the shareholders.</w:t>
      </w:r>
    </w:p>
    <w:p>
      <w:pPr>
        <w:spacing w:after="0" w:line="183"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contracts.</w:t>
      </w:r>
    </w:p>
    <w:p>
      <w:pPr>
        <w:spacing w:after="0" w:line="183"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perform all acts that are legal for a board of directors to perform.</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SEVENTH. </w:t>
      </w:r>
      <w:r>
        <w:rPr>
          <w:rFonts w:ascii="Times New Roman" w:cs="Times New Roman" w:eastAsia="Times New Roman" w:hAnsi="Times New Roman"/>
          <w:sz w:val="14"/>
          <w:szCs w:val="14"/>
          <w:color w:val="auto"/>
        </w:rPr>
        <w:t>The board of directors shall have the power to change the location of the main office to any authorized branch within the limits of the city of Portland, Oregon, without the approval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EIGHTH. </w:t>
      </w:r>
      <w:r>
        <w:rPr>
          <w:rFonts w:ascii="Times New Roman" w:cs="Times New Roman" w:eastAsia="Times New Roman" w:hAnsi="Times New Roman"/>
          <w:sz w:val="14"/>
          <w:szCs w:val="14"/>
          <w:color w:val="auto"/>
        </w:rPr>
        <w:t>The corporate existence of this Association shall continue until termination according to the laws of the United States.</w:t>
      </w:r>
    </w:p>
    <w:p>
      <w:pPr>
        <w:spacing w:after="0" w:line="1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NINTH. </w:t>
      </w:r>
      <w:r>
        <w:rPr>
          <w:rFonts w:ascii="Times New Roman" w:cs="Times New Roman" w:eastAsia="Times New Roman" w:hAnsi="Times New Roman"/>
          <w:sz w:val="14"/>
          <w:szCs w:val="14"/>
          <w:color w:val="auto"/>
        </w:rPr>
        <w:t>The board of directors of the Association, or any shareholder owning, in the aggregate, not less than 25 percent of the stock of the Association, may call a special meeting of shareholders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TENTH. </w:t>
      </w:r>
      <w:r>
        <w:rPr>
          <w:rFonts w:ascii="Times New Roman" w:cs="Times New Roman" w:eastAsia="Times New Roman" w:hAnsi="Times New Roman"/>
          <w:sz w:val="14"/>
          <w:szCs w:val="14"/>
          <w:color w:val="auto"/>
        </w:rPr>
        <w:t>These Articles of Association may be amended at any regular or special meeting of the shareholders by the affirmative vote of the holders of a majority of the stock of the Association,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auto"/>
        </w:rPr>
        <w:t>In witness whereof, we have hereunto set our hands this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2704465</wp:posOffset>
            </wp:positionV>
            <wp:extent cx="716026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78105</wp:posOffset>
            </wp:positionV>
            <wp:extent cx="1894205" cy="22567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1894205" cy="2256790"/>
                    </a:xfrm>
                    <a:prstGeom prst="rect">
                      <a:avLst/>
                    </a:prstGeom>
                    <a:noFill/>
                  </pic:spPr>
                </pic:pic>
              </a:graphicData>
            </a:graphic>
          </wp:anchor>
        </w:drawing>
      </w:r>
    </w:p>
    <w:p>
      <w:pPr>
        <w:sectPr>
          <w:pgSz w:w="11900" w:h="16838" w:orient="portrait"/>
          <w:cols w:equalWidth="0" w:num="1">
            <w:col w:w="9639"/>
          </w:cols>
          <w:pgMar w:left="820" w:top="753"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127000</wp:posOffset>
            </wp:positionV>
            <wp:extent cx="7160260" cy="56692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60260" cy="5669280"/>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4</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BYLAWS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Meetings of Shareholders</w:t>
      </w:r>
    </w:p>
    <w:p>
      <w:pPr>
        <w:spacing w:after="0" w:line="170"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Annual Meeting</w:t>
      </w:r>
      <w:r>
        <w:rPr>
          <w:rFonts w:ascii="Times New Roman" w:cs="Times New Roman" w:eastAsia="Times New Roman" w:hAnsi="Times New Roman"/>
          <w:sz w:val="14"/>
          <w:szCs w:val="14"/>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4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 Every such special meeting, unless otherwise provided by law, shall be called upon not less than ten (10) days nor more than sixty (60) days prior notice stating the purpose of the meeting.</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Nominations for Directors</w:t>
      </w:r>
      <w:r>
        <w:rPr>
          <w:rFonts w:ascii="Times New Roman" w:cs="Times New Roman" w:eastAsia="Times New Roman" w:hAnsi="Times New Roman"/>
          <w:sz w:val="14"/>
          <w:szCs w:val="14"/>
          <w:color w:val="auto"/>
        </w:rPr>
        <w:t>. Nominations for election to the Board may be made by the Board or by any shareholder.</w:t>
      </w:r>
    </w:p>
    <w:p>
      <w:pPr>
        <w:spacing w:after="0" w:line="18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Proxies</w:t>
      </w:r>
      <w:r>
        <w:rPr>
          <w:rFonts w:ascii="Times New Roman" w:cs="Times New Roman" w:eastAsia="Times New Roman" w:hAnsi="Times New Roman"/>
          <w:sz w:val="14"/>
          <w:szCs w:val="14"/>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23"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The record date for determining shareholders entitled to notice and to vote at any meeting will be thirty days before the date of such meeting, unless otherwise determined by the Board.</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u w:val="single" w:color="auto"/>
          <w:color w:val="auto"/>
        </w:rPr>
        <w:t>Quorum and Voting</w:t>
      </w:r>
      <w:r>
        <w:rPr>
          <w:rFonts w:ascii="Times New Roman" w:cs="Times New Roman" w:eastAsia="Times New Roman" w:hAnsi="Times New Roman"/>
          <w:sz w:val="14"/>
          <w:szCs w:val="14"/>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16026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54" w:name="page55"/>
    <w:bookmarkEnd w:id="54"/>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Waiver and Consent</w:t>
      </w:r>
      <w:r>
        <w:rPr>
          <w:rFonts w:ascii="Times New Roman" w:cs="Times New Roman" w:eastAsia="Times New Roman" w:hAnsi="Times New Roman"/>
          <w:sz w:val="14"/>
          <w:szCs w:val="14"/>
          <w:color w:val="auto"/>
        </w:rPr>
        <w:t>. The shareholders may act without notice or a meeting by a unanimous written consent by all shareholders.</w:t>
      </w:r>
    </w:p>
    <w:p>
      <w:pPr>
        <w:spacing w:after="0" w:line="18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Directors</w:t>
      </w:r>
    </w:p>
    <w:p>
      <w:pPr>
        <w:spacing w:after="0" w:line="170"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The directors of this Association shall hold office for one year and until their successors are duly elected and qualified, or until their earlier resignation 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removal.</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Powers</w:t>
      </w:r>
      <w:r>
        <w:rPr>
          <w:rFonts w:ascii="Times New Roman" w:cs="Times New Roman" w:eastAsia="Times New Roman" w:hAnsi="Times New Roman"/>
          <w:sz w:val="14"/>
          <w:szCs w:val="14"/>
          <w:color w:val="auto"/>
        </w:rPr>
        <w:t>. In addition to the foregoing, the Board shall have and may exercise all of the powers granted to or conferred upon it by the Articles of Association, the Bylaws and by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law.</w:t>
      </w:r>
    </w:p>
    <w:p>
      <w:pPr>
        <w:spacing w:after="0" w:line="170"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Number</w:t>
      </w:r>
      <w:r>
        <w:rPr>
          <w:rFonts w:ascii="Times New Roman" w:cs="Times New Roman" w:eastAsia="Times New Roman" w:hAnsi="Times New Roman"/>
          <w:sz w:val="14"/>
          <w:szCs w:val="14"/>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332740</wp:posOffset>
            </wp:positionV>
            <wp:extent cx="716026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55" w:name="page56"/>
    <w:bookmarkEnd w:id="55"/>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Organization Meeting</w:t>
      </w:r>
      <w:r>
        <w:rPr>
          <w:rFonts w:ascii="Times New Roman" w:cs="Times New Roman" w:eastAsia="Times New Roman" w:hAnsi="Times New Roman"/>
          <w:sz w:val="14"/>
          <w:szCs w:val="14"/>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Regular Meetings</w:t>
      </w:r>
      <w:r>
        <w:rPr>
          <w:rFonts w:ascii="Times New Roman" w:cs="Times New Roman" w:eastAsia="Times New Roman" w:hAnsi="Times New Roman"/>
          <w:sz w:val="14"/>
          <w:szCs w:val="14"/>
          <w:color w:val="auto"/>
        </w:rPr>
        <w:t>. The regular meetings of the Board shall be held, without notice, as the Chairman or President may designate and deem suitable.</w:t>
      </w:r>
    </w:p>
    <w:p>
      <w:pPr>
        <w:spacing w:after="0" w:line="184"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40"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Quorum and Necessary Vote</w:t>
      </w:r>
      <w:r>
        <w:rPr>
          <w:rFonts w:ascii="Times New Roman" w:cs="Times New Roman" w:eastAsia="Times New Roman" w:hAnsi="Times New Roman"/>
          <w:sz w:val="14"/>
          <w:szCs w:val="14"/>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16026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56" w:name="page57"/>
    <w:bookmarkEnd w:id="56"/>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 xml:space="preserve">Section 2.9. </w:t>
      </w:r>
      <w:r>
        <w:rPr>
          <w:rFonts w:ascii="Times New Roman" w:cs="Times New Roman" w:eastAsia="Times New Roman" w:hAnsi="Times New Roman"/>
          <w:sz w:val="14"/>
          <w:szCs w:val="14"/>
          <w:u w:val="single" w:color="auto"/>
          <w:color w:val="auto"/>
        </w:rPr>
        <w:t>Written Consent</w:t>
      </w:r>
      <w:r>
        <w:rPr>
          <w:rFonts w:ascii="Times New Roman" w:cs="Times New Roman" w:eastAsia="Times New Roman" w:hAnsi="Times New Roman"/>
          <w:sz w:val="14"/>
          <w:szCs w:val="14"/>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23"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23"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When any vacancy occurs among the directors, the remaining members of the Board may appoint a director to fill such vacancy at any regular meeting of the Board, or at a special meeting called for that purpose.</w:t>
      </w:r>
    </w:p>
    <w:p>
      <w:pPr>
        <w:spacing w:after="0" w:line="1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u w:val="single" w:color="auto"/>
          <w:color w:val="auto"/>
        </w:rPr>
        <w:t>ARTICLE III</w:t>
      </w:r>
    </w:p>
    <w:p>
      <w:pPr>
        <w:spacing w:after="0" w:line="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u w:val="single" w:color="auto"/>
          <w:color w:val="auto"/>
        </w:rPr>
        <w:t>Committees</w:t>
      </w:r>
    </w:p>
    <w:p>
      <w:pPr>
        <w:spacing w:after="0" w:line="170"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Advisory Board of Directors</w:t>
      </w:r>
      <w:r>
        <w:rPr>
          <w:rFonts w:ascii="Times New Roman" w:cs="Times New Roman" w:eastAsia="Times New Roman" w:hAnsi="Times New Roman"/>
          <w:sz w:val="14"/>
          <w:szCs w:val="14"/>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36"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Trust Audit Committee</w:t>
      </w:r>
      <w:r>
        <w:rPr>
          <w:rFonts w:ascii="Times New Roman" w:cs="Times New Roman" w:eastAsia="Times New Roman" w:hAnsi="Times New Roman"/>
          <w:sz w:val="14"/>
          <w:szCs w:val="14"/>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330835</wp:posOffset>
            </wp:positionV>
            <wp:extent cx="716026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auto"/>
        </w:rPr>
        <w:t>The Audit Committee of the financial holding company that is the ultimate parent of this Association, fulfilling the function of the trust audit committee:</w:t>
      </w:r>
    </w:p>
    <w:p>
      <w:pPr>
        <w:spacing w:after="0" w:line="184" w:lineRule="exact"/>
        <w:rPr>
          <w:sz w:val="20"/>
          <w:szCs w:val="20"/>
          <w:color w:val="auto"/>
        </w:rPr>
      </w:pPr>
    </w:p>
    <w:p>
      <w:pPr>
        <w:ind w:left="800" w:hanging="277"/>
        <w:spacing w:after="0"/>
        <w:tabs>
          <w:tab w:leader="none" w:pos="8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not include any officers of the Association or an affiliate who participate significantly in the administration of the Association’s fiduciary activities; and</w:t>
      </w:r>
    </w:p>
    <w:p>
      <w:pPr>
        <w:spacing w:after="0" w:line="183" w:lineRule="exact"/>
        <w:rPr>
          <w:rFonts w:ascii="Times New Roman" w:cs="Times New Roman" w:eastAsia="Times New Roman" w:hAnsi="Times New Roman"/>
          <w:sz w:val="14"/>
          <w:szCs w:val="14"/>
          <w:color w:val="auto"/>
        </w:rPr>
      </w:pPr>
    </w:p>
    <w:p>
      <w:pPr>
        <w:ind w:left="520" w:firstLine="3"/>
        <w:spacing w:after="0" w:line="294" w:lineRule="auto"/>
        <w:tabs>
          <w:tab w:leader="none" w:pos="82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consist of a majority of members who are not also members of any committee to which the Board has delegated power to manage and control the fiduciary activities of the Association.</w:t>
      </w:r>
    </w:p>
    <w:p>
      <w:pPr>
        <w:spacing w:after="0" w:line="123"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Executive Committee</w:t>
      </w:r>
      <w:r>
        <w:rPr>
          <w:rFonts w:ascii="Times New Roman" w:cs="Times New Roman" w:eastAsia="Times New Roman" w:hAnsi="Times New Roman"/>
          <w:sz w:val="14"/>
          <w:szCs w:val="14"/>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23"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Trust Management Committee</w:t>
      </w:r>
      <w:r>
        <w:rPr>
          <w:rFonts w:ascii="Times New Roman" w:cs="Times New Roman" w:eastAsia="Times New Roman" w:hAnsi="Times New Roman"/>
          <w:sz w:val="14"/>
          <w:szCs w:val="14"/>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40"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Other Committees</w:t>
      </w:r>
      <w:r>
        <w:rPr>
          <w:rFonts w:ascii="Times New Roman" w:cs="Times New Roman" w:eastAsia="Times New Roman" w:hAnsi="Times New Roman"/>
          <w:sz w:val="14"/>
          <w:szCs w:val="14"/>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31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Meetings, Minutes and Rules</w:t>
      </w:r>
      <w:r>
        <w:rPr>
          <w:rFonts w:ascii="Times New Roman" w:cs="Times New Roman" w:eastAsia="Times New Roman" w:hAnsi="Times New Roman"/>
          <w:sz w:val="14"/>
          <w:szCs w:val="14"/>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16026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Officers</w:t>
      </w:r>
    </w:p>
    <w:p>
      <w:pPr>
        <w:spacing w:after="0" w:line="170"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Chairman of the Board</w:t>
      </w:r>
      <w:r>
        <w:rPr>
          <w:rFonts w:ascii="Times New Roman" w:cs="Times New Roman" w:eastAsia="Times New Roman" w:hAnsi="Times New Roman"/>
          <w:sz w:val="14"/>
          <w:szCs w:val="14"/>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3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President</w:t>
      </w:r>
      <w:r>
        <w:rPr>
          <w:rFonts w:ascii="Times New Roman" w:cs="Times New Roman" w:eastAsia="Times New Roman" w:hAnsi="Times New Roman"/>
          <w:sz w:val="14"/>
          <w:szCs w:val="14"/>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3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Vice President</w:t>
      </w:r>
      <w:r>
        <w:rPr>
          <w:rFonts w:ascii="Times New Roman" w:cs="Times New Roman" w:eastAsia="Times New Roman" w:hAnsi="Times New Roman"/>
          <w:sz w:val="14"/>
          <w:szCs w:val="14"/>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23"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Secretary</w:t>
      </w:r>
      <w:r>
        <w:rPr>
          <w:rFonts w:ascii="Times New Roman" w:cs="Times New Roman" w:eastAsia="Times New Roman" w:hAnsi="Times New Roman"/>
          <w:sz w:val="14"/>
          <w:szCs w:val="14"/>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42"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 xml:space="preserve">Section 4.5. </w:t>
      </w:r>
      <w:r>
        <w:rPr>
          <w:rFonts w:ascii="Times New Roman" w:cs="Times New Roman" w:eastAsia="Times New Roman" w:hAnsi="Times New Roman"/>
          <w:sz w:val="14"/>
          <w:szCs w:val="14"/>
          <w:u w:val="single" w:color="auto"/>
          <w:color w:val="auto"/>
        </w:rPr>
        <w:t>Other Officers</w:t>
      </w:r>
      <w:r>
        <w:rPr>
          <w:rFonts w:ascii="Times New Roman" w:cs="Times New Roman" w:eastAsia="Times New Roman" w:hAnsi="Times New Roman"/>
          <w:sz w:val="14"/>
          <w:szCs w:val="14"/>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441325</wp:posOffset>
            </wp:positionV>
            <wp:extent cx="716026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59" w:name="page60"/>
    <w:bookmarkEnd w:id="59"/>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 xml:space="preserve">Section 4.6. </w:t>
      </w:r>
      <w:r>
        <w:rPr>
          <w:rFonts w:ascii="Times New Roman" w:cs="Times New Roman" w:eastAsia="Times New Roman" w:hAnsi="Times New Roman"/>
          <w:sz w:val="14"/>
          <w:szCs w:val="14"/>
          <w:u w:val="single" w:color="auto"/>
          <w:color w:val="auto"/>
        </w:rPr>
        <w:t>Tenure of Office</w:t>
      </w:r>
      <w:r>
        <w:rPr>
          <w:rFonts w:ascii="Times New Roman" w:cs="Times New Roman" w:eastAsia="Times New Roman" w:hAnsi="Times New Roman"/>
          <w:sz w:val="14"/>
          <w:szCs w:val="14"/>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Stock</w:t>
      </w:r>
    </w:p>
    <w:p>
      <w:pPr>
        <w:spacing w:after="0" w:line="170"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1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u w:val="single" w:color="auto"/>
          <w:color w:val="auto"/>
        </w:rPr>
        <w:t>ARTICLE VI</w:t>
      </w:r>
    </w:p>
    <w:p>
      <w:pPr>
        <w:spacing w:after="0" w:line="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u w:val="single" w:color="auto"/>
          <w:color w:val="auto"/>
        </w:rPr>
        <w:t>Corporate Seal</w:t>
      </w:r>
    </w:p>
    <w:p>
      <w:pPr>
        <w:spacing w:after="0" w:line="170"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319405</wp:posOffset>
            </wp:positionV>
            <wp:extent cx="716026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VII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70"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Execution of Instruments</w:t>
      </w:r>
      <w:r>
        <w:rPr>
          <w:rFonts w:ascii="Times New Roman" w:cs="Times New Roman" w:eastAsia="Times New Roman" w:hAnsi="Times New Roman"/>
          <w:sz w:val="14"/>
          <w:szCs w:val="14"/>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31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Records</w:t>
      </w:r>
      <w:r>
        <w:rPr>
          <w:rFonts w:ascii="Times New Roman" w:cs="Times New Roman" w:eastAsia="Times New Roman" w:hAnsi="Times New Roman"/>
          <w:sz w:val="14"/>
          <w:szCs w:val="14"/>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3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Trust Files</w:t>
      </w:r>
      <w:r>
        <w:rPr>
          <w:rFonts w:ascii="Times New Roman" w:cs="Times New Roman" w:eastAsia="Times New Roman" w:hAnsi="Times New Roman"/>
          <w:sz w:val="14"/>
          <w:szCs w:val="14"/>
          <w:color w:val="auto"/>
        </w:rPr>
        <w:t>. There shall be maintained in the Association files all fiduciary records necessary to assure that its fiduciary responsibilities have been properly undertaken and discharged.</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Trust Investments</w:t>
      </w:r>
      <w:r>
        <w:rPr>
          <w:rFonts w:ascii="Times New Roman" w:cs="Times New Roman" w:eastAsia="Times New Roman" w:hAnsi="Times New Roman"/>
          <w:sz w:val="14"/>
          <w:szCs w:val="14"/>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3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 Except where specified otherwise in these Bylaws, prior notice shall be proper if given not more than 30 days nor less than 10 days prior to the event for which notice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16026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61" w:name="page62"/>
    <w:bookmarkEnd w:id="61"/>
    <w:p>
      <w:pPr>
        <w:ind w:left="5200"/>
        <w:spacing w:after="0"/>
        <w:rPr>
          <w:sz w:val="20"/>
          <w:szCs w:val="20"/>
          <w:color w:val="auto"/>
        </w:rPr>
      </w:pPr>
      <w:r>
        <w:rPr>
          <w:rFonts w:ascii="Times New Roman" w:cs="Times New Roman" w:eastAsia="Times New Roman" w:hAnsi="Times New Roman"/>
          <w:sz w:val="14"/>
          <w:szCs w:val="14"/>
          <w:u w:val="single" w:color="auto"/>
          <w:color w:val="auto"/>
        </w:rPr>
        <w:t>ARTICLE VIII</w:t>
      </w:r>
    </w:p>
    <w:p>
      <w:pPr>
        <w:spacing w:after="0" w:line="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u w:val="single" w:color="auto"/>
          <w:color w:val="auto"/>
        </w:rPr>
        <w:t>Indemnification</w:t>
      </w:r>
    </w:p>
    <w:p>
      <w:pPr>
        <w:spacing w:after="0" w:line="170"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42"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Bylaws: Interpretation and Amendment</w:t>
      </w:r>
    </w:p>
    <w:p>
      <w:pPr>
        <w:spacing w:after="0" w:line="170"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Section 9.1. These Bylaws shall be interpreted in accordance with and subject to appropriate provisions of law, and may be added to, altered, amended, or repealed, at any regular or special meeting of the Board.</w:t>
      </w:r>
    </w:p>
    <w:p>
      <w:pPr>
        <w:spacing w:after="0" w:line="123"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319405</wp:posOffset>
            </wp:positionV>
            <wp:extent cx="716026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The fiscal year of the Association shall begin on the first day of January in each year and shall end on the thirty-first day of December following.</w:t>
      </w:r>
    </w:p>
    <w:p>
      <w:pPr>
        <w:spacing w:after="0" w:line="184"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716026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6</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w:t>
      </w:r>
    </w:p>
    <w:p>
      <w:pPr>
        <w:spacing w:after="0" w:line="186"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October 31,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ind w:left="5640"/>
              <w:spacing w:after="0"/>
              <w:rPr>
                <w:sz w:val="20"/>
                <w:szCs w:val="20"/>
                <w:color w:val="auto"/>
              </w:rPr>
            </w:pPr>
            <w:r>
              <w:rPr>
                <w:rFonts w:ascii="Times New Roman" w:cs="Times New Roman" w:eastAsia="Times New Roman" w:hAnsi="Times New Roman"/>
                <w:sz w:val="14"/>
                <w:szCs w:val="14"/>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Kathy L. Mitchell</w:t>
            </w:r>
          </w:p>
        </w:tc>
      </w:tr>
      <w:tr>
        <w:trPr>
          <w:trHeight w:val="149"/>
        </w:trPr>
        <w:tc>
          <w:tcPr>
            <w:tcW w:w="610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Kathy L. Mitchell</w:t>
            </w:r>
          </w:p>
        </w:tc>
      </w:tr>
      <w:tr>
        <w:trPr>
          <w:trHeight w:val="186"/>
        </w:trPr>
        <w:tc>
          <w:tcPr>
            <w:tcW w:w="610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r>
        <w:trPr>
          <w:trHeight w:val="540"/>
        </w:trPr>
        <w:tc>
          <w:tcPr>
            <w:tcW w:w="61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47" w:right="31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780" w:type="dxa"/>
            <w:vAlign w:val="bottom"/>
            <w:gridSpan w:val="3"/>
          </w:tcPr>
          <w:p>
            <w:pPr>
              <w:jc w:val="center"/>
              <w:ind w:right="4164"/>
              <w:spacing w:after="0"/>
              <w:rPr>
                <w:sz w:val="20"/>
                <w:szCs w:val="20"/>
                <w:color w:val="auto"/>
              </w:rPr>
            </w:pPr>
            <w:r>
              <w:rPr>
                <w:rFonts w:ascii="Times New Roman" w:cs="Times New Roman" w:eastAsia="Times New Roman" w:hAnsi="Times New Roman"/>
                <w:sz w:val="14"/>
                <w:szCs w:val="14"/>
                <w:b w:val="1"/>
                <w:bCs w:val="1"/>
                <w:color w:val="auto"/>
              </w:rPr>
              <w:t>Exhibit 7</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3680" w:type="dxa"/>
            <w:vAlign w:val="bottom"/>
          </w:tcPr>
          <w:p>
            <w:pPr>
              <w:spacing w:after="0"/>
              <w:rPr>
                <w:sz w:val="24"/>
                <w:szCs w:val="24"/>
                <w:color w:val="auto"/>
              </w:rPr>
            </w:pPr>
          </w:p>
        </w:tc>
        <w:tc>
          <w:tcPr>
            <w:tcW w:w="6460" w:type="dxa"/>
            <w:vAlign w:val="bottom"/>
            <w:gridSpan w:val="4"/>
          </w:tcPr>
          <w:p>
            <w:pPr>
              <w:jc w:val="center"/>
              <w:ind w:right="2484"/>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3680" w:type="dxa"/>
            <w:vAlign w:val="bottom"/>
          </w:tcPr>
          <w:p>
            <w:pPr>
              <w:spacing w:after="0"/>
              <w:rPr>
                <w:sz w:val="14"/>
                <w:szCs w:val="14"/>
                <w:color w:val="auto"/>
              </w:rPr>
            </w:pPr>
          </w:p>
        </w:tc>
        <w:tc>
          <w:tcPr>
            <w:tcW w:w="6460" w:type="dxa"/>
            <w:vAlign w:val="bottom"/>
            <w:gridSpan w:val="4"/>
          </w:tcPr>
          <w:p>
            <w:pPr>
              <w:jc w:val="center"/>
              <w:ind w:right="2484"/>
              <w:spacing w:after="0"/>
              <w:rPr>
                <w:sz w:val="20"/>
                <w:szCs w:val="20"/>
                <w:color w:val="auto"/>
              </w:rPr>
            </w:pPr>
            <w:r>
              <w:rPr>
                <w:rFonts w:ascii="Times New Roman" w:cs="Times New Roman" w:eastAsia="Times New Roman" w:hAnsi="Times New Roman"/>
                <w:sz w:val="14"/>
                <w:szCs w:val="14"/>
                <w:b w:val="1"/>
                <w:bCs w:val="1"/>
                <w:color w:val="auto"/>
              </w:rPr>
              <w:t>Statement of Financial Condition</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3680" w:type="dxa"/>
            <w:vAlign w:val="bottom"/>
          </w:tcPr>
          <w:p>
            <w:pPr>
              <w:spacing w:after="0"/>
              <w:rPr>
                <w:sz w:val="16"/>
                <w:szCs w:val="16"/>
                <w:color w:val="auto"/>
              </w:rPr>
            </w:pPr>
          </w:p>
        </w:tc>
        <w:tc>
          <w:tcPr>
            <w:tcW w:w="6460" w:type="dxa"/>
            <w:vAlign w:val="bottom"/>
            <w:gridSpan w:val="4"/>
          </w:tcPr>
          <w:p>
            <w:pPr>
              <w:jc w:val="center"/>
              <w:ind w:right="2464"/>
              <w:spacing w:after="0"/>
              <w:rPr>
                <w:sz w:val="20"/>
                <w:szCs w:val="20"/>
                <w:color w:val="auto"/>
              </w:rPr>
            </w:pPr>
            <w:r>
              <w:rPr>
                <w:rFonts w:ascii="Times New Roman" w:cs="Times New Roman" w:eastAsia="Times New Roman" w:hAnsi="Times New Roman"/>
                <w:sz w:val="14"/>
                <w:szCs w:val="14"/>
                <w:b w:val="1"/>
                <w:bCs w:val="1"/>
                <w:color w:val="auto"/>
              </w:rPr>
              <w:t>as of 6/30/2024</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5"/>
        </w:trPr>
        <w:tc>
          <w:tcPr>
            <w:tcW w:w="3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780" w:type="dxa"/>
            <w:vAlign w:val="bottom"/>
            <w:gridSpan w:val="3"/>
          </w:tcPr>
          <w:p>
            <w:pPr>
              <w:jc w:val="center"/>
              <w:ind w:right="4164"/>
              <w:spacing w:after="0"/>
              <w:rPr>
                <w:sz w:val="20"/>
                <w:szCs w:val="20"/>
                <w:color w:val="auto"/>
              </w:rPr>
            </w:pPr>
            <w:r>
              <w:rPr>
                <w:rFonts w:ascii="Times New Roman" w:cs="Times New Roman" w:eastAsia="Times New Roman" w:hAnsi="Times New Roman"/>
                <w:sz w:val="14"/>
                <w:szCs w:val="14"/>
                <w:b w:val="1"/>
                <w:bCs w:val="1"/>
                <w:color w:val="auto"/>
              </w:rPr>
              <w:t>($000’s)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68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6/30/2024</w:t>
            </w:r>
          </w:p>
        </w:tc>
        <w:tc>
          <w:tcPr>
            <w:tcW w:w="100" w:type="dxa"/>
            <w:vAlign w:val="bottom"/>
            <w:tcBorders>
              <w:bottom w:val="single" w:sz="8" w:color="CCEEFF"/>
            </w:tcBorders>
          </w:tcPr>
          <w:p>
            <w:pPr>
              <w:spacing w:after="0"/>
              <w:rPr>
                <w:sz w:val="24"/>
                <w:szCs w:val="24"/>
                <w:color w:val="auto"/>
              </w:rPr>
            </w:pPr>
          </w:p>
        </w:tc>
      </w:tr>
      <w:tr>
        <w:trPr>
          <w:trHeight w:val="16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6460" w:type="dxa"/>
            <w:vAlign w:val="bottom"/>
            <w:gridSpan w:val="4"/>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1,420,557</w:t>
            </w:r>
          </w:p>
        </w:tc>
      </w:tr>
      <w:tr>
        <w:trPr>
          <w:trHeight w:val="172"/>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1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4,393</w:t>
            </w:r>
          </w:p>
        </w:tc>
      </w:tr>
      <w:tr>
        <w:trPr>
          <w:trHeight w:val="17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 Funds</w:t>
            </w: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72"/>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&amp; Lease Financing Receivables</w:t>
            </w:r>
          </w:p>
        </w:tc>
        <w:tc>
          <w:tcPr>
            <w:tcW w:w="1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7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Assets</w:t>
            </w: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1,164</w:t>
            </w:r>
          </w:p>
        </w:tc>
      </w:tr>
      <w:tr>
        <w:trPr>
          <w:trHeight w:val="172"/>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1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577,338</w:t>
            </w:r>
          </w:p>
        </w:tc>
      </w:tr>
      <w:tr>
        <w:trPr>
          <w:trHeight w:val="183"/>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153,812</w:t>
            </w:r>
          </w:p>
        </w:tc>
      </w:tr>
      <w:tr>
        <w:trPr>
          <w:trHeight w:val="163"/>
        </w:trPr>
        <w:tc>
          <w:tcPr>
            <w:tcW w:w="3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2,157,264</w:t>
            </w:r>
          </w:p>
        </w:tc>
        <w:tc>
          <w:tcPr>
            <w:tcW w:w="100" w:type="dxa"/>
            <w:vAlign w:val="bottom"/>
            <w:tcBorders>
              <w:top w:val="single" w:sz="8" w:color="CCEEFF"/>
            </w:tcBorders>
            <w:shd w:val="clear" w:color="auto" w:fill="CCEEFF"/>
          </w:tcPr>
          <w:p>
            <w:pPr>
              <w:spacing w:after="0"/>
              <w:rPr>
                <w:sz w:val="14"/>
                <w:szCs w:val="14"/>
                <w:color w:val="auto"/>
              </w:rPr>
            </w:pPr>
          </w:p>
        </w:tc>
      </w:tr>
      <w:tr>
        <w:trPr>
          <w:trHeight w:val="172"/>
        </w:trPr>
        <w:tc>
          <w:tcPr>
            <w:tcW w:w="3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6460" w:type="dxa"/>
            <w:vAlign w:val="bottom"/>
            <w:gridSpan w:val="4"/>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72"/>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 Funds</w:t>
            </w:r>
          </w:p>
        </w:tc>
        <w:tc>
          <w:tcPr>
            <w:tcW w:w="1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7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Demand Notes</w:t>
            </w: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72"/>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Liabilities</w:t>
            </w:r>
          </w:p>
        </w:tc>
        <w:tc>
          <w:tcPr>
            <w:tcW w:w="1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7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Borrowed Money</w:t>
            </w: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72"/>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Acceptances</w:t>
            </w:r>
          </w:p>
        </w:tc>
        <w:tc>
          <w:tcPr>
            <w:tcW w:w="1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7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83"/>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215,138</w:t>
            </w:r>
          </w:p>
        </w:tc>
      </w:tr>
      <w:tr>
        <w:trPr>
          <w:trHeight w:val="163"/>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215,138</w:t>
            </w:r>
          </w:p>
        </w:tc>
        <w:tc>
          <w:tcPr>
            <w:tcW w:w="100" w:type="dxa"/>
            <w:vAlign w:val="bottom"/>
          </w:tcPr>
          <w:p>
            <w:pPr>
              <w:spacing w:after="0"/>
              <w:rPr>
                <w:sz w:val="14"/>
                <w:szCs w:val="14"/>
                <w:color w:val="auto"/>
              </w:rPr>
            </w:pPr>
          </w:p>
        </w:tc>
      </w:tr>
      <w:tr>
        <w:trPr>
          <w:trHeight w:val="172"/>
        </w:trPr>
        <w:tc>
          <w:tcPr>
            <w:tcW w:w="36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and Preferred Stock</w:t>
            </w:r>
          </w:p>
        </w:tc>
        <w:tc>
          <w:tcPr>
            <w:tcW w:w="1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r>
      <w:tr>
        <w:trPr>
          <w:trHeight w:val="17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Surplus</w:t>
            </w: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1,171,635</w:t>
            </w:r>
          </w:p>
        </w:tc>
      </w:tr>
      <w:tr>
        <w:trPr>
          <w:trHeight w:val="172"/>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Undivided Profits</w:t>
            </w:r>
          </w:p>
        </w:tc>
        <w:tc>
          <w:tcPr>
            <w:tcW w:w="1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770,291</w:t>
            </w:r>
          </w:p>
        </w:tc>
      </w:tr>
      <w:tr>
        <w:trPr>
          <w:trHeight w:val="183"/>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Minority Interest in Subsidiaries</w:t>
            </w:r>
          </w:p>
        </w:tc>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3"/>
        </w:trPr>
        <w:tc>
          <w:tcPr>
            <w:tcW w:w="36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Equity Capital</w:t>
            </w:r>
          </w:p>
        </w:tc>
        <w:tc>
          <w:tcPr>
            <w:tcW w:w="16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1,942,126</w:t>
            </w:r>
          </w:p>
        </w:tc>
        <w:tc>
          <w:tcPr>
            <w:tcW w:w="100" w:type="dxa"/>
            <w:vAlign w:val="bottom"/>
            <w:tcBorders>
              <w:top w:val="single" w:sz="8" w:color="CCEEFF"/>
            </w:tcBorders>
            <w:shd w:val="clear" w:color="auto" w:fill="CCEEFF"/>
          </w:tcPr>
          <w:p>
            <w:pPr>
              <w:spacing w:after="0"/>
              <w:rPr>
                <w:sz w:val="14"/>
                <w:szCs w:val="14"/>
                <w:color w:val="auto"/>
              </w:rPr>
            </w:pPr>
          </w:p>
        </w:tc>
      </w:tr>
      <w:tr>
        <w:trPr>
          <w:trHeight w:val="172"/>
        </w:trPr>
        <w:tc>
          <w:tcPr>
            <w:tcW w:w="3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Equity Capital</w:t>
            </w:r>
          </w:p>
        </w:tc>
        <w:tc>
          <w:tcPr>
            <w:tcW w:w="6460" w:type="dxa"/>
            <w:vAlign w:val="bottom"/>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2,157,264</w:t>
            </w:r>
          </w:p>
        </w:tc>
      </w:tr>
      <w:tr>
        <w:trPr>
          <w:trHeight w:val="538"/>
        </w:trPr>
        <w:tc>
          <w:tcPr>
            <w:tcW w:w="3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43" w:right="319" w:bottom="1440" w:gutter="0" w:footer="0" w:header="0"/>
        </w:sectPr>
      </w:pPr>
    </w:p>
    <w:bookmarkStart w:id="65" w:name="page66"/>
    <w:bookmarkEnd w:id="65"/>
    <w:p>
      <w:pPr>
        <w:ind w:left="3440"/>
        <w:spacing w:after="0"/>
        <w:rPr>
          <w:sz w:val="20"/>
          <w:szCs w:val="20"/>
          <w:color w:val="auto"/>
        </w:rPr>
      </w:pPr>
      <w:r>
        <w:rPr>
          <w:rFonts w:ascii="Arial" w:cs="Arial" w:eastAsia="Arial" w:hAnsi="Arial"/>
          <w:sz w:val="29"/>
          <w:szCs w:val="29"/>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9"/>
          <w:szCs w:val="29"/>
          <w:b w:val="1"/>
          <w:bCs w:val="1"/>
          <w:color w:val="auto"/>
        </w:rPr>
        <w:t>S-3</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REGENERON PHARMACEUTICALS, INC.</w:t>
      </w:r>
    </w:p>
    <w:p>
      <w:pPr>
        <w:spacing w:after="0" w:line="127"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Table 1: Newly Registered and Carry Forward Securities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right w:val="single" w:sz="8" w:color="auto"/>
            </w:tcBorders>
            <w:shd w:val="clear" w:color="auto" w:fill="9ADAF6"/>
          </w:tcPr>
          <w:p>
            <w:pPr>
              <w:jc w:val="center"/>
              <w:spacing w:after="0" w:line="165" w:lineRule="exact"/>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9ADAF6"/>
          </w:tcPr>
          <w:p>
            <w:pPr>
              <w:jc w:val="center"/>
              <w:ind w:left="14"/>
              <w:spacing w:after="0"/>
              <w:rPr>
                <w:sz w:val="20"/>
                <w:szCs w:val="20"/>
                <w:color w:val="auto"/>
              </w:rPr>
            </w:pPr>
            <w:r>
              <w:rPr>
                <w:rFonts w:ascii="Arial" w:cs="Arial" w:eastAsia="Arial" w:hAnsi="Arial"/>
                <w:sz w:val="17"/>
                <w:szCs w:val="17"/>
                <w:b w:val="1"/>
                <w:bCs w:val="1"/>
                <w:color w:val="auto"/>
              </w:rPr>
              <w:t>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5"/>
                <w:szCs w:val="15"/>
                <w:color w:val="auto"/>
              </w:rPr>
            </w:pPr>
          </w:p>
        </w:tc>
        <w:tc>
          <w:tcPr>
            <w:tcW w:w="960" w:type="dxa"/>
            <w:vAlign w:val="bottom"/>
            <w:gridSpan w:val="2"/>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88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jc w:val="right"/>
              <w:ind w:right="14"/>
              <w:spacing w:after="0" w:line="17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5"/>
                <w:szCs w:val="15"/>
                <w:color w:val="auto"/>
              </w:rPr>
            </w:pPr>
          </w:p>
        </w:tc>
        <w:tc>
          <w:tcPr>
            <w:tcW w:w="7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5"/>
                <w:szCs w:val="15"/>
                <w:color w:val="auto"/>
              </w:rPr>
            </w:pPr>
          </w:p>
        </w:tc>
        <w:tc>
          <w:tcPr>
            <w:tcW w:w="1000" w:type="dxa"/>
            <w:vAlign w:val="bottom"/>
            <w:tcBorders>
              <w:right w:val="single" w:sz="8" w:color="auto"/>
            </w:tcBorders>
            <w:vMerge w:val="continue"/>
            <w:shd w:val="clear" w:color="auto" w:fill="9ADAF6"/>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w w:val="98"/>
              </w:rPr>
              <w:t>Security</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840" w:type="dxa"/>
            <w:vAlign w:val="bottom"/>
            <w:shd w:val="clear" w:color="auto" w:fill="9ADAF6"/>
          </w:tcPr>
          <w:p>
            <w:pPr>
              <w:jc w:val="center"/>
              <w:ind w:left="34"/>
              <w:spacing w:after="0" w:line="194" w:lineRule="exact"/>
              <w:rPr>
                <w:sz w:val="20"/>
                <w:szCs w:val="20"/>
                <w:color w:val="auto"/>
              </w:rPr>
            </w:pPr>
            <w:r>
              <w:rPr>
                <w:rFonts w:ascii="Arial" w:cs="Arial" w:eastAsia="Arial" w:hAnsi="Arial"/>
                <w:sz w:val="17"/>
                <w:szCs w:val="17"/>
                <w:b w:val="1"/>
                <w:bCs w:val="1"/>
                <w:color w:val="auto"/>
              </w:rPr>
              <w:t>or Carry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right"/>
              <w:ind w:right="54"/>
              <w:spacing w:after="0" w:line="194"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4"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40" w:type="dxa"/>
            <w:vAlign w:val="bottom"/>
            <w:shd w:val="clear" w:color="auto" w:fill="9ADAF6"/>
          </w:tcPr>
          <w:p>
            <w:pPr>
              <w:jc w:val="center"/>
              <w:ind w:left="34"/>
              <w:spacing w:after="0" w:line="194" w:lineRule="exact"/>
              <w:rPr>
                <w:sz w:val="20"/>
                <w:szCs w:val="20"/>
                <w:color w:val="auto"/>
              </w:rPr>
            </w:pPr>
            <w:r>
              <w:rPr>
                <w:rFonts w:ascii="Arial" w:cs="Arial" w:eastAsia="Arial" w:hAnsi="Arial"/>
                <w:sz w:val="17"/>
                <w:szCs w:val="17"/>
                <w:b w:val="1"/>
                <w:bCs w:val="1"/>
                <w:color w:val="auto"/>
              </w:rPr>
              <w:t>Forward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294"/>
              <w:spacing w:after="0" w:line="194"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ind w:left="34"/>
              <w:spacing w:after="0"/>
              <w:rPr>
                <w:sz w:val="20"/>
                <w:szCs w:val="20"/>
                <w:color w:val="auto"/>
              </w:rPr>
            </w:pPr>
            <w:r>
              <w:rPr>
                <w:rFonts w:ascii="Arial" w:cs="Arial" w:eastAsia="Arial" w:hAnsi="Arial"/>
                <w:sz w:val="17"/>
                <w:szCs w:val="17"/>
                <w:b w:val="1"/>
                <w:bCs w:val="1"/>
                <w:color w:val="auto"/>
                <w:w w:val="97"/>
              </w:rPr>
              <w:t>Rule</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0"/>
                <w:szCs w:val="10"/>
                <w:color w:val="auto"/>
              </w:rPr>
            </w:pPr>
          </w:p>
        </w:tc>
        <w:tc>
          <w:tcPr>
            <w:tcW w:w="88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0"/>
                <w:szCs w:val="10"/>
                <w:color w:val="auto"/>
              </w:rPr>
            </w:pPr>
          </w:p>
        </w:tc>
        <w:tc>
          <w:tcPr>
            <w:tcW w:w="100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vMerge w:val="continue"/>
            <w:shd w:val="clear" w:color="auto" w:fill="9ADAF6"/>
          </w:tcPr>
          <w:p>
            <w:pPr>
              <w:spacing w:after="0"/>
              <w:rPr>
                <w:sz w:val="12"/>
                <w:szCs w:val="12"/>
                <w:color w:val="auto"/>
              </w:rPr>
            </w:pPr>
          </w:p>
        </w:tc>
        <w:tc>
          <w:tcPr>
            <w:tcW w:w="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right w:val="single" w:sz="8" w:color="auto"/>
            </w:tcBorders>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53"/>
        </w:trPr>
        <w:tc>
          <w:tcPr>
            <w:tcW w:w="40" w:type="dxa"/>
            <w:vAlign w:val="bottom"/>
            <w:tcBorders>
              <w:left w:val="single" w:sz="8" w:color="auto"/>
            </w:tcBorders>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gridSpan w:val="7"/>
          </w:tcPr>
          <w:p>
            <w:pPr>
              <w:jc w:val="right"/>
              <w:ind w:right="119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40" w:type="dxa"/>
            <w:vAlign w:val="bottom"/>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ind w:left="14"/>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Equity</w:t>
            </w:r>
          </w:p>
        </w:tc>
        <w:tc>
          <w:tcPr>
            <w:tcW w:w="40" w:type="dxa"/>
            <w:vAlign w:val="bottom"/>
          </w:tcPr>
          <w:p>
            <w:pPr>
              <w:spacing w:after="0"/>
              <w:rPr>
                <w:sz w:val="8"/>
                <w:szCs w:val="8"/>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ind w:left="14"/>
              <w:spacing w:after="0" w:line="194" w:lineRule="exact"/>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$0.001</w:t>
            </w: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40" w:type="dxa"/>
            <w:vAlign w:val="bottom"/>
            <w:tcBorders>
              <w:left w:val="single" w:sz="8" w:color="auto"/>
            </w:tcBorders>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Equity</w:t>
            </w:r>
          </w:p>
        </w:tc>
        <w:tc>
          <w:tcPr>
            <w:tcW w:w="40" w:type="dxa"/>
            <w:vAlign w:val="bottom"/>
          </w:tcPr>
          <w:p>
            <w:pPr>
              <w:spacing w:after="0"/>
              <w:rPr>
                <w:sz w:val="8"/>
                <w:szCs w:val="8"/>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ind w:left="14"/>
              <w:spacing w:after="0" w:line="194" w:lineRule="exact"/>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$0.01 per</w:t>
            </w: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40" w:type="dxa"/>
            <w:vAlign w:val="bottom"/>
            <w:tcBorders>
              <w:left w:val="single" w:sz="8" w:color="auto"/>
            </w:tcBorders>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40" w:type="dxa"/>
            <w:vAlign w:val="bottom"/>
          </w:tcPr>
          <w:p>
            <w:pPr>
              <w:spacing w:after="0"/>
              <w:rPr>
                <w:sz w:val="15"/>
                <w:szCs w:val="15"/>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14"/>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gridSpan w:val="7"/>
          </w:tcPr>
          <w:p>
            <w:pPr>
              <w:jc w:val="right"/>
              <w:ind w:right="131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Omitted pursuant to Form S-3 Instructions to the Calculation of Filing Fee Tables and Related Disclosure 2(A)(iii)(c).</w:t>
      </w:r>
    </w:p>
    <w:p>
      <w:pPr>
        <w:spacing w:after="0" w:line="192" w:lineRule="exact"/>
        <w:rPr>
          <w:sz w:val="20"/>
          <w:szCs w:val="20"/>
          <w:color w:val="auto"/>
        </w:rPr>
      </w:pPr>
    </w:p>
    <w:p>
      <w:pPr>
        <w:ind w:left="220" w:right="200"/>
        <w:spacing w:after="0" w:line="243" w:lineRule="auto"/>
        <w:rPr>
          <w:sz w:val="20"/>
          <w:szCs w:val="20"/>
          <w:color w:val="auto"/>
        </w:rPr>
      </w:pPr>
      <w:r>
        <w:rPr>
          <w:rFonts w:ascii="Arial" w:cs="Arial" w:eastAsia="Arial" w:hAnsi="Arial"/>
          <w:sz w:val="17"/>
          <w:szCs w:val="17"/>
          <w:color w:val="auto"/>
        </w:rPr>
        <w:t>An indeterminate aggregate initial offering price, principal amount or number of the securities of each identified class is being registered as may from time to time be offered at indeterminate prices or upon conversion, exchange or exercise of other securities registered hereunder to the extent any such securities are, by their terms, convertible into, or exchangeable or exercisable for, such securities. Securities registered hereunder may be sold either separately or as units comprised of more than one type of security registered hereunder. Separate consideration may or may not be received for securities that are issuable on exercise, conversion or exchange of other securities or that are issued in units. In accordance with Rule 456(b) and Rule 457(r), the registrant is deferring payment of all of the registration fees and will pay any applicable registration fees on a "pay as you go" basis. The registrant will calculate the registration fee applicable to an offer of securities pursuant to this registration statement based on the fee payment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185420</wp:posOffset>
            </wp:positionV>
            <wp:extent cx="7042150"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042150" cy="3937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81915</wp:posOffset>
            </wp:positionV>
            <wp:extent cx="704215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042150" cy="39370"/>
                    </a:xfrm>
                    <a:prstGeom prst="rect">
                      <a:avLst/>
                    </a:prstGeom>
                    <a:noFill/>
                  </pic:spPr>
                </pic:pic>
              </a:graphicData>
            </a:graphic>
          </wp:anchor>
        </w:drawing>
      </w:r>
    </w:p>
    <w:p>
      <w:pPr>
        <w:spacing w:after="0" w:line="269" w:lineRule="exact"/>
        <w:rPr>
          <w:sz w:val="20"/>
          <w:szCs w:val="20"/>
          <w:color w:val="auto"/>
        </w:rPr>
      </w:pPr>
    </w:p>
    <w:p>
      <w:pPr>
        <w:ind w:left="40"/>
        <w:spacing w:after="0"/>
        <w:rPr>
          <w:sz w:val="20"/>
          <w:szCs w:val="20"/>
          <w:color w:val="auto"/>
        </w:rPr>
      </w:pPr>
      <w:r>
        <w:rPr>
          <w:rFonts w:ascii="Arial" w:cs="Arial" w:eastAsia="Arial" w:hAnsi="Arial"/>
          <w:sz w:val="11"/>
          <w:szCs w:val="11"/>
          <w:color w:val="auto"/>
        </w:rPr>
        <w:t>3</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81915</wp:posOffset>
            </wp:positionV>
            <wp:extent cx="7042150"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042150" cy="39370"/>
                    </a:xfrm>
                    <a:prstGeom prst="rect">
                      <a:avLst/>
                    </a:prstGeom>
                    <a:noFill/>
                  </pic:spPr>
                </pic:pic>
              </a:graphicData>
            </a:graphic>
          </wp:anchor>
        </w:drawing>
      </w:r>
    </w:p>
    <w:p>
      <w:pPr>
        <w:spacing w:after="0" w:line="269" w:lineRule="exact"/>
        <w:rPr>
          <w:sz w:val="20"/>
          <w:szCs w:val="20"/>
          <w:color w:val="auto"/>
        </w:rPr>
      </w:pPr>
    </w:p>
    <w:p>
      <w:pPr>
        <w:ind w:left="40"/>
        <w:spacing w:after="0"/>
        <w:rPr>
          <w:sz w:val="20"/>
          <w:szCs w:val="20"/>
          <w:color w:val="auto"/>
        </w:rPr>
      </w:pPr>
      <w:r>
        <w:rPr>
          <w:rFonts w:ascii="Arial" w:cs="Arial" w:eastAsia="Arial" w:hAnsi="Arial"/>
          <w:sz w:val="11"/>
          <w:szCs w:val="11"/>
          <w:color w:val="auto"/>
        </w:rPr>
        <w:t>4</w:t>
      </w:r>
    </w:p>
    <w:p>
      <w:pPr>
        <w:sectPr>
          <w:pgSz w:w="11900" w:h="16838" w:orient="portrait"/>
          <w:cols w:equalWidth="0" w:num="1">
            <w:col w:w="11360"/>
          </w:cols>
          <w:pgMar w:left="300" w:top="140" w:right="239" w:bottom="1440" w:gutter="0" w:footer="0" w:header="0"/>
        </w:sectPr>
      </w:pP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81915</wp:posOffset>
            </wp:positionV>
            <wp:extent cx="7042150"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042150" cy="39370"/>
                    </a:xfrm>
                    <a:prstGeom prst="rect">
                      <a:avLst/>
                    </a:prstGeom>
                    <a:noFill/>
                  </pic:spPr>
                </pic:pic>
              </a:graphicData>
            </a:graphic>
          </wp:anchor>
        </w:drawing>
      </w:r>
    </w:p>
    <w:sectPr>
      <w:pgSz w:w="11900" w:h="16838" w:orient="portrait"/>
      <w:cols w:equalWidth="0" w:num="1">
        <w:col w:w="11360"/>
      </w:cols>
      <w:pgMar w:left="300" w:top="1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lvl w:ilvl="1">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upperLetter"/>
      <w:start w:val="1"/>
    </w:lvl>
    <w:lvl w:ilvl="1">
      <w:lvlJc w:val="left"/>
      <w:lvlText w:val="(%2)"/>
      <w:numFmt w:val="lowerRoman"/>
      <w:start w:val="1"/>
    </w:lvl>
  </w:abstractNum>
  <w:abstractNum w:abstractNumId="25">
    <w:nsid w:val="1E7FF521"/>
    <w:multiLevelType w:val="hybridMultilevel"/>
    <w:lvl w:ilvl="0">
      <w:lvlJc w:val="left"/>
      <w:lvlText w:val="(%1)"/>
      <w:numFmt w:val="decimal"/>
      <w:start w:val="2"/>
    </w:lvl>
    <w:lvl w:ilvl="1">
      <w:lvlJc w:val="left"/>
      <w:lvlText w:val="(%2)"/>
      <w:numFmt w:val="lowerRoman"/>
      <w:start w:val="1"/>
    </w:lvl>
  </w:abstractNum>
  <w:abstractNum w:abstractNumId="26">
    <w:nsid w:val="7C3DBD3D"/>
    <w:multiLevelType w:val="hybridMultilevel"/>
    <w:lvl w:ilvl="0">
      <w:lvlJc w:val="left"/>
      <w:lvlText w:val="%1"/>
      <w:numFmt w:val="upperLetter"/>
      <w:start w:val="1"/>
    </w:lvl>
    <w:lvl w:ilvl="1">
      <w:lvlJc w:val="left"/>
      <w:lvlText w:val="(%2)"/>
      <w:numFmt w:val="decimal"/>
      <w:start w:val="5"/>
    </w:lvl>
    <w:lvl w:ilvl="2">
      <w:lvlJc w:val="left"/>
      <w:lvlText w:val="(%3)"/>
      <w:numFmt w:val="lowerRoman"/>
      <w:start w:val="1"/>
    </w:lvl>
  </w:abstractNum>
  <w:abstractNum w:abstractNumId="27">
    <w:nsid w:val="737B8DDC"/>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8"/>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jpe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50" Type="http://schemas.openxmlformats.org/officeDocument/2006/relationships/hyperlink" Target="http://www.sec.gov/ix?doc=/Archives/edgar/data/872589/000180422024000009/regn-20231231.htm" TargetMode="External"/><Relationship Id="rId52" Type="http://schemas.openxmlformats.org/officeDocument/2006/relationships/hyperlink" Target="https://www.sec.gov/ix?doc=/Archives/edgar/data/872589/000130817924000577/lregn2024_def14a.htm" TargetMode="External"/><Relationship Id="rId53" Type="http://schemas.openxmlformats.org/officeDocument/2006/relationships/hyperlink" Target="http://www.sec.gov/ix?doc=/Archives/edgar/data/872589/000180422024000017/regn-20240331.htm" TargetMode="External"/><Relationship Id="rId54" Type="http://schemas.openxmlformats.org/officeDocument/2006/relationships/hyperlink" Target="http://www.sec.gov/ix?doc=/Archives/edgar/data/872589/000180422024000028/regn-20240630.htm" TargetMode="External"/><Relationship Id="rId55" Type="http://schemas.openxmlformats.org/officeDocument/2006/relationships/hyperlink" Target="https://www.sec.gov/ix?doc=/Archives/edgar/data/872589/000180422024000040/regn-20240930.htm" TargetMode="External"/><Relationship Id="rId56" Type="http://schemas.openxmlformats.org/officeDocument/2006/relationships/hyperlink" Target="http://www.sec.gov/ix?doc=/Archives/edgar/data/872589/000110465924008807/tm244671d1_8k.htm" TargetMode="External"/><Relationship Id="rId57" Type="http://schemas.openxmlformats.org/officeDocument/2006/relationships/hyperlink" Target="http://www.sec.gov/ix?doc=/Archives/edgar/data/872589/000110465924073372/tm2417559d1_8k.htm" TargetMode="External"/><Relationship Id="rId58" Type="http://schemas.openxmlformats.org/officeDocument/2006/relationships/hyperlink" Target="http://www.sec.gov/Archives/edgar/data/872589/000153217620000008/regn-ex41xdescriptiono.htm" TargetMode="External"/><Relationship Id="rId63" Type="http://schemas.openxmlformats.org/officeDocument/2006/relationships/hyperlink" Target="http://www.sec.gov/Archives/edgar/data/872589/000153217615000029/regn-ex_31x06302015x10q.htm" TargetMode="External"/><Relationship Id="rId64" Type="http://schemas.openxmlformats.org/officeDocument/2006/relationships/hyperlink" Target="http://www.sec.gov/Archives/edgar/data/872589/000110465916163216/a16-23471_1ex3d2.htm" TargetMode="External"/><Relationship Id="rId65" Type="http://schemas.openxmlformats.org/officeDocument/2006/relationships/hyperlink" Target="http://www.sec.gov/Archives/edgar/data/872589/000110465923071187/tm2318622d1_ex3-2.htm" TargetMode="External"/><Relationship Id="rId66" Type="http://schemas.openxmlformats.org/officeDocument/2006/relationships/hyperlink" Target="http://www.sec.gov/Archives/edgar/data/872589/000110465920093924/tm2027319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2024-10-31T16:00:31Z</dcterms:created>
  <dcterms:modified xsi:type="dcterms:W3CDTF">2024-10-31T16:00:31Z</dcterms:modified>
</cp:coreProperties>
</file>