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80" w:type="dxa"/>
            <w:vAlign w:val="bottom"/>
            <w:gridSpan w:val="4"/>
          </w:tcPr>
          <w:p>
            <w:pPr>
              <w:spacing w:after="0"/>
              <w:rPr>
                <w:sz w:val="20"/>
                <w:szCs w:val="20"/>
                <w:color w:val="auto"/>
              </w:rPr>
            </w:pPr>
            <w:r>
              <w:rPr>
                <w:rFonts w:ascii="Arial" w:cs="Arial" w:eastAsia="Arial" w:hAnsi="Arial"/>
                <w:sz w:val="14"/>
                <w:szCs w:val="14"/>
                <w:color w:val="auto"/>
                <w:w w:val="97"/>
              </w:rPr>
              <w:t xml:space="preserve">2. 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6"/>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Sanofi</w:t>
              </w:r>
            </w:hyperlink>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70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vMerge w:val="restart"/>
          </w:tcPr>
          <w:p>
            <w:pPr>
              <w:ind w:left="80"/>
              <w:spacing w:after="0"/>
              <w:rPr>
                <w:sz w:val="20"/>
                <w:szCs w:val="20"/>
                <w:color w:val="auto"/>
              </w:rPr>
            </w:pPr>
            <w:r>
              <w:rPr>
                <w:rFonts w:ascii="Arial" w:cs="Arial" w:eastAsia="Arial" w:hAnsi="Arial"/>
                <w:sz w:val="14"/>
                <w:szCs w:val="14"/>
                <w:color w:val="auto"/>
              </w:rPr>
              <w:t>Director</w:t>
            </w:r>
          </w:p>
        </w:tc>
        <w:tc>
          <w:tcPr>
            <w:tcW w:w="380" w:type="dxa"/>
            <w:vAlign w:val="bottom"/>
            <w:vMerge w:val="restart"/>
          </w:tcPr>
          <w:p>
            <w:pPr>
              <w:ind w:left="220"/>
              <w:spacing w:after="0"/>
              <w:rPr>
                <w:sz w:val="20"/>
                <w:szCs w:val="20"/>
                <w:color w:val="auto"/>
              </w:rPr>
            </w:pPr>
            <w:r>
              <w:rPr>
                <w:rFonts w:ascii="Arial" w:cs="Arial" w:eastAsia="Arial" w:hAnsi="Arial"/>
                <w:sz w:val="18"/>
                <w:szCs w:val="18"/>
                <w:color w:val="0000FF"/>
              </w:rPr>
              <w:t>X</w:t>
            </w:r>
          </w:p>
        </w:tc>
        <w:tc>
          <w:tcPr>
            <w:tcW w:w="1360" w:type="dxa"/>
            <w:vAlign w:val="bottom"/>
            <w:gridSpan w:val="3"/>
            <w:vMerge w:val="restart"/>
          </w:tcPr>
          <w:p>
            <w:pPr>
              <w:ind w:left="1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9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3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vMerge w:val="restart"/>
          </w:tcPr>
          <w:p>
            <w:pPr>
              <w:ind w:left="80"/>
              <w:spacing w:after="0"/>
              <w:rPr>
                <w:sz w:val="20"/>
                <w:szCs w:val="20"/>
                <w:color w:val="auto"/>
              </w:rPr>
            </w:pPr>
            <w:r>
              <w:rPr>
                <w:rFonts w:ascii="Arial" w:cs="Arial" w:eastAsia="Arial" w:hAnsi="Arial"/>
                <w:sz w:val="14"/>
                <w:szCs w:val="14"/>
                <w:color w:val="auto"/>
              </w:rPr>
              <w:t>Officer (give title</w:t>
            </w:r>
          </w:p>
        </w:tc>
        <w:tc>
          <w:tcPr>
            <w:tcW w:w="380" w:type="dxa"/>
            <w:vAlign w:val="bottom"/>
            <w:vMerge w:val="continue"/>
          </w:tcPr>
          <w:p>
            <w:pPr>
              <w:spacing w:after="0"/>
              <w:rPr>
                <w:sz w:val="5"/>
                <w:szCs w:val="5"/>
                <w:color w:val="auto"/>
              </w:rPr>
            </w:pPr>
          </w:p>
        </w:tc>
        <w:tc>
          <w:tcPr>
            <w:tcW w:w="1360" w:type="dxa"/>
            <w:vAlign w:val="bottom"/>
            <w:gridSpan w:val="3"/>
            <w:vMerge w:val="restart"/>
          </w:tcPr>
          <w:p>
            <w:pPr>
              <w:ind w:left="1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18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spacing w:after="0" w:line="155" w:lineRule="exact"/>
              <w:rPr>
                <w:sz w:val="20"/>
                <w:szCs w:val="20"/>
                <w:color w:val="auto"/>
              </w:rPr>
            </w:pPr>
            <w:r>
              <w:rPr>
                <w:rFonts w:ascii="Arial" w:cs="Arial" w:eastAsia="Arial" w:hAnsi="Arial"/>
                <w:sz w:val="14"/>
                <w:szCs w:val="14"/>
                <w:color w:val="auto"/>
              </w:rPr>
              <w:t>(Last)</w:t>
            </w:r>
          </w:p>
        </w:tc>
        <w:tc>
          <w:tcPr>
            <w:tcW w:w="800" w:type="dxa"/>
            <w:vAlign w:val="bottom"/>
          </w:tcPr>
          <w:p>
            <w:pPr>
              <w:ind w:left="100"/>
              <w:spacing w:after="0" w:line="155" w:lineRule="exact"/>
              <w:rPr>
                <w:sz w:val="20"/>
                <w:szCs w:val="20"/>
                <w:color w:val="auto"/>
              </w:rPr>
            </w:pPr>
            <w:r>
              <w:rPr>
                <w:rFonts w:ascii="Arial" w:cs="Arial" w:eastAsia="Arial" w:hAnsi="Arial"/>
                <w:sz w:val="14"/>
                <w:szCs w:val="14"/>
                <w:color w:val="auto"/>
              </w:rPr>
              <w:t>(First)</w:t>
            </w:r>
          </w:p>
        </w:tc>
        <w:tc>
          <w:tcPr>
            <w:tcW w:w="1900" w:type="dxa"/>
            <w:vAlign w:val="bottom"/>
            <w:gridSpan w:val="2"/>
          </w:tcPr>
          <w:p>
            <w:pPr>
              <w:ind w:left="560"/>
              <w:spacing w:after="0" w:line="155" w:lineRule="exact"/>
              <w:rPr>
                <w:sz w:val="20"/>
                <w:szCs w:val="20"/>
                <w:color w:val="auto"/>
              </w:rPr>
            </w:pPr>
            <w:r>
              <w:rPr>
                <w:rFonts w:ascii="Arial" w:cs="Arial" w:eastAsia="Arial" w:hAnsi="Arial"/>
                <w:sz w:val="14"/>
                <w:szCs w:val="14"/>
                <w:color w:val="auto"/>
              </w:rPr>
              <w:t>(Middle)</w:t>
            </w:r>
          </w:p>
        </w:tc>
        <w:tc>
          <w:tcPr>
            <w:tcW w:w="80" w:type="dxa"/>
            <w:vAlign w:val="bottom"/>
            <w:tcBorders>
              <w:top w:val="single" w:sz="8" w:color="2C2C2C"/>
            </w:tcBorders>
          </w:tcPr>
          <w:p>
            <w:pPr>
              <w:spacing w:after="0"/>
              <w:rPr>
                <w:sz w:val="13"/>
                <w:szCs w:val="13"/>
                <w:color w:val="auto"/>
              </w:rPr>
            </w:pPr>
          </w:p>
        </w:tc>
        <w:tc>
          <w:tcPr>
            <w:tcW w:w="3220" w:type="dxa"/>
            <w:vAlign w:val="bottom"/>
            <w:tcBorders>
              <w:top w:val="single" w:sz="8" w:color="2C2C2C"/>
            </w:tcBorders>
            <w:gridSpan w:val="5"/>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240" w:type="dxa"/>
            <w:vAlign w:val="bottom"/>
            <w:tcBorders>
              <w:top w:val="single" w:sz="8" w:color="2C2C2C"/>
            </w:tcBorders>
          </w:tcPr>
          <w:p>
            <w:pPr>
              <w:spacing w:after="0"/>
              <w:rPr>
                <w:sz w:val="13"/>
                <w:szCs w:val="13"/>
                <w:color w:val="auto"/>
              </w:rPr>
            </w:pPr>
          </w:p>
        </w:tc>
        <w:tc>
          <w:tcPr>
            <w:tcW w:w="440" w:type="dxa"/>
            <w:vAlign w:val="bottom"/>
            <w:tcBorders>
              <w:top w:val="single" w:sz="8" w:color="2C2C2C"/>
            </w:tcBorders>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tcPr>
          <w:p>
            <w:pPr>
              <w:ind w:left="80"/>
              <w:spacing w:after="0" w:line="115" w:lineRule="exact"/>
              <w:rPr>
                <w:sz w:val="20"/>
                <w:szCs w:val="20"/>
                <w:color w:val="auto"/>
              </w:rPr>
            </w:pPr>
            <w:r>
              <w:rPr>
                <w:rFonts w:ascii="Arial" w:cs="Arial" w:eastAsia="Arial" w:hAnsi="Arial"/>
                <w:sz w:val="12"/>
                <w:szCs w:val="12"/>
                <w:color w:val="auto"/>
              </w:rPr>
              <w:t>below)</w:t>
            </w:r>
          </w:p>
        </w:tc>
        <w:tc>
          <w:tcPr>
            <w:tcW w:w="380" w:type="dxa"/>
            <w:vAlign w:val="bottom"/>
          </w:tcPr>
          <w:p>
            <w:pPr>
              <w:spacing w:after="0"/>
              <w:rPr>
                <w:sz w:val="13"/>
                <w:szCs w:val="13"/>
                <w:color w:val="auto"/>
              </w:rPr>
            </w:pPr>
          </w:p>
        </w:tc>
        <w:tc>
          <w:tcPr>
            <w:tcW w:w="600" w:type="dxa"/>
            <w:vAlign w:val="bottom"/>
          </w:tcPr>
          <w:p>
            <w:pPr>
              <w:ind w:left="18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20" w:type="dxa"/>
            <w:vAlign w:val="bottom"/>
            <w:gridSpan w:val="5"/>
            <w:vMerge w:val="continue"/>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3"/>
          </w:tcPr>
          <w:p>
            <w:pPr>
              <w:spacing w:after="0"/>
              <w:rPr>
                <w:sz w:val="20"/>
                <w:szCs w:val="20"/>
                <w:color w:val="auto"/>
              </w:rPr>
            </w:pPr>
            <w:r>
              <w:rPr>
                <w:rFonts w:ascii="Arial" w:cs="Arial" w:eastAsia="Arial" w:hAnsi="Arial"/>
                <w:sz w:val="18"/>
                <w:szCs w:val="18"/>
                <w:color w:val="0000FF"/>
              </w:rPr>
              <w:t>54 RUE LA BOETIE</w:t>
            </w: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color w:val="0000FF"/>
              </w:rPr>
              <w:t>03/21/2014</w:t>
            </w: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5"/>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420" w:type="dxa"/>
            <w:vAlign w:val="bottom"/>
            <w:tcBorders>
              <w:bottom w:val="single" w:sz="8" w:color="2C2C2C"/>
            </w:tcBorders>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3900" w:type="dxa"/>
            <w:vAlign w:val="bottom"/>
            <w:gridSpan w:val="7"/>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40" w:type="dxa"/>
            <w:vAlign w:val="bottom"/>
            <w:gridSpan w:val="6"/>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900" w:type="dxa"/>
            <w:vAlign w:val="bottom"/>
            <w:gridSpan w:val="7"/>
            <w:vMerge w:val="continue"/>
          </w:tcPr>
          <w:p>
            <w:pPr>
              <w:spacing w:after="0"/>
              <w:rPr>
                <w:sz w:val="8"/>
                <w:szCs w:val="8"/>
                <w:color w:val="auto"/>
              </w:rPr>
            </w:pPr>
          </w:p>
        </w:tc>
        <w:tc>
          <w:tcPr>
            <w:tcW w:w="34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ind w:left="80"/>
              <w:spacing w:after="0"/>
              <w:rPr>
                <w:sz w:val="20"/>
                <w:szCs w:val="20"/>
                <w:color w:val="auto"/>
              </w:rPr>
            </w:pPr>
            <w:r>
              <w:rPr>
                <w:rFonts w:ascii="Arial" w:cs="Arial" w:eastAsia="Arial" w:hAnsi="Arial"/>
                <w:sz w:val="14"/>
                <w:szCs w:val="14"/>
                <w:color w:val="auto"/>
              </w:rPr>
              <w:t>Line)</w:t>
            </w: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0000FF"/>
              </w:rPr>
              <w:t>PARIS</w:t>
            </w:r>
          </w:p>
        </w:tc>
        <w:tc>
          <w:tcPr>
            <w:tcW w:w="800" w:type="dxa"/>
            <w:vAlign w:val="bottom"/>
          </w:tcPr>
          <w:p>
            <w:pPr>
              <w:ind w:left="100"/>
              <w:spacing w:after="0"/>
              <w:rPr>
                <w:sz w:val="20"/>
                <w:szCs w:val="20"/>
                <w:color w:val="auto"/>
              </w:rPr>
            </w:pPr>
            <w:r>
              <w:rPr>
                <w:rFonts w:ascii="Arial" w:cs="Arial" w:eastAsia="Arial" w:hAnsi="Arial"/>
                <w:sz w:val="18"/>
                <w:szCs w:val="18"/>
                <w:color w:val="0000FF"/>
              </w:rPr>
              <w:t>I0</w:t>
            </w:r>
          </w:p>
        </w:tc>
        <w:tc>
          <w:tcPr>
            <w:tcW w:w="1820" w:type="dxa"/>
            <w:vAlign w:val="bottom"/>
          </w:tcPr>
          <w:p>
            <w:pPr>
              <w:ind w:left="560"/>
              <w:spacing w:after="0"/>
              <w:rPr>
                <w:sz w:val="20"/>
                <w:szCs w:val="20"/>
                <w:color w:val="auto"/>
              </w:rPr>
            </w:pPr>
            <w:r>
              <w:rPr>
                <w:rFonts w:ascii="Arial" w:cs="Arial" w:eastAsia="Arial" w:hAnsi="Arial"/>
                <w:sz w:val="18"/>
                <w:szCs w:val="18"/>
                <w:color w:val="0000FF"/>
              </w:rPr>
              <w:t>75008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6"/>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900" w:type="dxa"/>
            <w:vAlign w:val="bottom"/>
            <w:gridSpan w:val="5"/>
          </w:tcPr>
          <w:p>
            <w:pPr>
              <w:ind w:left="10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190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ind w:left="10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3100" w:type="dxa"/>
            <w:vAlign w:val="bottom"/>
            <w:tcBorders>
              <w:bottom w:val="single" w:sz="8" w:color="2C2C2C"/>
            </w:tcBorders>
            <w:gridSpan w:val="5"/>
          </w:tcPr>
          <w:p>
            <w:pPr>
              <w:spacing w:after="0"/>
              <w:rPr>
                <w:sz w:val="11"/>
                <w:szCs w:val="11"/>
                <w:color w:val="auto"/>
              </w:rPr>
            </w:pPr>
          </w:p>
        </w:tc>
        <w:tc>
          <w:tcPr>
            <w:tcW w:w="214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12"/>
          </w:tcPr>
          <w:p>
            <w:pPr>
              <w:jc w:val="right"/>
              <w:ind w:right="562"/>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0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00" w:type="dxa"/>
            <w:vAlign w:val="bottom"/>
            <w:gridSpan w:val="2"/>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3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00" w:type="dxa"/>
            <w:vAlign w:val="bottom"/>
            <w:gridSpan w:val="2"/>
          </w:tcPr>
          <w:p>
            <w:pPr>
              <w:jc w:val="center"/>
              <w:ind w:left="657"/>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5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03/21/2014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5,024</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313.1237</w:t>
            </w:r>
            <w:r>
              <w:rPr>
                <w:rFonts w:ascii="Arial" w:cs="Arial" w:eastAsia="Arial" w:hAnsi="Arial"/>
                <w:sz w:val="22"/>
                <w:szCs w:val="22"/>
                <w:color w:val="008000"/>
                <w:w w:val="84"/>
                <w:vertAlign w:val="superscript"/>
              </w:rPr>
              <w:t>(1)(3)</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18,183,274</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03/21/2014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10,934</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314.213</w:t>
            </w:r>
            <w:r>
              <w:rPr>
                <w:rFonts w:ascii="Arial" w:cs="Arial" w:eastAsia="Arial" w:hAnsi="Arial"/>
                <w:sz w:val="22"/>
                <w:szCs w:val="22"/>
                <w:color w:val="008000"/>
                <w:w w:val="82"/>
                <w:vertAlign w:val="superscript"/>
              </w:rPr>
              <w:t>(1)(5)</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18,194,208</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03/21/2014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14,463</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315.0737</w:t>
            </w:r>
            <w:r>
              <w:rPr>
                <w:rFonts w:ascii="Arial" w:cs="Arial" w:eastAsia="Arial" w:hAnsi="Arial"/>
                <w:sz w:val="22"/>
                <w:szCs w:val="22"/>
                <w:color w:val="008000"/>
                <w:w w:val="84"/>
                <w:vertAlign w:val="superscript"/>
              </w:rPr>
              <w:t>(1)(6)</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18,208,671</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03/21/2014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5,700</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316.1587</w:t>
            </w:r>
            <w:r>
              <w:rPr>
                <w:rFonts w:ascii="Arial" w:cs="Arial" w:eastAsia="Arial" w:hAnsi="Arial"/>
                <w:sz w:val="22"/>
                <w:szCs w:val="22"/>
                <w:color w:val="008000"/>
                <w:w w:val="84"/>
                <w:vertAlign w:val="superscript"/>
              </w:rPr>
              <w:t>(1)(7)</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18,214,371</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03/21/2014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23,644</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317.2291</w:t>
            </w:r>
            <w:r>
              <w:rPr>
                <w:rFonts w:ascii="Arial" w:cs="Arial" w:eastAsia="Arial" w:hAnsi="Arial"/>
                <w:sz w:val="22"/>
                <w:szCs w:val="22"/>
                <w:color w:val="008000"/>
                <w:w w:val="84"/>
                <w:vertAlign w:val="superscript"/>
              </w:rPr>
              <w:t>(1)(8)</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18,238,015</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03/21/2014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26,229</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318.363</w:t>
            </w:r>
            <w:r>
              <w:rPr>
                <w:rFonts w:ascii="Arial" w:cs="Arial" w:eastAsia="Arial" w:hAnsi="Arial"/>
                <w:sz w:val="22"/>
                <w:szCs w:val="22"/>
                <w:color w:val="008000"/>
                <w:w w:val="82"/>
                <w:vertAlign w:val="superscript"/>
              </w:rPr>
              <w:t>(1)(9)</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18,264,244</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03/21/2014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37,436</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319.1846</w:t>
            </w:r>
            <w:r>
              <w:rPr>
                <w:rFonts w:ascii="Arial" w:cs="Arial" w:eastAsia="Arial" w:hAnsi="Arial"/>
                <w:sz w:val="22"/>
                <w:szCs w:val="22"/>
                <w:color w:val="008000"/>
                <w:w w:val="83"/>
                <w:vertAlign w:val="superscript"/>
              </w:rPr>
              <w:t>(1)(10)</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18,301,680</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03/21/2014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23,411</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320.0872</w:t>
            </w:r>
            <w:r>
              <w:rPr>
                <w:rFonts w:ascii="Arial" w:cs="Arial" w:eastAsia="Arial" w:hAnsi="Arial"/>
                <w:sz w:val="22"/>
                <w:szCs w:val="22"/>
                <w:color w:val="008000"/>
                <w:w w:val="83"/>
                <w:vertAlign w:val="superscript"/>
              </w:rPr>
              <w:t>(1)(11)</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18,325,091</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03/21/2014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16,036</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321.2298</w:t>
            </w:r>
            <w:r>
              <w:rPr>
                <w:rFonts w:ascii="Arial" w:cs="Arial" w:eastAsia="Arial" w:hAnsi="Arial"/>
                <w:sz w:val="22"/>
                <w:szCs w:val="22"/>
                <w:color w:val="008000"/>
                <w:w w:val="83"/>
                <w:vertAlign w:val="superscript"/>
              </w:rPr>
              <w:t>(1)(12)</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18,341,127</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03/21/2014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5"/>
                <w:vertAlign w:val="subscript"/>
              </w:rPr>
              <w:t>21,101</w:t>
            </w:r>
            <w:r>
              <w:rPr>
                <w:rFonts w:ascii="Arial" w:cs="Arial" w:eastAsia="Arial" w:hAnsi="Arial"/>
                <w:sz w:val="11"/>
                <w:szCs w:val="11"/>
                <w:color w:val="008000"/>
                <w:w w:val="75"/>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35"/>
                <w:szCs w:val="35"/>
                <w:color w:val="000000"/>
                <w:w w:val="76"/>
                <w:vertAlign w:val="subscript"/>
              </w:rPr>
              <w:t>$</w:t>
            </w:r>
            <w:r>
              <w:rPr>
                <w:rFonts w:ascii="Arial" w:cs="Arial" w:eastAsia="Arial" w:hAnsi="Arial"/>
                <w:sz w:val="35"/>
                <w:szCs w:val="35"/>
                <w:color w:val="0000FF"/>
                <w:w w:val="76"/>
                <w:vertAlign w:val="subscript"/>
              </w:rPr>
              <w:t>322.28</w:t>
            </w:r>
            <w:r>
              <w:rPr>
                <w:rFonts w:ascii="Arial" w:cs="Arial" w:eastAsia="Arial" w:hAnsi="Arial"/>
                <w:sz w:val="11"/>
                <w:szCs w:val="11"/>
                <w:color w:val="008000"/>
                <w:w w:val="76"/>
              </w:rPr>
              <w:t>(1)(13)</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18,362,228</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03/21/2014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27,688</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323.3238</w:t>
            </w:r>
            <w:r>
              <w:rPr>
                <w:rFonts w:ascii="Arial" w:cs="Arial" w:eastAsia="Arial" w:hAnsi="Arial"/>
                <w:sz w:val="22"/>
                <w:szCs w:val="22"/>
                <w:color w:val="008000"/>
                <w:w w:val="83"/>
                <w:vertAlign w:val="superscript"/>
              </w:rPr>
              <w:t>(1)(14)</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18,389,916</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03/21/2014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31,754</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324.0934</w:t>
            </w:r>
            <w:r>
              <w:rPr>
                <w:rFonts w:ascii="Arial" w:cs="Arial" w:eastAsia="Arial" w:hAnsi="Arial"/>
                <w:sz w:val="22"/>
                <w:szCs w:val="22"/>
                <w:color w:val="008000"/>
                <w:w w:val="83"/>
                <w:vertAlign w:val="superscript"/>
              </w:rPr>
              <w:t>(1)(15)</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18,421,670</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03/21/2014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25,116</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325.187</w:t>
            </w:r>
            <w:r>
              <w:rPr>
                <w:rFonts w:ascii="Arial" w:cs="Arial" w:eastAsia="Arial" w:hAnsi="Arial"/>
                <w:sz w:val="22"/>
                <w:szCs w:val="22"/>
                <w:color w:val="008000"/>
                <w:w w:val="83"/>
                <w:vertAlign w:val="superscript"/>
              </w:rPr>
              <w:t>(1)(16)</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18,446,786</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03/21/2014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5"/>
                <w:vertAlign w:val="subscript"/>
              </w:rPr>
              <w:t>13,905</w:t>
            </w:r>
            <w:r>
              <w:rPr>
                <w:rFonts w:ascii="Arial" w:cs="Arial" w:eastAsia="Arial" w:hAnsi="Arial"/>
                <w:sz w:val="11"/>
                <w:szCs w:val="11"/>
                <w:color w:val="008000"/>
                <w:w w:val="75"/>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326.1081</w:t>
            </w:r>
            <w:r>
              <w:rPr>
                <w:rFonts w:ascii="Arial" w:cs="Arial" w:eastAsia="Arial" w:hAnsi="Arial"/>
                <w:sz w:val="22"/>
                <w:szCs w:val="22"/>
                <w:color w:val="008000"/>
                <w:w w:val="83"/>
                <w:vertAlign w:val="superscript"/>
              </w:rPr>
              <w:t>(1)(17)</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18,460,691</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03/21/2014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8,918</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327.0443</w:t>
            </w:r>
            <w:r>
              <w:rPr>
                <w:rFonts w:ascii="Arial" w:cs="Arial" w:eastAsia="Arial" w:hAnsi="Arial"/>
                <w:sz w:val="22"/>
                <w:szCs w:val="22"/>
                <w:color w:val="008000"/>
                <w:w w:val="83"/>
                <w:vertAlign w:val="superscript"/>
              </w:rPr>
              <w:t>(1)(18)</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18,469,609</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03/21/2014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7,476</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328.2175</w:t>
            </w:r>
            <w:r>
              <w:rPr>
                <w:rFonts w:ascii="Arial" w:cs="Arial" w:eastAsia="Arial" w:hAnsi="Arial"/>
                <w:sz w:val="22"/>
                <w:szCs w:val="22"/>
                <w:color w:val="008000"/>
                <w:w w:val="83"/>
                <w:vertAlign w:val="superscript"/>
              </w:rPr>
              <w:t>(1)(19)</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18,477,085</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03/21/2014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1,749</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329.1682</w:t>
            </w:r>
            <w:r>
              <w:rPr>
                <w:rFonts w:ascii="Arial" w:cs="Arial" w:eastAsia="Arial" w:hAnsi="Arial"/>
                <w:sz w:val="22"/>
                <w:szCs w:val="22"/>
                <w:color w:val="008000"/>
                <w:w w:val="83"/>
                <w:vertAlign w:val="superscript"/>
              </w:rPr>
              <w:t>(1)(20)</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18,478,834</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03/21/2014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81"/>
                <w:vertAlign w:val="subscript"/>
              </w:rPr>
              <w:t>506</w:t>
            </w:r>
            <w:r>
              <w:rPr>
                <w:rFonts w:ascii="Arial" w:cs="Arial" w:eastAsia="Arial" w:hAnsi="Arial"/>
                <w:sz w:val="11"/>
                <w:szCs w:val="11"/>
                <w:color w:val="008000"/>
                <w:w w:val="81"/>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330.3839</w:t>
            </w:r>
            <w:r>
              <w:rPr>
                <w:rFonts w:ascii="Arial" w:cs="Arial" w:eastAsia="Arial" w:hAnsi="Arial"/>
                <w:sz w:val="22"/>
                <w:szCs w:val="22"/>
                <w:color w:val="008000"/>
                <w:w w:val="83"/>
                <w:vertAlign w:val="superscript"/>
              </w:rPr>
              <w:t>(1)(21)</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18,479,340</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3460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3460115"/>
                    </a:xfrm>
                    <a:prstGeom prst="rect">
                      <a:avLst/>
                    </a:prstGeom>
                    <a:noFill/>
                  </pic:spPr>
                </pic:pic>
              </a:graphicData>
            </a:graphic>
          </wp:anchor>
        </w:drawing>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5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vMerge w:val="restart"/>
          </w:tcPr>
          <w:p>
            <w:pPr>
              <w:ind w:left="300"/>
              <w:spacing w:after="0"/>
              <w:rPr>
                <w:sz w:val="20"/>
                <w:szCs w:val="20"/>
                <w:color w:val="auto"/>
              </w:rPr>
            </w:pPr>
            <w:r>
              <w:rPr>
                <w:rFonts w:ascii="Arial" w:cs="Arial" w:eastAsia="Arial" w:hAnsi="Arial"/>
                <w:sz w:val="18"/>
                <w:szCs w:val="18"/>
                <w:color w:val="0000FF"/>
                <w:w w:val="90"/>
              </w:rPr>
              <w:t>03/21/2014</w:t>
            </w: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880" w:type="dxa"/>
            <w:vAlign w:val="bottom"/>
            <w:vMerge w:val="restart"/>
          </w:tcPr>
          <w:p>
            <w:pPr>
              <w:jc w:val="right"/>
              <w:ind w:right="41"/>
              <w:spacing w:after="0"/>
              <w:rPr>
                <w:sz w:val="20"/>
                <w:szCs w:val="20"/>
                <w:color w:val="auto"/>
              </w:rPr>
            </w:pPr>
            <w:r>
              <w:rPr>
                <w:rFonts w:ascii="Arial" w:cs="Arial" w:eastAsia="Arial" w:hAnsi="Arial"/>
                <w:sz w:val="35"/>
                <w:szCs w:val="35"/>
                <w:color w:val="0000FF"/>
                <w:w w:val="89"/>
                <w:vertAlign w:val="subscript"/>
              </w:rPr>
              <w:t>2,110</w:t>
            </w:r>
            <w:r>
              <w:rPr>
                <w:rFonts w:ascii="Arial" w:cs="Arial" w:eastAsia="Arial" w:hAnsi="Arial"/>
                <w:sz w:val="11"/>
                <w:szCs w:val="11"/>
                <w:color w:val="008000"/>
                <w:w w:val="89"/>
              </w:rPr>
              <w:t>(1)(2)</w:t>
            </w:r>
          </w:p>
        </w:tc>
        <w:tc>
          <w:tcPr>
            <w:tcW w:w="180" w:type="dxa"/>
            <w:vAlign w:val="bottom"/>
          </w:tcPr>
          <w:p>
            <w:pPr>
              <w:spacing w:after="0"/>
              <w:rPr>
                <w:sz w:val="22"/>
                <w:szCs w:val="22"/>
                <w:color w:val="auto"/>
              </w:rPr>
            </w:pPr>
          </w:p>
        </w:tc>
        <w:tc>
          <w:tcPr>
            <w:tcW w:w="38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1140" w:type="dxa"/>
            <w:vAlign w:val="bottom"/>
            <w:gridSpan w:val="2"/>
            <w:vMerge w:val="restart"/>
          </w:tcPr>
          <w:p>
            <w:pP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331.4914</w:t>
            </w:r>
            <w:r>
              <w:rPr>
                <w:rFonts w:ascii="Arial" w:cs="Arial" w:eastAsia="Arial" w:hAnsi="Arial"/>
                <w:sz w:val="22"/>
                <w:szCs w:val="22"/>
                <w:color w:val="008000"/>
                <w:w w:val="86"/>
                <w:vertAlign w:val="superscript"/>
              </w:rPr>
              <w:t>(1)(22)</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18,481,450</w:t>
            </w:r>
          </w:p>
        </w:tc>
        <w:tc>
          <w:tcPr>
            <w:tcW w:w="90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vMerge w:val="restart"/>
          </w:tcPr>
          <w:p>
            <w:pPr>
              <w:ind w:left="300"/>
              <w:spacing w:after="0"/>
              <w:rPr>
                <w:sz w:val="20"/>
                <w:szCs w:val="20"/>
                <w:color w:val="auto"/>
              </w:rPr>
            </w:pPr>
            <w:r>
              <w:rPr>
                <w:rFonts w:ascii="Arial" w:cs="Arial" w:eastAsia="Arial" w:hAnsi="Arial"/>
                <w:sz w:val="18"/>
                <w:szCs w:val="18"/>
                <w:color w:val="0000FF"/>
                <w:w w:val="90"/>
              </w:rPr>
              <w:t>03/21/2014</w:t>
            </w: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880" w:type="dxa"/>
            <w:vAlign w:val="bottom"/>
            <w:vMerge w:val="restart"/>
          </w:tcPr>
          <w:p>
            <w:pPr>
              <w:jc w:val="right"/>
              <w:ind w:right="41"/>
              <w:spacing w:after="0"/>
              <w:rPr>
                <w:sz w:val="20"/>
                <w:szCs w:val="20"/>
                <w:color w:val="auto"/>
              </w:rPr>
            </w:pPr>
            <w:r>
              <w:rPr>
                <w:rFonts w:ascii="Arial" w:cs="Arial" w:eastAsia="Arial" w:hAnsi="Arial"/>
                <w:sz w:val="35"/>
                <w:szCs w:val="35"/>
                <w:color w:val="0000FF"/>
                <w:w w:val="89"/>
                <w:vertAlign w:val="subscript"/>
              </w:rPr>
              <w:t>1,915</w:t>
            </w:r>
            <w:r>
              <w:rPr>
                <w:rFonts w:ascii="Arial" w:cs="Arial" w:eastAsia="Arial" w:hAnsi="Arial"/>
                <w:sz w:val="11"/>
                <w:szCs w:val="11"/>
                <w:color w:val="008000"/>
                <w:w w:val="89"/>
              </w:rPr>
              <w:t>(1)(2)</w:t>
            </w:r>
          </w:p>
        </w:tc>
        <w:tc>
          <w:tcPr>
            <w:tcW w:w="180" w:type="dxa"/>
            <w:vAlign w:val="bottom"/>
          </w:tcPr>
          <w:p>
            <w:pPr>
              <w:spacing w:after="0"/>
              <w:rPr>
                <w:sz w:val="22"/>
                <w:szCs w:val="22"/>
                <w:color w:val="auto"/>
              </w:rPr>
            </w:pPr>
          </w:p>
        </w:tc>
        <w:tc>
          <w:tcPr>
            <w:tcW w:w="38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1140" w:type="dxa"/>
            <w:vAlign w:val="bottom"/>
            <w:gridSpan w:val="2"/>
            <w:vMerge w:val="restart"/>
          </w:tcPr>
          <w:p>
            <w:pP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332.7833</w:t>
            </w:r>
            <w:r>
              <w:rPr>
                <w:rFonts w:ascii="Arial" w:cs="Arial" w:eastAsia="Arial" w:hAnsi="Arial"/>
                <w:sz w:val="22"/>
                <w:szCs w:val="22"/>
                <w:color w:val="008000"/>
                <w:w w:val="86"/>
                <w:vertAlign w:val="superscript"/>
              </w:rPr>
              <w:t>(1)(23)</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18,483,365</w:t>
            </w:r>
          </w:p>
        </w:tc>
        <w:tc>
          <w:tcPr>
            <w:tcW w:w="90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1"/>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8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3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8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3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ind w:left="2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3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18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80" w:type="dxa"/>
            <w:vAlign w:val="bottom"/>
          </w:tcPr>
          <w:p>
            <w:pPr>
              <w:ind w:left="200"/>
              <w:spacing w:after="0"/>
              <w:rPr>
                <w:sz w:val="20"/>
                <w:szCs w:val="20"/>
                <w:color w:val="auto"/>
              </w:rPr>
            </w:pPr>
            <w:r>
              <w:rPr>
                <w:rFonts w:ascii="Arial" w:cs="Arial" w:eastAsia="Arial" w:hAnsi="Arial"/>
                <w:sz w:val="12"/>
                <w:szCs w:val="12"/>
                <w:b w:val="1"/>
                <w:bCs w:val="1"/>
                <w:color w:val="auto"/>
              </w:rPr>
              <w:t>Shares</w:t>
            </w: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number of securities reported represents an aggregate number of shares purchased in multiple market transactions over a range of purchase prices. The price reported represents the weighted average price per share. The Reporting Person undertakes to provide the staff of the SEC, the Issuer, or a stockholder of the Issuer, upon request, the number of shares purchased by the Reporting Person at each separate price within the range.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acquired directly by sanofi-aventis Amerique du Nord ("SAAN").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$312.50 to $313.49 per share, inclusive.</w:t>
      </w:r>
    </w:p>
    <w:p>
      <w:pPr>
        <w:spacing w:after="0" w:line="41" w:lineRule="exact"/>
        <w:rPr>
          <w:rFonts w:ascii="Arial" w:cs="Arial" w:eastAsia="Arial" w:hAnsi="Arial"/>
          <w:sz w:val="14"/>
          <w:szCs w:val="14"/>
          <w:color w:val="008000"/>
        </w:rPr>
      </w:pPr>
    </w:p>
    <w:p>
      <w:pPr>
        <w:jc w:val="both"/>
        <w:ind w:left="40" w:right="14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Indirectly owned through (a) SAAN, a direct, wholly-owned subsidiary of Sanofi, and (b) Aventis Pharmaceuticals Inc. ("Aventis"), an indirect, wholly-owned subsidiary of SAAN. After giving effect to all acquisitions reported on this Form 4, the number of shares beneficially owned directly by SAAN and Aventis was 15,683,813 shares and 2,799,552 shares, respectively. Pursuant to the Amended and Restated Investor Agreement, dated as of January 11, 2014, by and among Sanofi, SAAN, sanofi-aventis US LLC, Aventis (collectively, the "Sanofi Parties") and the Issuer, the Sanofi Parties have agreed to vote their respective shares of the Issuer, subject to specified exceptions, in accordance with the recommendation of the Issuers Board of Directors.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$313.59 to $314.58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$314.59 to $315.55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$315.69 to $316.65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$316.71 to $317.70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$317.72 to $318.71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$318.72 to $319.71 per share, inclusive.</w:t>
      </w:r>
    </w:p>
    <w:p>
      <w:pPr>
        <w:spacing w:after="0" w:line="41" w:lineRule="exact"/>
        <w:rPr>
          <w:rFonts w:ascii="Arial" w:cs="Arial" w:eastAsia="Arial" w:hAnsi="Arial"/>
          <w:sz w:val="14"/>
          <w:szCs w:val="14"/>
          <w:color w:val="008000"/>
        </w:rPr>
      </w:pPr>
    </w:p>
    <w:p>
      <w:pPr>
        <w:ind w:left="240" w:hanging="191"/>
        <w:spacing w:after="0"/>
        <w:tabs>
          <w:tab w:leader="none" w:pos="2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Purchase prices range from $319.72 to $320.71 per share, inclusive.</w:t>
      </w:r>
    </w:p>
    <w:p>
      <w:pPr>
        <w:spacing w:after="0" w:line="64" w:lineRule="exact"/>
        <w:rPr>
          <w:rFonts w:ascii="Arial" w:cs="Arial" w:eastAsia="Arial" w:hAnsi="Arial"/>
          <w:sz w:val="12"/>
          <w:szCs w:val="12"/>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$320.75 to $321.74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$321.75 to $322.70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$322.75 to $323.74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$323.75 to $324.73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$324.75 to $325.73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$325.75 to $326.68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$326.78 to $327.60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$327.79 to $328.77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$328.82 to $329.61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$330.00 to $330.76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$331.05 to $331.99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$332.39 to $333.00 per share, inclusive.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Due to technical limitation of the number of transactions reported, this report is 1 of 2.</w:t>
      </w:r>
    </w:p>
    <w:p>
      <w:pPr>
        <w:spacing w:after="0" w:line="7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John Felitti, Associate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8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President, Corporate Law,</w:t>
      </w:r>
      <w:r>
        <w:rPr>
          <w:sz w:val="20"/>
          <w:szCs w:val="20"/>
          <w:color w:val="auto"/>
        </w:rPr>
        <w:tab/>
      </w:r>
      <w:r>
        <w:rPr>
          <w:rFonts w:ascii="Arial" w:cs="Arial" w:eastAsia="Arial" w:hAnsi="Arial"/>
          <w:sz w:val="15"/>
          <w:szCs w:val="15"/>
          <w:color w:val="0000FF"/>
        </w:rPr>
        <w:t>03/25/2014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Financial &amp;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230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1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2140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2019-12-17T05:12:33Z</dcterms:created>
  <dcterms:modified xsi:type="dcterms:W3CDTF">2019-12-17T05:12:33Z</dcterms:modified>
</cp:coreProperties>
</file>