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13d-101)</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14)*</w:t>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Karen Linehan</w:t>
      </w:r>
    </w:p>
    <w:p>
      <w:pPr>
        <w:jc w:val="center"/>
        <w:ind w:right="-99"/>
        <w:spacing w:after="0" w:line="238" w:lineRule="auto"/>
        <w:rPr>
          <w:sz w:val="20"/>
          <w:szCs w:val="20"/>
          <w:color w:val="auto"/>
        </w:rPr>
      </w:pPr>
      <w:r>
        <w:rPr>
          <w:rFonts w:ascii="Arial" w:cs="Arial" w:eastAsia="Arial" w:hAnsi="Arial"/>
          <w:sz w:val="22"/>
          <w:szCs w:val="22"/>
          <w:color w:val="auto"/>
        </w:rPr>
        <w:t>Executive Vice President, Legal Affairs and General Counsel</w:t>
      </w:r>
    </w:p>
    <w:p>
      <w:pPr>
        <w:jc w:val="center"/>
        <w:ind w:right="-99"/>
        <w:spacing w:after="0" w:line="230" w:lineRule="auto"/>
        <w:rPr>
          <w:sz w:val="20"/>
          <w:szCs w:val="20"/>
          <w:color w:val="auto"/>
        </w:rPr>
      </w:pPr>
      <w:r>
        <w:rPr>
          <w:rFonts w:ascii="Arial" w:cs="Arial" w:eastAsia="Arial" w:hAnsi="Arial"/>
          <w:sz w:val="22"/>
          <w:szCs w:val="22"/>
          <w:color w:val="auto"/>
        </w:rPr>
        <w:t>Sanofi</w:t>
      </w:r>
    </w:p>
    <w:p>
      <w:pPr>
        <w:jc w:val="center"/>
        <w:ind w:right="-99"/>
        <w:spacing w:after="0" w:line="231" w:lineRule="auto"/>
        <w:rPr>
          <w:sz w:val="20"/>
          <w:szCs w:val="20"/>
          <w:color w:val="auto"/>
        </w:rPr>
      </w:pPr>
      <w:r>
        <w:rPr>
          <w:rFonts w:ascii="Arial" w:cs="Arial" w:eastAsia="Arial" w:hAnsi="Arial"/>
          <w:sz w:val="22"/>
          <w:szCs w:val="22"/>
          <w:color w:val="auto"/>
        </w:rPr>
        <w:t>54, rue La Boétie, 75008</w:t>
      </w:r>
    </w:p>
    <w:p>
      <w:pPr>
        <w:jc w:val="center"/>
        <w:ind w:right="-99"/>
        <w:spacing w:after="0" w:line="231" w:lineRule="auto"/>
        <w:rPr>
          <w:sz w:val="20"/>
          <w:szCs w:val="20"/>
          <w:color w:val="auto"/>
        </w:rPr>
      </w:pPr>
      <w:r>
        <w:rPr>
          <w:rFonts w:ascii="Arial" w:cs="Arial" w:eastAsia="Arial" w:hAnsi="Arial"/>
          <w:sz w:val="22"/>
          <w:szCs w:val="22"/>
          <w:color w:val="auto"/>
        </w:rPr>
        <w:t>Paris, France</w:t>
      </w:r>
    </w:p>
    <w:p>
      <w:pPr>
        <w:jc w:val="center"/>
        <w:ind w:right="-99"/>
        <w:spacing w:after="0"/>
        <w:rPr>
          <w:sz w:val="20"/>
          <w:szCs w:val="20"/>
          <w:color w:val="auto"/>
        </w:rPr>
      </w:pPr>
      <w:r>
        <w:rPr>
          <w:rFonts w:ascii="Arial" w:cs="Arial" w:eastAsia="Arial" w:hAnsi="Arial"/>
          <w:sz w:val="22"/>
          <w:szCs w:val="22"/>
          <w:color w:val="auto"/>
        </w:rPr>
        <w:t>Telephone: +33 1 53 77 40 00</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Copy to:</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Michael J. Aiello, Esq.</w:t>
      </w:r>
    </w:p>
    <w:p>
      <w:pPr>
        <w:jc w:val="center"/>
        <w:ind w:right="-99"/>
        <w:spacing w:after="0" w:line="238" w:lineRule="auto"/>
        <w:rPr>
          <w:sz w:val="20"/>
          <w:szCs w:val="20"/>
          <w:color w:val="auto"/>
        </w:rPr>
      </w:pPr>
      <w:r>
        <w:rPr>
          <w:rFonts w:ascii="Arial" w:cs="Arial" w:eastAsia="Arial" w:hAnsi="Arial"/>
          <w:sz w:val="22"/>
          <w:szCs w:val="22"/>
          <w:color w:val="auto"/>
        </w:rPr>
        <w:t>Weil, Gotshal &amp; Manges LLP</w:t>
      </w:r>
    </w:p>
    <w:p>
      <w:pPr>
        <w:jc w:val="center"/>
        <w:ind w:right="-99"/>
        <w:spacing w:after="0" w:line="230" w:lineRule="auto"/>
        <w:rPr>
          <w:sz w:val="20"/>
          <w:szCs w:val="20"/>
          <w:color w:val="auto"/>
        </w:rPr>
      </w:pPr>
      <w:r>
        <w:rPr>
          <w:rFonts w:ascii="Arial" w:cs="Arial" w:eastAsia="Arial" w:hAnsi="Arial"/>
          <w:sz w:val="22"/>
          <w:szCs w:val="22"/>
          <w:color w:val="auto"/>
        </w:rPr>
        <w:t>767 Fifth Avenue</w:t>
      </w:r>
    </w:p>
    <w:p>
      <w:pPr>
        <w:jc w:val="center"/>
        <w:ind w:right="-99"/>
        <w:spacing w:after="0" w:line="236" w:lineRule="auto"/>
        <w:rPr>
          <w:sz w:val="20"/>
          <w:szCs w:val="20"/>
          <w:color w:val="auto"/>
        </w:rPr>
      </w:pPr>
      <w:r>
        <w:rPr>
          <w:rFonts w:ascii="Arial" w:cs="Arial" w:eastAsia="Arial" w:hAnsi="Arial"/>
          <w:sz w:val="22"/>
          <w:szCs w:val="22"/>
          <w:color w:val="auto"/>
        </w:rPr>
        <w:t>New York, New York 10153</w:t>
      </w:r>
    </w:p>
    <w:p>
      <w:pPr>
        <w:jc w:val="center"/>
        <w:ind w:right="-9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40"/>
        <w:spacing w:after="0" w:line="277" w:lineRule="exact"/>
        <w:rPr>
          <w:sz w:val="20"/>
          <w:szCs w:val="20"/>
          <w:color w:val="auto"/>
        </w:rPr>
      </w:pPr>
      <w:r>
        <w:rPr>
          <w:rFonts w:ascii="Arial" w:cs="Arial" w:eastAsia="Arial" w:hAnsi="Arial"/>
          <w:sz w:val="21"/>
          <w:szCs w:val="21"/>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21"/>
          <w:szCs w:val="21"/>
          <w:color w:val="auto"/>
        </w:rPr>
        <w:t>☒</w:t>
      </w:r>
    </w:p>
    <w:p>
      <w:pPr>
        <w:spacing w:after="0" w:line="189" w:lineRule="exact"/>
        <w:rPr>
          <w:sz w:val="24"/>
          <w:szCs w:val="24"/>
          <w:color w:val="auto"/>
        </w:rPr>
      </w:pPr>
    </w:p>
    <w:p>
      <w:pPr>
        <w:ind w:right="260"/>
        <w:spacing w:after="0" w:line="251" w:lineRule="auto"/>
        <w:rPr>
          <w:sz w:val="20"/>
          <w:szCs w:val="20"/>
          <w:color w:val="auto"/>
        </w:rPr>
      </w:pPr>
      <w:r>
        <w:rPr>
          <w:rFonts w:ascii="Arial" w:cs="Arial" w:eastAsia="Arial" w:hAnsi="Arial"/>
          <w:sz w:val="22"/>
          <w:szCs w:val="22"/>
          <w:i w:val="1"/>
          <w:iCs w:val="1"/>
          <w:color w:val="auto"/>
        </w:rPr>
        <w:t>Note</w:t>
      </w:r>
      <w:r>
        <w:rPr>
          <w:rFonts w:ascii="Arial" w:cs="Arial" w:eastAsia="Arial" w:hAnsi="Arial"/>
          <w:sz w:val="22"/>
          <w:szCs w:val="22"/>
          <w:color w:val="auto"/>
        </w:rPr>
        <w:t>. Schedules filed in paper format shall include a signed original and five copies of the schedule, including all exhibits.</w:t>
      </w:r>
      <w:r>
        <w:rPr>
          <w:rFonts w:ascii="Arial" w:cs="Arial" w:eastAsia="Arial" w:hAnsi="Arial"/>
          <w:sz w:val="22"/>
          <w:szCs w:val="22"/>
          <w:i w:val="1"/>
          <w:iCs w:val="1"/>
          <w:color w:val="auto"/>
        </w:rPr>
        <w:t xml:space="preserve"> See </w:t>
      </w:r>
      <w:r>
        <w:rPr>
          <w:rFonts w:ascii="Arial" w:cs="Arial" w:eastAsia="Arial" w:hAnsi="Arial"/>
          <w:sz w:val="22"/>
          <w:szCs w:val="22"/>
          <w:color w:val="auto"/>
        </w:rPr>
        <w:t>Rule 13d-7 for other parties to whom copies are to be sent.</w:t>
      </w:r>
    </w:p>
    <w:p>
      <w:pPr>
        <w:spacing w:after="0" w:line="200" w:lineRule="exact"/>
        <w:rPr>
          <w:sz w:val="24"/>
          <w:szCs w:val="24"/>
          <w:color w:val="auto"/>
        </w:rPr>
      </w:pPr>
    </w:p>
    <w:p>
      <w:pPr>
        <w:jc w:val="both"/>
        <w:ind w:right="20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13D</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Sanofi</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WC</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color w:val="auto"/>
              </w:rPr>
              <w:t>The Republic of France</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23,350,365 (1)</w:t>
            </w:r>
          </w:p>
        </w:tc>
        <w:tc>
          <w:tcPr>
            <w:tcW w:w="2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23,350,365 (1)</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23,350,365 (1)</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5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4"/>
              </w:rPr>
              <w:t>21.6% (2)</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firstLine="8"/>
        <w:spacing w:after="0" w:line="247" w:lineRule="auto"/>
        <w:tabs>
          <w:tab w:leader="none" w:pos="792" w:val="left"/>
        </w:tabs>
        <w:numPr>
          <w:ilvl w:val="0"/>
          <w:numId w:val="1"/>
        </w:numPr>
        <w:rPr>
          <w:rFonts w:ascii="Arial" w:cs="Arial" w:eastAsia="Arial" w:hAnsi="Arial"/>
          <w:sz w:val="21"/>
          <w:szCs w:val="21"/>
          <w:color w:val="auto"/>
        </w:rPr>
      </w:pPr>
      <w:r>
        <w:rPr>
          <w:rFonts w:ascii="Arial" w:cs="Arial" w:eastAsia="Arial" w:hAnsi="Arial"/>
          <w:sz w:val="21"/>
          <w:szCs w:val="21"/>
          <w:color w:val="auto"/>
        </w:rPr>
        <w:t>20,550,813 shares of Common Stock are held directly by Sanofi and 2,799,552 shares of Common Stock are held directly by Aventisub LLC (“Aventisub”). Aventisub is an indirect, wholly-owned subsidiary of Sanofi, and is the successor by merger to Aventis Pharmaceuticals Inc. (“</w:t>
      </w:r>
      <w:r>
        <w:rPr>
          <w:rFonts w:ascii="Arial" w:cs="Arial" w:eastAsia="Arial" w:hAnsi="Arial"/>
          <w:sz w:val="21"/>
          <w:szCs w:val="21"/>
          <w:u w:val="single" w:color="auto"/>
          <w:color w:val="auto"/>
        </w:rPr>
        <w:t>Aventis</w:t>
      </w:r>
      <w:r>
        <w:rPr>
          <w:rFonts w:ascii="Arial" w:cs="Arial" w:eastAsia="Arial" w:hAnsi="Arial"/>
          <w:sz w:val="21"/>
          <w:szCs w:val="21"/>
          <w:color w:val="auto"/>
        </w:rPr>
        <w:t>”). See Item 5 of the Schedule 13D. Pursuant to the Amended and Restated Investor Agreement, dated as of January 11, 2014, by and among Sanofi, sanofi-aventis US LLC, Aventis, sanofi-aventis Amérique du Nord (collectively, the “</w:t>
      </w:r>
      <w:r>
        <w:rPr>
          <w:rFonts w:ascii="Arial" w:cs="Arial" w:eastAsia="Arial" w:hAnsi="Arial"/>
          <w:sz w:val="21"/>
          <w:szCs w:val="21"/>
          <w:u w:val="single" w:color="auto"/>
          <w:color w:val="auto"/>
        </w:rPr>
        <w:t>Sanofi Parties</w:t>
      </w:r>
      <w:r>
        <w:rPr>
          <w:rFonts w:ascii="Arial" w:cs="Arial" w:eastAsia="Arial" w:hAnsi="Arial"/>
          <w:sz w:val="21"/>
          <w:szCs w:val="21"/>
          <w:color w:val="auto"/>
        </w:rPr>
        <w:t>”) and Regeneron Pharmaceuticals, Inc. (the “</w:t>
      </w:r>
      <w:r>
        <w:rPr>
          <w:rFonts w:ascii="Arial" w:cs="Arial" w:eastAsia="Arial" w:hAnsi="Arial"/>
          <w:sz w:val="21"/>
          <w:szCs w:val="21"/>
          <w:u w:val="single" w:color="auto"/>
          <w:color w:val="auto"/>
        </w:rPr>
        <w:t>Company</w:t>
      </w:r>
      <w:r>
        <w:rPr>
          <w:rFonts w:ascii="Arial" w:cs="Arial" w:eastAsia="Arial" w:hAnsi="Arial"/>
          <w:sz w:val="21"/>
          <w:szCs w:val="21"/>
          <w:color w:val="auto"/>
        </w:rPr>
        <w:t>”), the Sanofi Parties have agreed to vote their respective shares of the Company, subject to specified exceptions, in accordance with the recommendation of the Company’s Board of Directors.</w:t>
      </w:r>
    </w:p>
    <w:p>
      <w:pPr>
        <w:spacing w:after="0" w:line="205" w:lineRule="exact"/>
        <w:rPr>
          <w:rFonts w:ascii="Arial" w:cs="Arial" w:eastAsia="Arial" w:hAnsi="Arial"/>
          <w:sz w:val="21"/>
          <w:szCs w:val="21"/>
          <w:color w:val="auto"/>
        </w:rPr>
      </w:pPr>
    </w:p>
    <w:p>
      <w:pPr>
        <w:ind w:right="740" w:firstLine="8"/>
        <w:spacing w:after="0" w:line="328" w:lineRule="auto"/>
        <w:tabs>
          <w:tab w:leader="none" w:pos="792" w:val="left"/>
        </w:tabs>
        <w:numPr>
          <w:ilvl w:val="0"/>
          <w:numId w:val="1"/>
        </w:numPr>
        <w:rPr>
          <w:rFonts w:ascii="Arial" w:cs="Arial" w:eastAsia="Arial" w:hAnsi="Arial"/>
          <w:sz w:val="19"/>
          <w:szCs w:val="19"/>
          <w:color w:val="auto"/>
        </w:rPr>
      </w:pPr>
      <w:r>
        <w:rPr>
          <w:rFonts w:ascii="Arial" w:cs="Arial" w:eastAsia="Arial" w:hAnsi="Arial"/>
          <w:sz w:val="19"/>
          <w:szCs w:val="19"/>
          <w:color w:val="auto"/>
        </w:rPr>
        <w:t>Calculation based on 107,946,794 shares of Common Stock outstanding as of October 24, 2019, as reported in the Company’s Quarterly Report on Form 10-Q filed with the Securities and Exchange Commission on November 5, 2019.</w:t>
      </w:r>
    </w:p>
    <w:p>
      <w:pPr>
        <w:sectPr>
          <w:pgSz w:w="11900" w:h="16838" w:orient="portrait"/>
          <w:cols w:equalWidth="0" w:num="1">
            <w:col w:w="11420"/>
          </w:cols>
          <w:pgMar w:left="240" w:top="118" w:right="239" w:bottom="939"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39" w:gutter="0" w:footer="0" w:header="0"/>
          <w:type w:val="continuous"/>
        </w:sectPr>
      </w:pPr>
    </w:p>
    <w:bookmarkStart w:id="2" w:name="page3"/>
    <w:bookmarkEnd w:id="2"/>
    <w:p>
      <w:pPr>
        <w:ind w:right="60"/>
        <w:spacing w:after="0" w:line="236" w:lineRule="auto"/>
        <w:rPr>
          <w:sz w:val="20"/>
          <w:szCs w:val="20"/>
          <w:color w:val="auto"/>
        </w:rPr>
      </w:pPr>
      <w:r>
        <w:rPr>
          <w:rFonts w:ascii="Arial" w:cs="Arial" w:eastAsia="Arial" w:hAnsi="Arial"/>
          <w:sz w:val="22"/>
          <w:szCs w:val="22"/>
          <w:color w:val="auto"/>
        </w:rPr>
        <w:t>This Amendment No. 14 (“</w:t>
      </w:r>
      <w:r>
        <w:rPr>
          <w:rFonts w:ascii="Arial" w:cs="Arial" w:eastAsia="Arial" w:hAnsi="Arial"/>
          <w:sz w:val="22"/>
          <w:szCs w:val="22"/>
          <w:u w:val="single" w:color="auto"/>
          <w:color w:val="auto"/>
        </w:rPr>
        <w:t>Amendment No. 14</w:t>
      </w:r>
      <w:r>
        <w:rPr>
          <w:rFonts w:ascii="Arial" w:cs="Arial" w:eastAsia="Arial" w:hAnsi="Arial"/>
          <w:sz w:val="22"/>
          <w:szCs w:val="22"/>
          <w:color w:val="auto"/>
        </w:rPr>
        <w:t>”) amends the Statement on Schedule 13D first filed with the Securities and Exchange Commission on January 14, 2014, as amended (the “</w:t>
      </w:r>
      <w:r>
        <w:rPr>
          <w:rFonts w:ascii="Arial" w:cs="Arial" w:eastAsia="Arial" w:hAnsi="Arial"/>
          <w:sz w:val="22"/>
          <w:szCs w:val="22"/>
          <w:u w:val="single" w:color="auto"/>
          <w:color w:val="auto"/>
        </w:rPr>
        <w:t>Schedule 13D</w:t>
      </w:r>
      <w:r>
        <w:rPr>
          <w:rFonts w:ascii="Arial" w:cs="Arial" w:eastAsia="Arial" w:hAnsi="Arial"/>
          <w:sz w:val="22"/>
          <w:szCs w:val="22"/>
          <w:color w:val="auto"/>
        </w:rPr>
        <w:t>”), and is filed by Sanofi (“</w:t>
      </w:r>
      <w:r>
        <w:rPr>
          <w:rFonts w:ascii="Arial" w:cs="Arial" w:eastAsia="Arial" w:hAnsi="Arial"/>
          <w:sz w:val="22"/>
          <w:szCs w:val="22"/>
          <w:u w:val="single" w:color="auto"/>
          <w:color w:val="auto"/>
        </w:rPr>
        <w:t>Sanofi</w:t>
      </w:r>
      <w:r>
        <w:rPr>
          <w:rFonts w:ascii="Arial" w:cs="Arial" w:eastAsia="Arial" w:hAnsi="Arial"/>
          <w:sz w:val="22"/>
          <w:szCs w:val="22"/>
          <w:color w:val="auto"/>
        </w:rPr>
        <w:t>” or the “</w:t>
      </w:r>
      <w:r>
        <w:rPr>
          <w:rFonts w:ascii="Arial" w:cs="Arial" w:eastAsia="Arial" w:hAnsi="Arial"/>
          <w:sz w:val="22"/>
          <w:szCs w:val="22"/>
          <w:u w:val="single" w:color="auto"/>
          <w:color w:val="auto"/>
        </w:rPr>
        <w:t>Reporting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Person</w:t>
      </w:r>
      <w:r>
        <w:rPr>
          <w:rFonts w:ascii="Arial" w:cs="Arial" w:eastAsia="Arial" w:hAnsi="Arial"/>
          <w:sz w:val="22"/>
          <w:szCs w:val="22"/>
          <w:color w:val="auto"/>
        </w:rPr>
        <w:t>”) with respect to the common stock, $0.001 par value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Regeneron Pharmaceuticals, Inc. (the “</w:t>
      </w:r>
      <w:r>
        <w:rPr>
          <w:rFonts w:ascii="Arial" w:cs="Arial" w:eastAsia="Arial" w:hAnsi="Arial"/>
          <w:sz w:val="22"/>
          <w:szCs w:val="22"/>
          <w:u w:val="single" w:color="auto"/>
          <w:color w:val="auto"/>
        </w:rPr>
        <w:t>Issuer</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Capitalized terms used herein but not otherwise defined herein have the meanings given to them in the Schedule 13D.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supplemented as follows:</w:t>
      </w:r>
    </w:p>
    <w:p>
      <w:pPr>
        <w:spacing w:after="0" w:line="23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Schedule I of the Schedule 13D is replaced with Schedule I to this Amendment No. 14. During the last five years, to the best of the Reporting Person’s knowledge, none of the Scheduled Persons has been (1) convicted in a criminal proceeding (excluding traffic violations and other similar misdemeanors) or (2)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supplemented as follows:</w:t>
      </w:r>
    </w:p>
    <w:p>
      <w:pPr>
        <w:spacing w:after="0" w:line="233"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Following the expiration of the “Lock-Up Term” as defined in the Amended Investor Agreement, as amended by the Letter Agreement (i.e., generally beginning after December 20, 2020), the Reporting Person may dispose of its interest in all or a portion of the Common Stock beneficially owned by it at any time or from time to time, in public offerings, market or private transactions, through derivatives, or otherwise, at prices and other terms acceptable to the Reporting Person, depending on the Reporting Person’s preferred allocation of capital, alternative investment opportunities, market conditions, the price of the Common Stock and other factors that the Reporting Person deems relevant to its investment in the Company. Additionally, the Reporting Person may use all or a portion of the Common Stock beneficially owned by it as collateral following the expiration of the “Lock-Up Term”. Any such disposition or use of collateral will be effected in accordance with the terms of the Amended Investor Agreement (as amended by the Letter Agreement), including the limitations set forth in Section 5 of the Amended Investor Agreement. The foregoing is subject to change at any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in the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5 of the Schedule 13D is supplemented as follows:</w:t>
      </w:r>
    </w:p>
    <w:p>
      <w:pPr>
        <w:spacing w:after="0" w:line="233" w:lineRule="exact"/>
        <w:rPr>
          <w:sz w:val="20"/>
          <w:szCs w:val="20"/>
          <w:color w:val="auto"/>
        </w:rPr>
      </w:pPr>
    </w:p>
    <w:p>
      <w:pPr>
        <w:ind w:right="40" w:firstLine="656"/>
        <w:spacing w:after="0" w:line="279" w:lineRule="auto"/>
        <w:tabs>
          <w:tab w:leader="none" w:pos="942" w:val="left"/>
        </w:tabs>
        <w:numPr>
          <w:ilvl w:val="0"/>
          <w:numId w:val="2"/>
        </w:numPr>
        <w:rPr>
          <w:rFonts w:ascii="Arial" w:cs="Arial" w:eastAsia="Arial" w:hAnsi="Arial"/>
          <w:sz w:val="19"/>
          <w:szCs w:val="19"/>
          <w:color w:val="auto"/>
        </w:rPr>
      </w:pPr>
      <w:r>
        <w:rPr>
          <w:rFonts w:ascii="Arial" w:cs="Arial" w:eastAsia="Arial" w:hAnsi="Arial"/>
          <w:sz w:val="19"/>
          <w:szCs w:val="19"/>
          <w:color w:val="auto"/>
        </w:rPr>
        <w:t>and (b) The responses of the Reporting Person to Rows (7) through (13) of the cover page of this Amendment No. 14 as of December 9, 2019, are incorporated herein by reference. As of December 9, 2019, the Reporting Person beneficially owned 23,350,365 shares of Common Stock, representing approximately 21.6% of the shares of Common Stock outstanding (based on 107,946,794 shares of Common Stock outstanding as of October 24, 2019, as reported in the Company’s Quarterly Report on Form 10-Q filed with the Securities and Exchange Commission on November 5, 2019). The Reporting Person may be deemed to have shared voting and dispositive power with respect to the shares of Common Stock directly owned by Aventisub, its subsidiary.</w:t>
      </w:r>
    </w:p>
    <w:p>
      <w:pPr>
        <w:spacing w:after="0" w:line="178"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To the Reporting Person’s knowledge, none of the directors or executive officers of the Reporting Persons listed on Schedule I to the Schedule 13D beneficially owns any shares of Common Stock as of December 9, 2019.</w:t>
      </w:r>
    </w:p>
    <w:p>
      <w:pPr>
        <w:spacing w:after="0" w:line="178" w:lineRule="exact"/>
        <w:rPr>
          <w:sz w:val="20"/>
          <w:szCs w:val="20"/>
          <w:color w:val="auto"/>
        </w:rPr>
      </w:pPr>
    </w:p>
    <w:p>
      <w:pPr>
        <w:ind w:right="20" w:firstLine="656"/>
        <w:spacing w:after="0" w:line="251" w:lineRule="auto"/>
        <w:tabs>
          <w:tab w:leader="none" w:pos="996"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the last sixty days through and including December 9, 2019, no transactions were effected in the Common Stock by the Reporting Person.</w:t>
      </w:r>
    </w:p>
    <w:p>
      <w:pPr>
        <w:spacing w:after="0" w:line="200"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78" w:lineRule="exact"/>
        <w:rPr>
          <w:sz w:val="20"/>
          <w:szCs w:val="20"/>
          <w:color w:val="auto"/>
        </w:rPr>
      </w:pPr>
    </w:p>
    <w:p>
      <w:pPr>
        <w:ind w:left="1020" w:hanging="364"/>
        <w:spacing w:after="0"/>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Alexandra 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0359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0" w:lineRule="exact"/>
        <w:rPr>
          <w:sz w:val="20"/>
          <w:szCs w:val="20"/>
          <w:color w:val="auto"/>
        </w:rPr>
      </w:pPr>
    </w:p>
    <w:p>
      <w:pPr>
        <w:ind w:left="6060"/>
        <w:spacing w:after="0"/>
        <w:tabs>
          <w:tab w:leader="none" w:pos="6720" w:val="left"/>
        </w:tabs>
        <w:rPr>
          <w:sz w:val="20"/>
          <w:szCs w:val="20"/>
          <w:color w:val="auto"/>
        </w:rPr>
      </w:pPr>
      <w:r>
        <w:rPr>
          <w:rFonts w:ascii="Arial" w:cs="Arial" w:eastAsia="Arial" w:hAnsi="Arial"/>
          <w:sz w:val="18"/>
          <w:szCs w:val="18"/>
          <w:color w:val="auto"/>
        </w:rPr>
        <w:t>Name:</w:t>
        <w:tab/>
        <w:t>Alexandra Roger</w:t>
      </w:r>
    </w:p>
    <w:p>
      <w:pPr>
        <w:spacing w:after="0" w:line="23" w:lineRule="exact"/>
        <w:rPr>
          <w:sz w:val="20"/>
          <w:szCs w:val="20"/>
          <w:color w:val="auto"/>
        </w:rPr>
      </w:pPr>
    </w:p>
    <w:p>
      <w:pPr>
        <w:ind w:left="606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2"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SCHEDULE I</w:t>
      </w:r>
    </w:p>
    <w:p>
      <w:pPr>
        <w:spacing w:after="0" w:line="23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Name, business address, present principal occupation or employment and place of citizenship of the directors and executive officers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SANOFI</w:t>
      </w:r>
    </w:p>
    <w:p>
      <w:pPr>
        <w:spacing w:after="0" w:line="239"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The name, business address and present principal occupation or employment of each of the directors and executive officers of Sanofi are set forth below. Unless otherwise indicated, the business address of each director and executive officer is Sanofi, 54 rue La Boétie, 75008 Paris, France. Unless otherwise indicated, each director and executive officer is a citizen of France.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ind w:left="580"/>
              <w:spacing w:after="0"/>
              <w:rPr>
                <w:sz w:val="20"/>
                <w:szCs w:val="20"/>
                <w:color w:val="auto"/>
              </w:rPr>
            </w:pPr>
            <w:r>
              <w:rPr>
                <w:rFonts w:ascii="Arial" w:cs="Arial" w:eastAsia="Arial" w:hAnsi="Arial"/>
                <w:sz w:val="18"/>
                <w:szCs w:val="18"/>
                <w:b w:val="1"/>
                <w:bCs w:val="1"/>
                <w:color w:val="auto"/>
              </w:rPr>
              <w:t>Name</w:t>
            </w:r>
          </w:p>
        </w:tc>
        <w:tc>
          <w:tcPr>
            <w:tcW w:w="7980" w:type="dxa"/>
            <w:vAlign w:val="bottom"/>
          </w:tcPr>
          <w:p>
            <w:pPr>
              <w:ind w:left="1120"/>
              <w:spacing w:after="0"/>
              <w:rPr>
                <w:sz w:val="20"/>
                <w:szCs w:val="20"/>
                <w:color w:val="auto"/>
              </w:rPr>
            </w:pPr>
            <w:r>
              <w:rPr>
                <w:rFonts w:ascii="Arial" w:cs="Arial" w:eastAsia="Arial" w:hAnsi="Arial"/>
                <w:sz w:val="18"/>
                <w:szCs w:val="18"/>
                <w:b w:val="1"/>
                <w:bCs w:val="1"/>
                <w:color w:val="auto"/>
              </w:rPr>
              <w:t>Present Principal Occupation or Employment and Name and Principal Address</w:t>
            </w:r>
          </w:p>
        </w:tc>
      </w:tr>
      <w:tr>
        <w:trPr>
          <w:trHeight w:val="234"/>
        </w:trPr>
        <w:tc>
          <w:tcPr>
            <w:tcW w:w="3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Arial" w:cs="Arial" w:eastAsia="Arial" w:hAnsi="Arial"/>
                <w:sz w:val="18"/>
                <w:szCs w:val="18"/>
                <w:b w:val="1"/>
                <w:bCs w:val="1"/>
                <w:color w:val="auto"/>
              </w:rPr>
              <w:t>of Corporation in which Employment is Conducted at Sanofi</w:t>
            </w:r>
          </w:p>
        </w:tc>
      </w:tr>
      <w:tr>
        <w:trPr>
          <w:trHeight w:val="432"/>
        </w:trPr>
        <w:tc>
          <w:tcPr>
            <w:tcW w:w="3440" w:type="dxa"/>
            <w:vAlign w:val="bottom"/>
          </w:tcPr>
          <w:p>
            <w:pPr>
              <w:ind w:left="580"/>
              <w:spacing w:after="0"/>
              <w:rPr>
                <w:sz w:val="20"/>
                <w:szCs w:val="20"/>
                <w:color w:val="auto"/>
              </w:rPr>
            </w:pPr>
            <w:r>
              <w:rPr>
                <w:rFonts w:ascii="Arial" w:cs="Arial" w:eastAsia="Arial" w:hAnsi="Arial"/>
                <w:sz w:val="18"/>
                <w:szCs w:val="18"/>
                <w:color w:val="auto"/>
              </w:rPr>
              <w:t>Serge Weinberg</w:t>
            </w:r>
          </w:p>
        </w:tc>
        <w:tc>
          <w:tcPr>
            <w:tcW w:w="7980" w:type="dxa"/>
            <w:vAlign w:val="bottom"/>
          </w:tcPr>
          <w:p>
            <w:pPr>
              <w:ind w:left="1120"/>
              <w:spacing w:after="0"/>
              <w:rPr>
                <w:sz w:val="20"/>
                <w:szCs w:val="20"/>
                <w:color w:val="auto"/>
              </w:rPr>
            </w:pPr>
            <w:r>
              <w:rPr>
                <w:rFonts w:ascii="Arial" w:cs="Arial" w:eastAsia="Arial" w:hAnsi="Arial"/>
                <w:sz w:val="18"/>
                <w:szCs w:val="18"/>
                <w:color w:val="auto"/>
              </w:rPr>
              <w:t>Chairman of the Board of Directors of Sanofi, Chairman of Weinberg Capital Partners</w:t>
            </w: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Paul Hudson</w:t>
            </w:r>
          </w:p>
        </w:tc>
        <w:tc>
          <w:tcPr>
            <w:tcW w:w="7980" w:type="dxa"/>
            <w:vAlign w:val="bottom"/>
          </w:tcPr>
          <w:p>
            <w:pPr>
              <w:ind w:left="1120"/>
              <w:spacing w:after="0"/>
              <w:rPr>
                <w:sz w:val="20"/>
                <w:szCs w:val="20"/>
                <w:color w:val="auto"/>
              </w:rPr>
            </w:pPr>
            <w:r>
              <w:rPr>
                <w:rFonts w:ascii="Arial" w:cs="Arial" w:eastAsia="Arial" w:hAnsi="Arial"/>
                <w:sz w:val="18"/>
                <w:szCs w:val="18"/>
                <w:color w:val="auto"/>
              </w:rPr>
              <w:t>Chief Executive Officer of Sanofi</w:t>
            </w:r>
          </w:p>
        </w:tc>
      </w:tr>
      <w:tr>
        <w:trPr>
          <w:trHeight w:val="230"/>
        </w:trPr>
        <w:tc>
          <w:tcPr>
            <w:tcW w:w="344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980" w:type="dxa"/>
            <w:vAlign w:val="bottom"/>
          </w:tcPr>
          <w:p>
            <w:pPr>
              <w:spacing w:after="0"/>
              <w:rPr>
                <w:sz w:val="20"/>
                <w:szCs w:val="20"/>
                <w:color w:val="auto"/>
              </w:rPr>
            </w:pPr>
          </w:p>
        </w:tc>
      </w:tr>
      <w:tr>
        <w:trPr>
          <w:trHeight w:val="432"/>
        </w:trPr>
        <w:tc>
          <w:tcPr>
            <w:tcW w:w="3440" w:type="dxa"/>
            <w:vAlign w:val="bottom"/>
          </w:tcPr>
          <w:p>
            <w:pPr>
              <w:ind w:left="580"/>
              <w:spacing w:after="0"/>
              <w:rPr>
                <w:sz w:val="20"/>
                <w:szCs w:val="20"/>
                <w:color w:val="auto"/>
              </w:rPr>
            </w:pPr>
            <w:r>
              <w:rPr>
                <w:rFonts w:ascii="Arial" w:cs="Arial" w:eastAsia="Arial" w:hAnsi="Arial"/>
                <w:sz w:val="18"/>
                <w:szCs w:val="18"/>
                <w:color w:val="auto"/>
              </w:rPr>
              <w:t>Laurent Attal</w:t>
            </w:r>
          </w:p>
        </w:tc>
        <w:tc>
          <w:tcPr>
            <w:tcW w:w="7980" w:type="dxa"/>
            <w:vAlign w:val="bottom"/>
          </w:tcPr>
          <w:p>
            <w:pPr>
              <w:ind w:left="1120"/>
              <w:spacing w:after="0"/>
              <w:rPr>
                <w:sz w:val="20"/>
                <w:szCs w:val="20"/>
                <w:color w:val="auto"/>
              </w:rPr>
            </w:pPr>
            <w:r>
              <w:rPr>
                <w:rFonts w:ascii="Arial" w:cs="Arial" w:eastAsia="Arial" w:hAnsi="Arial"/>
                <w:sz w:val="18"/>
                <w:szCs w:val="18"/>
                <w:color w:val="auto"/>
              </w:rPr>
              <w:t>Director at Sanofi, Executive Vice President–Research and Innovation at L’Oréal</w:t>
            </w: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Emmanuel Babeau</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 at Sanofi, Deputy Chief Executive Offer – Finance &amp; Legal</w:t>
            </w:r>
          </w:p>
        </w:tc>
      </w:tr>
      <w:tr>
        <w:trPr>
          <w:trHeight w:val="230"/>
        </w:trPr>
        <w:tc>
          <w:tcPr>
            <w:tcW w:w="3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Arial" w:cs="Arial" w:eastAsia="Arial" w:hAnsi="Arial"/>
                <w:sz w:val="18"/>
                <w:szCs w:val="18"/>
                <w:color w:val="auto"/>
              </w:rPr>
              <w:t>Affairs of Schneider Electric</w:t>
            </w:r>
          </w:p>
        </w:tc>
      </w:tr>
      <w:tr>
        <w:trPr>
          <w:trHeight w:val="432"/>
        </w:trPr>
        <w:tc>
          <w:tcPr>
            <w:tcW w:w="3440" w:type="dxa"/>
            <w:vAlign w:val="bottom"/>
          </w:tcPr>
          <w:p>
            <w:pPr>
              <w:ind w:left="580"/>
              <w:spacing w:after="0"/>
              <w:rPr>
                <w:sz w:val="20"/>
                <w:szCs w:val="20"/>
                <w:color w:val="auto"/>
              </w:rPr>
            </w:pPr>
            <w:r>
              <w:rPr>
                <w:rFonts w:ascii="Arial" w:cs="Arial" w:eastAsia="Arial" w:hAnsi="Arial"/>
                <w:sz w:val="18"/>
                <w:szCs w:val="18"/>
                <w:color w:val="auto"/>
              </w:rPr>
              <w:t>Christopher Babule</w:t>
            </w:r>
          </w:p>
        </w:tc>
        <w:tc>
          <w:tcPr>
            <w:tcW w:w="7980" w:type="dxa"/>
            <w:vAlign w:val="bottom"/>
          </w:tcPr>
          <w:p>
            <w:pPr>
              <w:ind w:left="1120"/>
              <w:spacing w:after="0"/>
              <w:rPr>
                <w:sz w:val="20"/>
                <w:szCs w:val="20"/>
                <w:color w:val="auto"/>
              </w:rPr>
            </w:pPr>
            <w:r>
              <w:rPr>
                <w:rFonts w:ascii="Arial" w:cs="Arial" w:eastAsia="Arial" w:hAnsi="Arial"/>
                <w:sz w:val="18"/>
                <w:szCs w:val="18"/>
                <w:color w:val="auto"/>
              </w:rPr>
              <w:t>Director at Sanofi, Executive Vice President, Chief Financial Officer of L’Oréal</w:t>
            </w: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Bernard Charlès</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 at Sanofi, Vice Chairman of the Board of Directors and CEO of</w:t>
            </w:r>
          </w:p>
        </w:tc>
      </w:tr>
      <w:tr>
        <w:trPr>
          <w:trHeight w:val="230"/>
        </w:trPr>
        <w:tc>
          <w:tcPr>
            <w:tcW w:w="3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Arial" w:cs="Arial" w:eastAsia="Arial" w:hAnsi="Arial"/>
                <w:sz w:val="18"/>
                <w:szCs w:val="18"/>
                <w:color w:val="auto"/>
              </w:rPr>
              <w:t>Dassault Systèmes SE</w:t>
            </w:r>
          </w:p>
        </w:tc>
      </w:tr>
      <w:tr>
        <w:trPr>
          <w:trHeight w:val="432"/>
        </w:trPr>
        <w:tc>
          <w:tcPr>
            <w:tcW w:w="3440" w:type="dxa"/>
            <w:vAlign w:val="bottom"/>
          </w:tcPr>
          <w:p>
            <w:pPr>
              <w:ind w:left="580"/>
              <w:spacing w:after="0"/>
              <w:rPr>
                <w:sz w:val="20"/>
                <w:szCs w:val="20"/>
                <w:color w:val="auto"/>
              </w:rPr>
            </w:pPr>
            <w:r>
              <w:rPr>
                <w:rFonts w:ascii="Arial" w:cs="Arial" w:eastAsia="Arial" w:hAnsi="Arial"/>
                <w:sz w:val="18"/>
                <w:szCs w:val="18"/>
                <w:color w:val="auto"/>
              </w:rPr>
              <w:t>Claudie Haigneré</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w:t>
            </w: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Patrick Kron</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 at Sanofi, Chairman and CEO of Imerys , Chairman of Truffle</w:t>
            </w:r>
          </w:p>
        </w:tc>
      </w:tr>
      <w:tr>
        <w:trPr>
          <w:trHeight w:val="230"/>
        </w:trPr>
        <w:tc>
          <w:tcPr>
            <w:tcW w:w="3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Arial" w:cs="Arial" w:eastAsia="Arial" w:hAnsi="Arial"/>
                <w:sz w:val="18"/>
                <w:szCs w:val="18"/>
                <w:color w:val="auto"/>
              </w:rPr>
              <w:t>Capital</w:t>
            </w: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Fabienne Lecorvaisier</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 at Sanofi, Executive Vice President, Chief Financial Officer and</w:t>
            </w:r>
          </w:p>
        </w:tc>
      </w:tr>
      <w:tr>
        <w:trPr>
          <w:trHeight w:val="230"/>
        </w:trPr>
        <w:tc>
          <w:tcPr>
            <w:tcW w:w="3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Arial" w:cs="Arial" w:eastAsia="Arial" w:hAnsi="Arial"/>
                <w:sz w:val="18"/>
                <w:szCs w:val="18"/>
                <w:color w:val="auto"/>
              </w:rPr>
              <w:t>Executive Committee Member of Air Liquide</w:t>
            </w: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Melanie Lee</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 at Sanofi, Chief Executive Officer of LifeArc</w:t>
            </w:r>
          </w:p>
        </w:tc>
      </w:tr>
      <w:tr>
        <w:trPr>
          <w:trHeight w:val="230"/>
        </w:trPr>
        <w:tc>
          <w:tcPr>
            <w:tcW w:w="344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980" w:type="dxa"/>
            <w:vAlign w:val="bottom"/>
          </w:tcPr>
          <w:p>
            <w:pPr>
              <w:spacing w:after="0"/>
              <w:rPr>
                <w:sz w:val="20"/>
                <w:szCs w:val="20"/>
                <w:color w:val="auto"/>
              </w:rPr>
            </w:pPr>
          </w:p>
        </w:tc>
      </w:tr>
      <w:tr>
        <w:trPr>
          <w:trHeight w:val="418"/>
        </w:trPr>
        <w:tc>
          <w:tcPr>
            <w:tcW w:w="3440" w:type="dxa"/>
            <w:vAlign w:val="bottom"/>
          </w:tcPr>
          <w:p>
            <w:pPr>
              <w:ind w:left="580"/>
              <w:spacing w:after="0"/>
              <w:rPr>
                <w:sz w:val="20"/>
                <w:szCs w:val="20"/>
                <w:color w:val="auto"/>
              </w:rPr>
            </w:pPr>
            <w:r>
              <w:rPr>
                <w:rFonts w:ascii="Arial" w:cs="Arial" w:eastAsia="Arial" w:hAnsi="Arial"/>
                <w:sz w:val="18"/>
                <w:szCs w:val="18"/>
                <w:color w:val="auto"/>
              </w:rPr>
              <w:t>Suet-Fern Lee</w:t>
            </w:r>
          </w:p>
        </w:tc>
        <w:tc>
          <w:tcPr>
            <w:tcW w:w="7980" w:type="dxa"/>
            <w:vAlign w:val="bottom"/>
          </w:tcPr>
          <w:p>
            <w:pPr>
              <w:ind w:left="1120"/>
              <w:spacing w:after="0"/>
              <w:rPr>
                <w:sz w:val="20"/>
                <w:szCs w:val="20"/>
                <w:color w:val="auto"/>
              </w:rPr>
            </w:pPr>
            <w:r>
              <w:rPr>
                <w:rFonts w:ascii="Arial" w:cs="Arial" w:eastAsia="Arial" w:hAnsi="Arial"/>
                <w:sz w:val="18"/>
                <w:szCs w:val="18"/>
                <w:color w:val="auto"/>
              </w:rPr>
              <w:t>Independent Director at Sanofi, Senior Partner at Morgan Lewis Stamford LLC and</w:t>
            </w:r>
          </w:p>
        </w:tc>
      </w:tr>
      <w:tr>
        <w:trPr>
          <w:trHeight w:val="230"/>
        </w:trPr>
        <w:tc>
          <w:tcPr>
            <w:tcW w:w="3440" w:type="dxa"/>
            <w:vAlign w:val="bottom"/>
          </w:tcPr>
          <w:p>
            <w:pPr>
              <w:ind w:left="580"/>
              <w:spacing w:after="0"/>
              <w:rPr>
                <w:sz w:val="20"/>
                <w:szCs w:val="20"/>
                <w:color w:val="auto"/>
              </w:rPr>
            </w:pPr>
            <w:r>
              <w:rPr>
                <w:rFonts w:ascii="Arial" w:cs="Arial" w:eastAsia="Arial" w:hAnsi="Arial"/>
                <w:sz w:val="18"/>
                <w:szCs w:val="18"/>
                <w:color w:val="auto"/>
              </w:rPr>
              <w:t>Singaporean citizenship</w:t>
            </w:r>
          </w:p>
        </w:tc>
        <w:tc>
          <w:tcPr>
            <w:tcW w:w="7980" w:type="dxa"/>
            <w:vAlign w:val="bottom"/>
          </w:tcPr>
          <w:p>
            <w:pPr>
              <w:ind w:left="1120"/>
              <w:spacing w:after="0"/>
              <w:rPr>
                <w:sz w:val="20"/>
                <w:szCs w:val="20"/>
                <w:color w:val="auto"/>
              </w:rPr>
            </w:pPr>
            <w:r>
              <w:rPr>
                <w:rFonts w:ascii="Arial" w:cs="Arial" w:eastAsia="Arial" w:hAnsi="Arial"/>
                <w:sz w:val="18"/>
                <w:szCs w:val="18"/>
                <w:color w:val="auto"/>
              </w:rPr>
              <w:t>Chairwoman of the International Leadership Team of Morgan Lewis &amp; Bockius LLP</w:t>
            </w:r>
          </w:p>
        </w:tc>
      </w:tr>
      <w:tr>
        <w:trPr>
          <w:trHeight w:val="582"/>
        </w:trPr>
        <w:tc>
          <w:tcPr>
            <w:tcW w:w="3440" w:type="dxa"/>
            <w:vAlign w:val="bottom"/>
          </w:tcPr>
          <w:p>
            <w:pPr>
              <w:spacing w:after="0"/>
              <w:rPr>
                <w:sz w:val="24"/>
                <w:szCs w:val="24"/>
                <w:color w:val="auto"/>
              </w:rPr>
            </w:pPr>
          </w:p>
        </w:tc>
        <w:tc>
          <w:tcPr>
            <w:tcW w:w="7980" w:type="dxa"/>
            <w:vAlign w:val="bottom"/>
          </w:tcPr>
          <w:p>
            <w:pPr>
              <w:ind w:left="2240"/>
              <w:spacing w:after="0"/>
              <w:rPr>
                <w:sz w:val="20"/>
                <w:szCs w:val="20"/>
                <w:color w:val="auto"/>
              </w:rPr>
            </w:pPr>
            <w:r>
              <w:rPr>
                <w:rFonts w:ascii="Arial" w:cs="Arial" w:eastAsia="Arial" w:hAnsi="Arial"/>
                <w:sz w:val="14"/>
                <w:szCs w:val="14"/>
                <w:color w:val="auto"/>
              </w:rPr>
              <w:t>5</w:t>
            </w:r>
          </w:p>
        </w:tc>
      </w:tr>
      <w:tr>
        <w:trPr>
          <w:trHeight w:val="46"/>
        </w:trPr>
        <w:tc>
          <w:tcPr>
            <w:tcW w:w="3440" w:type="dxa"/>
            <w:vAlign w:val="bottom"/>
            <w:tcBorders>
              <w:bottom w:val="single" w:sz="8" w:color="auto"/>
            </w:tcBorders>
          </w:tcPr>
          <w:p>
            <w:pPr>
              <w:spacing w:after="0"/>
              <w:rPr>
                <w:sz w:val="4"/>
                <w:szCs w:val="4"/>
                <w:color w:val="auto"/>
              </w:rPr>
            </w:pPr>
          </w:p>
        </w:tc>
        <w:tc>
          <w:tcPr>
            <w:tcW w:w="79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ind w:left="580"/>
              <w:spacing w:after="0"/>
              <w:rPr>
                <w:sz w:val="20"/>
                <w:szCs w:val="20"/>
                <w:color w:val="auto"/>
              </w:rPr>
            </w:pPr>
            <w:r>
              <w:rPr>
                <w:rFonts w:ascii="Arial" w:cs="Arial" w:eastAsia="Arial" w:hAnsi="Arial"/>
                <w:sz w:val="18"/>
                <w:szCs w:val="18"/>
                <w:b w:val="1"/>
                <w:bCs w:val="1"/>
                <w:color w:val="auto"/>
              </w:rPr>
              <w:t>Name</w:t>
            </w:r>
          </w:p>
        </w:tc>
        <w:tc>
          <w:tcPr>
            <w:tcW w:w="7800" w:type="dxa"/>
            <w:vAlign w:val="bottom"/>
          </w:tcPr>
          <w:p>
            <w:pPr>
              <w:ind w:left="940"/>
              <w:spacing w:after="0"/>
              <w:rPr>
                <w:sz w:val="20"/>
                <w:szCs w:val="20"/>
                <w:color w:val="auto"/>
              </w:rPr>
            </w:pPr>
            <w:r>
              <w:rPr>
                <w:rFonts w:ascii="Arial" w:cs="Arial" w:eastAsia="Arial" w:hAnsi="Arial"/>
                <w:sz w:val="18"/>
                <w:szCs w:val="18"/>
                <w:b w:val="1"/>
                <w:bCs w:val="1"/>
                <w:color w:val="auto"/>
              </w:rPr>
              <w:t>Present Principal Occupation or Employment and Name and Principal Address</w:t>
            </w:r>
          </w:p>
        </w:tc>
      </w:tr>
      <w:tr>
        <w:trPr>
          <w:trHeight w:val="234"/>
        </w:trPr>
        <w:tc>
          <w:tcPr>
            <w:tcW w:w="3620" w:type="dxa"/>
            <w:vAlign w:val="bottom"/>
          </w:tcPr>
          <w:p>
            <w:pPr>
              <w:spacing w:after="0"/>
              <w:rPr>
                <w:sz w:val="20"/>
                <w:szCs w:val="20"/>
                <w:color w:val="auto"/>
              </w:rPr>
            </w:pPr>
          </w:p>
        </w:tc>
        <w:tc>
          <w:tcPr>
            <w:tcW w:w="7800" w:type="dxa"/>
            <w:vAlign w:val="bottom"/>
          </w:tcPr>
          <w:p>
            <w:pPr>
              <w:ind w:left="940"/>
              <w:spacing w:after="0"/>
              <w:rPr>
                <w:sz w:val="20"/>
                <w:szCs w:val="20"/>
                <w:color w:val="auto"/>
              </w:rPr>
            </w:pPr>
            <w:r>
              <w:rPr>
                <w:rFonts w:ascii="Arial" w:cs="Arial" w:eastAsia="Arial" w:hAnsi="Arial"/>
                <w:sz w:val="18"/>
                <w:szCs w:val="18"/>
                <w:b w:val="1"/>
                <w:bCs w:val="1"/>
                <w:color w:val="auto"/>
              </w:rPr>
              <w:t>of Corporation in which Employment is Conducted at Sanofi</w:t>
            </w:r>
          </w:p>
        </w:tc>
      </w:tr>
      <w:tr>
        <w:trPr>
          <w:trHeight w:val="418"/>
        </w:trPr>
        <w:tc>
          <w:tcPr>
            <w:tcW w:w="3620" w:type="dxa"/>
            <w:vAlign w:val="bottom"/>
          </w:tcPr>
          <w:p>
            <w:pPr>
              <w:ind w:left="580"/>
              <w:spacing w:after="0"/>
              <w:rPr>
                <w:sz w:val="20"/>
                <w:szCs w:val="20"/>
                <w:color w:val="auto"/>
              </w:rPr>
            </w:pPr>
            <w:r>
              <w:rPr>
                <w:rFonts w:ascii="Arial" w:cs="Arial" w:eastAsia="Arial" w:hAnsi="Arial"/>
                <w:sz w:val="18"/>
                <w:szCs w:val="18"/>
                <w:color w:val="auto"/>
              </w:rPr>
              <w:t>Carole Piwnica</w:t>
            </w:r>
          </w:p>
        </w:tc>
        <w:tc>
          <w:tcPr>
            <w:tcW w:w="7800" w:type="dxa"/>
            <w:vAlign w:val="bottom"/>
          </w:tcPr>
          <w:p>
            <w:pPr>
              <w:ind w:left="940"/>
              <w:spacing w:after="0"/>
              <w:rPr>
                <w:sz w:val="20"/>
                <w:szCs w:val="20"/>
                <w:color w:val="auto"/>
              </w:rPr>
            </w:pPr>
            <w:r>
              <w:rPr>
                <w:rFonts w:ascii="Arial" w:cs="Arial" w:eastAsia="Arial" w:hAnsi="Arial"/>
                <w:sz w:val="18"/>
                <w:szCs w:val="18"/>
                <w:color w:val="auto"/>
              </w:rPr>
              <w:t>Independent Director at Sanofi, Founder and Director of Naxos UK Ltd</w:t>
            </w:r>
          </w:p>
        </w:tc>
      </w:tr>
      <w:tr>
        <w:trPr>
          <w:trHeight w:val="230"/>
        </w:trPr>
        <w:tc>
          <w:tcPr>
            <w:tcW w:w="3620" w:type="dxa"/>
            <w:vAlign w:val="bottom"/>
          </w:tcPr>
          <w:p>
            <w:pPr>
              <w:ind w:left="580"/>
              <w:spacing w:after="0"/>
              <w:rPr>
                <w:sz w:val="20"/>
                <w:szCs w:val="20"/>
                <w:color w:val="auto"/>
              </w:rPr>
            </w:pPr>
            <w:r>
              <w:rPr>
                <w:rFonts w:ascii="Arial" w:cs="Arial" w:eastAsia="Arial" w:hAnsi="Arial"/>
                <w:sz w:val="18"/>
                <w:szCs w:val="18"/>
                <w:color w:val="auto"/>
              </w:rPr>
              <w:t>Belgian citizenship</w:t>
            </w:r>
          </w:p>
        </w:tc>
        <w:tc>
          <w:tcPr>
            <w:tcW w:w="7800" w:type="dxa"/>
            <w:vAlign w:val="bottom"/>
          </w:tcPr>
          <w:p>
            <w:pPr>
              <w:spacing w:after="0"/>
              <w:rPr>
                <w:sz w:val="20"/>
                <w:szCs w:val="20"/>
                <w:color w:val="auto"/>
              </w:rPr>
            </w:pPr>
          </w:p>
        </w:tc>
      </w:tr>
      <w:tr>
        <w:trPr>
          <w:trHeight w:val="418"/>
        </w:trPr>
        <w:tc>
          <w:tcPr>
            <w:tcW w:w="3620" w:type="dxa"/>
            <w:vAlign w:val="bottom"/>
          </w:tcPr>
          <w:p>
            <w:pPr>
              <w:ind w:left="580"/>
              <w:spacing w:after="0"/>
              <w:rPr>
                <w:sz w:val="20"/>
                <w:szCs w:val="20"/>
                <w:color w:val="auto"/>
              </w:rPr>
            </w:pPr>
            <w:r>
              <w:rPr>
                <w:rFonts w:ascii="Arial" w:cs="Arial" w:eastAsia="Arial" w:hAnsi="Arial"/>
                <w:sz w:val="18"/>
                <w:szCs w:val="18"/>
                <w:color w:val="auto"/>
              </w:rPr>
              <w:t>Diane Souza</w:t>
            </w:r>
          </w:p>
        </w:tc>
        <w:tc>
          <w:tcPr>
            <w:tcW w:w="7800" w:type="dxa"/>
            <w:vAlign w:val="bottom"/>
          </w:tcPr>
          <w:p>
            <w:pPr>
              <w:ind w:left="940"/>
              <w:spacing w:after="0"/>
              <w:rPr>
                <w:sz w:val="20"/>
                <w:szCs w:val="20"/>
                <w:color w:val="auto"/>
              </w:rPr>
            </w:pPr>
            <w:r>
              <w:rPr>
                <w:rFonts w:ascii="Arial" w:cs="Arial" w:eastAsia="Arial" w:hAnsi="Arial"/>
                <w:sz w:val="18"/>
                <w:szCs w:val="18"/>
                <w:color w:val="auto"/>
              </w:rPr>
              <w:t>Independent Director at Sanofi, Member of the Board of Director of Amica Insurance</w:t>
            </w:r>
          </w:p>
        </w:tc>
      </w:tr>
      <w:tr>
        <w:trPr>
          <w:trHeight w:val="230"/>
        </w:trPr>
        <w:tc>
          <w:tcPr>
            <w:tcW w:w="362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7800" w:type="dxa"/>
            <w:vAlign w:val="bottom"/>
          </w:tcPr>
          <w:p>
            <w:pPr>
              <w:ind w:left="940"/>
              <w:spacing w:after="0"/>
              <w:rPr>
                <w:sz w:val="20"/>
                <w:szCs w:val="20"/>
                <w:color w:val="auto"/>
              </w:rPr>
            </w:pPr>
            <w:r>
              <w:rPr>
                <w:rFonts w:ascii="Arial" w:cs="Arial" w:eastAsia="Arial" w:hAnsi="Arial"/>
                <w:sz w:val="18"/>
                <w:szCs w:val="18"/>
                <w:color w:val="auto"/>
              </w:rPr>
              <w:t>Companies</w:t>
            </w:r>
          </w:p>
        </w:tc>
      </w:tr>
      <w:tr>
        <w:trPr>
          <w:trHeight w:val="418"/>
        </w:trPr>
        <w:tc>
          <w:tcPr>
            <w:tcW w:w="3620" w:type="dxa"/>
            <w:vAlign w:val="bottom"/>
          </w:tcPr>
          <w:p>
            <w:pPr>
              <w:ind w:left="580"/>
              <w:spacing w:after="0"/>
              <w:rPr>
                <w:sz w:val="20"/>
                <w:szCs w:val="20"/>
                <w:color w:val="auto"/>
              </w:rPr>
            </w:pPr>
            <w:r>
              <w:rPr>
                <w:rFonts w:ascii="Arial" w:cs="Arial" w:eastAsia="Arial" w:hAnsi="Arial"/>
                <w:sz w:val="18"/>
                <w:szCs w:val="18"/>
                <w:color w:val="auto"/>
              </w:rPr>
              <w:t>Thomas Südhof</w:t>
            </w:r>
          </w:p>
        </w:tc>
        <w:tc>
          <w:tcPr>
            <w:tcW w:w="7800" w:type="dxa"/>
            <w:vAlign w:val="bottom"/>
          </w:tcPr>
          <w:p>
            <w:pPr>
              <w:ind w:left="940"/>
              <w:spacing w:after="0"/>
              <w:rPr>
                <w:sz w:val="20"/>
                <w:szCs w:val="20"/>
                <w:color w:val="auto"/>
              </w:rPr>
            </w:pPr>
            <w:r>
              <w:rPr>
                <w:rFonts w:ascii="Arial" w:cs="Arial" w:eastAsia="Arial" w:hAnsi="Arial"/>
                <w:sz w:val="18"/>
                <w:szCs w:val="18"/>
                <w:color w:val="auto"/>
              </w:rPr>
              <w:t>Independent Director at Sanofi, Avram Goldstein Professor at the Department of</w:t>
            </w:r>
          </w:p>
        </w:tc>
      </w:tr>
      <w:tr>
        <w:trPr>
          <w:trHeight w:val="216"/>
        </w:trPr>
        <w:tc>
          <w:tcPr>
            <w:tcW w:w="3620" w:type="dxa"/>
            <w:vAlign w:val="bottom"/>
          </w:tcPr>
          <w:p>
            <w:pPr>
              <w:ind w:left="580"/>
              <w:spacing w:after="0"/>
              <w:rPr>
                <w:sz w:val="20"/>
                <w:szCs w:val="20"/>
                <w:color w:val="auto"/>
              </w:rPr>
            </w:pPr>
            <w:r>
              <w:rPr>
                <w:rFonts w:ascii="Arial" w:cs="Arial" w:eastAsia="Arial" w:hAnsi="Arial"/>
                <w:sz w:val="18"/>
                <w:szCs w:val="18"/>
                <w:color w:val="auto"/>
              </w:rPr>
              <w:t>German and U.S. citizenship</w:t>
            </w:r>
          </w:p>
        </w:tc>
        <w:tc>
          <w:tcPr>
            <w:tcW w:w="7800" w:type="dxa"/>
            <w:vAlign w:val="bottom"/>
          </w:tcPr>
          <w:p>
            <w:pPr>
              <w:ind w:left="940"/>
              <w:spacing w:after="0"/>
              <w:rPr>
                <w:sz w:val="20"/>
                <w:szCs w:val="20"/>
                <w:color w:val="auto"/>
              </w:rPr>
            </w:pPr>
            <w:r>
              <w:rPr>
                <w:rFonts w:ascii="Arial" w:cs="Arial" w:eastAsia="Arial" w:hAnsi="Arial"/>
                <w:sz w:val="18"/>
                <w:szCs w:val="18"/>
                <w:color w:val="auto"/>
              </w:rPr>
              <w:t>Molecular &amp; Cellular Physiology, Stanford University School of Medicine (United</w:t>
            </w:r>
          </w:p>
        </w:tc>
      </w:tr>
      <w:tr>
        <w:trPr>
          <w:trHeight w:val="230"/>
        </w:trPr>
        <w:tc>
          <w:tcPr>
            <w:tcW w:w="3620" w:type="dxa"/>
            <w:vAlign w:val="bottom"/>
          </w:tcPr>
          <w:p>
            <w:pPr>
              <w:spacing w:after="0"/>
              <w:rPr>
                <w:sz w:val="20"/>
                <w:szCs w:val="20"/>
                <w:color w:val="auto"/>
              </w:rPr>
            </w:pPr>
          </w:p>
        </w:tc>
        <w:tc>
          <w:tcPr>
            <w:tcW w:w="7800" w:type="dxa"/>
            <w:vAlign w:val="bottom"/>
          </w:tcPr>
          <w:p>
            <w:pPr>
              <w:ind w:left="940"/>
              <w:spacing w:after="0"/>
              <w:rPr>
                <w:sz w:val="20"/>
                <w:szCs w:val="20"/>
                <w:color w:val="auto"/>
              </w:rPr>
            </w:pPr>
            <w:r>
              <w:rPr>
                <w:rFonts w:ascii="Arial" w:cs="Arial" w:eastAsia="Arial" w:hAnsi="Arial"/>
                <w:sz w:val="18"/>
                <w:szCs w:val="18"/>
                <w:color w:val="auto"/>
              </w:rPr>
              <w:t>States)</w:t>
            </w:r>
          </w:p>
        </w:tc>
      </w:tr>
      <w:tr>
        <w:trPr>
          <w:trHeight w:val="418"/>
        </w:trPr>
        <w:tc>
          <w:tcPr>
            <w:tcW w:w="3620" w:type="dxa"/>
            <w:vAlign w:val="bottom"/>
          </w:tcPr>
          <w:p>
            <w:pPr>
              <w:ind w:left="580"/>
              <w:spacing w:after="0"/>
              <w:rPr>
                <w:sz w:val="20"/>
                <w:szCs w:val="20"/>
                <w:color w:val="auto"/>
              </w:rPr>
            </w:pPr>
            <w:r>
              <w:rPr>
                <w:rFonts w:ascii="Arial" w:cs="Arial" w:eastAsia="Arial" w:hAnsi="Arial"/>
                <w:sz w:val="18"/>
                <w:szCs w:val="18"/>
                <w:color w:val="auto"/>
              </w:rPr>
              <w:t>Marion Palme</w:t>
            </w:r>
          </w:p>
        </w:tc>
        <w:tc>
          <w:tcPr>
            <w:tcW w:w="7800" w:type="dxa"/>
            <w:vAlign w:val="bottom"/>
          </w:tcPr>
          <w:p>
            <w:pPr>
              <w:ind w:left="940"/>
              <w:spacing w:after="0"/>
              <w:rPr>
                <w:sz w:val="20"/>
                <w:szCs w:val="20"/>
                <w:color w:val="auto"/>
              </w:rPr>
            </w:pPr>
            <w:r>
              <w:rPr>
                <w:rFonts w:ascii="Arial" w:cs="Arial" w:eastAsia="Arial" w:hAnsi="Arial"/>
                <w:sz w:val="18"/>
                <w:szCs w:val="18"/>
                <w:color w:val="auto"/>
              </w:rPr>
              <w:t>Director representing employees</w:t>
            </w:r>
          </w:p>
        </w:tc>
      </w:tr>
      <w:tr>
        <w:trPr>
          <w:trHeight w:val="230"/>
        </w:trPr>
        <w:tc>
          <w:tcPr>
            <w:tcW w:w="3620" w:type="dxa"/>
            <w:vAlign w:val="bottom"/>
          </w:tcPr>
          <w:p>
            <w:pPr>
              <w:ind w:left="580"/>
              <w:spacing w:after="0"/>
              <w:rPr>
                <w:sz w:val="20"/>
                <w:szCs w:val="20"/>
                <w:color w:val="auto"/>
              </w:rPr>
            </w:pPr>
            <w:r>
              <w:rPr>
                <w:rFonts w:ascii="Arial" w:cs="Arial" w:eastAsia="Arial" w:hAnsi="Arial"/>
                <w:sz w:val="18"/>
                <w:szCs w:val="18"/>
                <w:color w:val="auto"/>
              </w:rPr>
              <w:t>German citizenship</w:t>
            </w:r>
          </w:p>
        </w:tc>
        <w:tc>
          <w:tcPr>
            <w:tcW w:w="7800" w:type="dxa"/>
            <w:vAlign w:val="bottom"/>
          </w:tcPr>
          <w:p>
            <w:pPr>
              <w:spacing w:after="0"/>
              <w:rPr>
                <w:sz w:val="20"/>
                <w:szCs w:val="20"/>
                <w:color w:val="auto"/>
              </w:rPr>
            </w:pPr>
          </w:p>
        </w:tc>
      </w:tr>
      <w:tr>
        <w:trPr>
          <w:trHeight w:val="432"/>
        </w:trPr>
        <w:tc>
          <w:tcPr>
            <w:tcW w:w="3620" w:type="dxa"/>
            <w:vAlign w:val="bottom"/>
          </w:tcPr>
          <w:p>
            <w:pPr>
              <w:ind w:left="580"/>
              <w:spacing w:after="0"/>
              <w:rPr>
                <w:sz w:val="20"/>
                <w:szCs w:val="20"/>
                <w:color w:val="auto"/>
              </w:rPr>
            </w:pPr>
            <w:r>
              <w:rPr>
                <w:rFonts w:ascii="Arial" w:cs="Arial" w:eastAsia="Arial" w:hAnsi="Arial"/>
                <w:sz w:val="18"/>
                <w:szCs w:val="18"/>
                <w:color w:val="auto"/>
              </w:rPr>
              <w:t>Christian Senectaire</w:t>
            </w:r>
          </w:p>
        </w:tc>
        <w:tc>
          <w:tcPr>
            <w:tcW w:w="7800" w:type="dxa"/>
            <w:vAlign w:val="bottom"/>
          </w:tcPr>
          <w:p>
            <w:pPr>
              <w:ind w:left="940"/>
              <w:spacing w:after="0"/>
              <w:rPr>
                <w:sz w:val="20"/>
                <w:szCs w:val="20"/>
                <w:color w:val="auto"/>
              </w:rPr>
            </w:pPr>
            <w:r>
              <w:rPr>
                <w:rFonts w:ascii="Arial" w:cs="Arial" w:eastAsia="Arial" w:hAnsi="Arial"/>
                <w:sz w:val="18"/>
                <w:szCs w:val="18"/>
                <w:color w:val="auto"/>
              </w:rPr>
              <w:t>Director representing employees</w:t>
            </w:r>
          </w:p>
        </w:tc>
      </w:tr>
      <w:tr>
        <w:trPr>
          <w:trHeight w:val="582"/>
        </w:trPr>
        <w:tc>
          <w:tcPr>
            <w:tcW w:w="3620" w:type="dxa"/>
            <w:vAlign w:val="bottom"/>
          </w:tcPr>
          <w:p>
            <w:pPr>
              <w:spacing w:after="0"/>
              <w:rPr>
                <w:sz w:val="24"/>
                <w:szCs w:val="24"/>
                <w:color w:val="auto"/>
              </w:rPr>
            </w:pPr>
          </w:p>
        </w:tc>
        <w:tc>
          <w:tcPr>
            <w:tcW w:w="7800" w:type="dxa"/>
            <w:vAlign w:val="bottom"/>
          </w:tcPr>
          <w:p>
            <w:pPr>
              <w:ind w:left="2060"/>
              <w:spacing w:after="0"/>
              <w:rPr>
                <w:sz w:val="20"/>
                <w:szCs w:val="20"/>
                <w:color w:val="auto"/>
              </w:rPr>
            </w:pPr>
            <w:r>
              <w:rPr>
                <w:rFonts w:ascii="Arial" w:cs="Arial" w:eastAsia="Arial" w:hAnsi="Arial"/>
                <w:sz w:val="14"/>
                <w:szCs w:val="14"/>
                <w:color w:val="auto"/>
              </w:rPr>
              <w:t>6</w:t>
            </w:r>
          </w:p>
        </w:tc>
      </w:tr>
      <w:tr>
        <w:trPr>
          <w:trHeight w:val="46"/>
        </w:trPr>
        <w:tc>
          <w:tcPr>
            <w:tcW w:w="3620" w:type="dxa"/>
            <w:vAlign w:val="bottom"/>
            <w:tcBorders>
              <w:bottom w:val="single" w:sz="8" w:color="auto"/>
            </w:tcBorders>
          </w:tcPr>
          <w:p>
            <w:pPr>
              <w:spacing w:after="0"/>
              <w:rPr>
                <w:sz w:val="4"/>
                <w:szCs w:val="4"/>
                <w:color w:val="auto"/>
              </w:rPr>
            </w:pPr>
          </w:p>
        </w:tc>
        <w:tc>
          <w:tcPr>
            <w:tcW w:w="78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ind w:left="580"/>
              <w:spacing w:after="0"/>
              <w:rPr>
                <w:sz w:val="20"/>
                <w:szCs w:val="20"/>
                <w:color w:val="auto"/>
              </w:rPr>
            </w:pPr>
            <w:r>
              <w:rPr>
                <w:rFonts w:ascii="Arial" w:cs="Arial" w:eastAsia="Arial" w:hAnsi="Arial"/>
                <w:sz w:val="18"/>
                <w:szCs w:val="18"/>
                <w:b w:val="1"/>
                <w:bCs w:val="1"/>
                <w:color w:val="auto"/>
              </w:rPr>
              <w:t>Name</w:t>
            </w:r>
          </w:p>
        </w:tc>
        <w:tc>
          <w:tcPr>
            <w:tcW w:w="7460" w:type="dxa"/>
            <w:vAlign w:val="bottom"/>
          </w:tcPr>
          <w:p>
            <w:pPr>
              <w:ind w:left="600"/>
              <w:spacing w:after="0"/>
              <w:rPr>
                <w:sz w:val="20"/>
                <w:szCs w:val="20"/>
                <w:color w:val="auto"/>
              </w:rPr>
            </w:pPr>
            <w:r>
              <w:rPr>
                <w:rFonts w:ascii="Arial" w:cs="Arial" w:eastAsia="Arial" w:hAnsi="Arial"/>
                <w:sz w:val="18"/>
                <w:szCs w:val="18"/>
                <w:b w:val="1"/>
                <w:bCs w:val="1"/>
                <w:color w:val="auto"/>
              </w:rPr>
              <w:t>Present Principal Occupation or Employment and Name and Principal Address</w:t>
            </w:r>
          </w:p>
        </w:tc>
      </w:tr>
      <w:tr>
        <w:trPr>
          <w:trHeight w:val="234"/>
        </w:trPr>
        <w:tc>
          <w:tcPr>
            <w:tcW w:w="3960" w:type="dxa"/>
            <w:vAlign w:val="bottom"/>
          </w:tcPr>
          <w:p>
            <w:pPr>
              <w:spacing w:after="0"/>
              <w:rPr>
                <w:sz w:val="20"/>
                <w:szCs w:val="20"/>
                <w:color w:val="auto"/>
              </w:rPr>
            </w:pPr>
          </w:p>
        </w:tc>
        <w:tc>
          <w:tcPr>
            <w:tcW w:w="7460" w:type="dxa"/>
            <w:vAlign w:val="bottom"/>
          </w:tcPr>
          <w:p>
            <w:pPr>
              <w:ind w:left="600"/>
              <w:spacing w:after="0"/>
              <w:rPr>
                <w:sz w:val="20"/>
                <w:szCs w:val="20"/>
                <w:color w:val="auto"/>
              </w:rPr>
            </w:pPr>
            <w:r>
              <w:rPr>
                <w:rFonts w:ascii="Arial" w:cs="Arial" w:eastAsia="Arial" w:hAnsi="Arial"/>
                <w:sz w:val="18"/>
                <w:szCs w:val="18"/>
                <w:b w:val="1"/>
                <w:bCs w:val="1"/>
                <w:color w:val="auto"/>
              </w:rPr>
              <w:t>of Corporation in which Employment is Conducted at Sanofi</w:t>
            </w: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Paul Hudson</w:t>
            </w:r>
          </w:p>
        </w:tc>
        <w:tc>
          <w:tcPr>
            <w:tcW w:w="7460" w:type="dxa"/>
            <w:vAlign w:val="bottom"/>
          </w:tcPr>
          <w:p>
            <w:pPr>
              <w:ind w:left="600"/>
              <w:spacing w:after="0"/>
              <w:rPr>
                <w:sz w:val="20"/>
                <w:szCs w:val="20"/>
                <w:color w:val="auto"/>
              </w:rPr>
            </w:pPr>
            <w:r>
              <w:rPr>
                <w:rFonts w:ascii="Arial" w:cs="Arial" w:eastAsia="Arial" w:hAnsi="Arial"/>
                <w:sz w:val="18"/>
                <w:szCs w:val="18"/>
                <w:color w:val="auto"/>
              </w:rPr>
              <w:t>Chief Executive Officer of Sanofi</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British citizenship</w:t>
            </w:r>
          </w:p>
        </w:tc>
        <w:tc>
          <w:tcPr>
            <w:tcW w:w="7460" w:type="dxa"/>
            <w:vAlign w:val="bottom"/>
          </w:tcPr>
          <w:p>
            <w:pPr>
              <w:spacing w:after="0"/>
              <w:rPr>
                <w:sz w:val="20"/>
                <w:szCs w:val="20"/>
                <w:color w:val="auto"/>
              </w:rPr>
            </w:pPr>
          </w:p>
        </w:tc>
      </w:tr>
      <w:tr>
        <w:trPr>
          <w:trHeight w:val="432"/>
        </w:trPr>
        <w:tc>
          <w:tcPr>
            <w:tcW w:w="3960" w:type="dxa"/>
            <w:vAlign w:val="bottom"/>
          </w:tcPr>
          <w:p>
            <w:pPr>
              <w:ind w:left="580"/>
              <w:spacing w:after="0"/>
              <w:rPr>
                <w:sz w:val="20"/>
                <w:szCs w:val="20"/>
                <w:color w:val="auto"/>
              </w:rPr>
            </w:pPr>
            <w:r>
              <w:rPr>
                <w:rFonts w:ascii="Arial" w:cs="Arial" w:eastAsia="Arial" w:hAnsi="Arial"/>
                <w:sz w:val="18"/>
                <w:szCs w:val="18"/>
                <w:color w:val="auto"/>
              </w:rPr>
              <w:t>Olivier Charmeil</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China and Emerging Markets</w:t>
            </w:r>
          </w:p>
        </w:tc>
      </w:tr>
      <w:tr>
        <w:trPr>
          <w:trHeight w:val="432"/>
        </w:trPr>
        <w:tc>
          <w:tcPr>
            <w:tcW w:w="3960" w:type="dxa"/>
            <w:vAlign w:val="bottom"/>
          </w:tcPr>
          <w:p>
            <w:pPr>
              <w:ind w:left="580"/>
              <w:spacing w:after="0"/>
              <w:rPr>
                <w:sz w:val="20"/>
                <w:szCs w:val="20"/>
                <w:color w:val="auto"/>
              </w:rPr>
            </w:pPr>
            <w:r>
              <w:rPr>
                <w:rFonts w:ascii="Arial" w:cs="Arial" w:eastAsia="Arial" w:hAnsi="Arial"/>
                <w:sz w:val="18"/>
                <w:szCs w:val="18"/>
                <w:color w:val="auto"/>
              </w:rPr>
              <w:t>Jean-Baptiste Chasseloup de Chatillon</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Chief Financial Officer</w:t>
            </w: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Karen Linehan</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Legal Affairs and General Counsel</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U.S. and Irish citizenship</w:t>
            </w:r>
          </w:p>
        </w:tc>
        <w:tc>
          <w:tcPr>
            <w:tcW w:w="7460" w:type="dxa"/>
            <w:vAlign w:val="bottom"/>
          </w:tcPr>
          <w:p>
            <w:pPr>
              <w:spacing w:after="0"/>
              <w:rPr>
                <w:sz w:val="20"/>
                <w:szCs w:val="20"/>
                <w:color w:val="auto"/>
              </w:rPr>
            </w:pP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David Loew</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Sanofi Pasteur</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Swiss citizenship</w:t>
            </w:r>
          </w:p>
        </w:tc>
        <w:tc>
          <w:tcPr>
            <w:tcW w:w="7460" w:type="dxa"/>
            <w:vAlign w:val="bottom"/>
          </w:tcPr>
          <w:p>
            <w:pPr>
              <w:spacing w:after="0"/>
              <w:rPr>
                <w:sz w:val="20"/>
                <w:szCs w:val="20"/>
                <w:color w:val="auto"/>
              </w:rPr>
            </w:pPr>
          </w:p>
        </w:tc>
      </w:tr>
      <w:tr>
        <w:trPr>
          <w:trHeight w:val="432"/>
        </w:trPr>
        <w:tc>
          <w:tcPr>
            <w:tcW w:w="3960" w:type="dxa"/>
            <w:vAlign w:val="bottom"/>
          </w:tcPr>
          <w:p>
            <w:pPr>
              <w:ind w:left="580"/>
              <w:spacing w:after="0"/>
              <w:rPr>
                <w:sz w:val="20"/>
                <w:szCs w:val="20"/>
                <w:color w:val="auto"/>
              </w:rPr>
            </w:pPr>
            <w:r>
              <w:rPr>
                <w:rFonts w:ascii="Arial" w:cs="Arial" w:eastAsia="Arial" w:hAnsi="Arial"/>
                <w:sz w:val="18"/>
                <w:szCs w:val="18"/>
                <w:color w:val="auto"/>
              </w:rPr>
              <w:t>Philippe Luscan</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Global Industrial Affairs</w:t>
            </w: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Alan Main</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Consumer Healthcare</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460" w:type="dxa"/>
            <w:vAlign w:val="bottom"/>
          </w:tcPr>
          <w:p>
            <w:pPr>
              <w:spacing w:after="0"/>
              <w:rPr>
                <w:sz w:val="20"/>
                <w:szCs w:val="20"/>
                <w:color w:val="auto"/>
              </w:rPr>
            </w:pP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Ameet Nathwani</w:t>
            </w:r>
          </w:p>
        </w:tc>
        <w:tc>
          <w:tcPr>
            <w:tcW w:w="7460" w:type="dxa"/>
            <w:vAlign w:val="bottom"/>
          </w:tcPr>
          <w:p>
            <w:pPr>
              <w:ind w:left="600"/>
              <w:spacing w:after="0"/>
              <w:rPr>
                <w:sz w:val="20"/>
                <w:szCs w:val="20"/>
                <w:color w:val="auto"/>
              </w:rPr>
            </w:pPr>
            <w:r>
              <w:rPr>
                <w:rFonts w:ascii="Arial" w:cs="Arial" w:eastAsia="Arial" w:hAnsi="Arial"/>
                <w:sz w:val="18"/>
                <w:szCs w:val="18"/>
                <w:color w:val="auto"/>
              </w:rPr>
              <w:t>Chief Digital Officer, Chief Medical Officer and Executive Vice President Medical</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460" w:type="dxa"/>
            <w:vAlign w:val="bottom"/>
          </w:tcPr>
          <w:p>
            <w:pPr>
              <w:spacing w:after="0"/>
              <w:rPr>
                <w:sz w:val="20"/>
                <w:szCs w:val="20"/>
                <w:color w:val="auto"/>
              </w:rPr>
            </w:pPr>
          </w:p>
        </w:tc>
      </w:tr>
      <w:tr>
        <w:trPr>
          <w:trHeight w:val="432"/>
        </w:trPr>
        <w:tc>
          <w:tcPr>
            <w:tcW w:w="3960" w:type="dxa"/>
            <w:vAlign w:val="bottom"/>
          </w:tcPr>
          <w:p>
            <w:pPr>
              <w:ind w:left="580"/>
              <w:spacing w:after="0"/>
              <w:rPr>
                <w:sz w:val="20"/>
                <w:szCs w:val="20"/>
                <w:color w:val="auto"/>
              </w:rPr>
            </w:pPr>
            <w:r>
              <w:rPr>
                <w:rFonts w:ascii="Arial" w:cs="Arial" w:eastAsia="Arial" w:hAnsi="Arial"/>
                <w:sz w:val="18"/>
                <w:szCs w:val="18"/>
                <w:color w:val="auto"/>
              </w:rPr>
              <w:t>Dominique Carouge</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Business Transformation</w:t>
            </w: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Caroline Luscombe</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Human Resources</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460" w:type="dxa"/>
            <w:vAlign w:val="bottom"/>
          </w:tcPr>
          <w:p>
            <w:pPr>
              <w:spacing w:after="0"/>
              <w:rPr>
                <w:sz w:val="20"/>
                <w:szCs w:val="20"/>
                <w:color w:val="auto"/>
              </w:rPr>
            </w:pP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Bill Sibold</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Sanofi Genzyme</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U.S. and Canadian citizenship</w:t>
            </w:r>
          </w:p>
        </w:tc>
        <w:tc>
          <w:tcPr>
            <w:tcW w:w="7460" w:type="dxa"/>
            <w:vAlign w:val="bottom"/>
          </w:tcPr>
          <w:p>
            <w:pPr>
              <w:spacing w:after="0"/>
              <w:rPr>
                <w:sz w:val="20"/>
                <w:szCs w:val="20"/>
                <w:color w:val="auto"/>
              </w:rPr>
            </w:pP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Business address:</w:t>
            </w:r>
          </w:p>
        </w:tc>
        <w:tc>
          <w:tcPr>
            <w:tcW w:w="7460" w:type="dxa"/>
            <w:vAlign w:val="bottom"/>
          </w:tcPr>
          <w:p>
            <w:pPr>
              <w:spacing w:after="0"/>
              <w:rPr>
                <w:sz w:val="24"/>
                <w:szCs w:val="24"/>
                <w:color w:val="auto"/>
              </w:rPr>
            </w:pPr>
          </w:p>
        </w:tc>
      </w:tr>
      <w:tr>
        <w:trPr>
          <w:trHeight w:val="216"/>
        </w:trPr>
        <w:tc>
          <w:tcPr>
            <w:tcW w:w="3960" w:type="dxa"/>
            <w:vAlign w:val="bottom"/>
          </w:tcPr>
          <w:p>
            <w:pPr>
              <w:ind w:left="580"/>
              <w:spacing w:after="0"/>
              <w:rPr>
                <w:sz w:val="20"/>
                <w:szCs w:val="20"/>
                <w:color w:val="auto"/>
              </w:rPr>
            </w:pPr>
            <w:r>
              <w:rPr>
                <w:rFonts w:ascii="Arial" w:cs="Arial" w:eastAsia="Arial" w:hAnsi="Arial"/>
                <w:sz w:val="18"/>
                <w:szCs w:val="18"/>
                <w:color w:val="auto"/>
              </w:rPr>
              <w:t>50 Binney Street</w:t>
            </w:r>
          </w:p>
        </w:tc>
        <w:tc>
          <w:tcPr>
            <w:tcW w:w="7460" w:type="dxa"/>
            <w:vAlign w:val="bottom"/>
          </w:tcPr>
          <w:p>
            <w:pPr>
              <w:spacing w:after="0"/>
              <w:rPr>
                <w:sz w:val="18"/>
                <w:szCs w:val="18"/>
                <w:color w:val="auto"/>
              </w:rPr>
            </w:pP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Cambridge, MA 02142</w:t>
            </w:r>
          </w:p>
        </w:tc>
        <w:tc>
          <w:tcPr>
            <w:tcW w:w="7460" w:type="dxa"/>
            <w:vAlign w:val="bottom"/>
          </w:tcPr>
          <w:p>
            <w:pPr>
              <w:spacing w:after="0"/>
              <w:rPr>
                <w:sz w:val="20"/>
                <w:szCs w:val="20"/>
                <w:color w:val="auto"/>
              </w:rPr>
            </w:pP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Kathleen Tregoning</w:t>
            </w:r>
          </w:p>
        </w:tc>
        <w:tc>
          <w:tcPr>
            <w:tcW w:w="7460" w:type="dxa"/>
            <w:vAlign w:val="bottom"/>
          </w:tcPr>
          <w:p>
            <w:pPr>
              <w:ind w:left="600"/>
              <w:spacing w:after="0"/>
              <w:rPr>
                <w:sz w:val="20"/>
                <w:szCs w:val="20"/>
                <w:color w:val="auto"/>
              </w:rPr>
            </w:pPr>
            <w:r>
              <w:rPr>
                <w:rFonts w:ascii="Arial" w:cs="Arial" w:eastAsia="Arial" w:hAnsi="Arial"/>
                <w:sz w:val="18"/>
                <w:szCs w:val="18"/>
                <w:color w:val="auto"/>
              </w:rPr>
              <w:t>Executive Vice President, External Affairs</w:t>
            </w: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7460" w:type="dxa"/>
            <w:vAlign w:val="bottom"/>
          </w:tcPr>
          <w:p>
            <w:pPr>
              <w:spacing w:after="0"/>
              <w:rPr>
                <w:sz w:val="20"/>
                <w:szCs w:val="20"/>
                <w:color w:val="auto"/>
              </w:rPr>
            </w:pPr>
          </w:p>
        </w:tc>
      </w:tr>
      <w:tr>
        <w:trPr>
          <w:trHeight w:val="418"/>
        </w:trPr>
        <w:tc>
          <w:tcPr>
            <w:tcW w:w="3960" w:type="dxa"/>
            <w:vAlign w:val="bottom"/>
          </w:tcPr>
          <w:p>
            <w:pPr>
              <w:ind w:left="580"/>
              <w:spacing w:after="0"/>
              <w:rPr>
                <w:sz w:val="20"/>
                <w:szCs w:val="20"/>
                <w:color w:val="auto"/>
              </w:rPr>
            </w:pPr>
            <w:r>
              <w:rPr>
                <w:rFonts w:ascii="Arial" w:cs="Arial" w:eastAsia="Arial" w:hAnsi="Arial"/>
                <w:sz w:val="18"/>
                <w:szCs w:val="18"/>
                <w:color w:val="auto"/>
              </w:rPr>
              <w:t>Business address:</w:t>
            </w:r>
          </w:p>
        </w:tc>
        <w:tc>
          <w:tcPr>
            <w:tcW w:w="7460" w:type="dxa"/>
            <w:vAlign w:val="bottom"/>
          </w:tcPr>
          <w:p>
            <w:pPr>
              <w:spacing w:after="0"/>
              <w:rPr>
                <w:sz w:val="24"/>
                <w:szCs w:val="24"/>
                <w:color w:val="auto"/>
              </w:rPr>
            </w:pPr>
          </w:p>
        </w:tc>
      </w:tr>
      <w:tr>
        <w:trPr>
          <w:trHeight w:val="216"/>
        </w:trPr>
        <w:tc>
          <w:tcPr>
            <w:tcW w:w="3960" w:type="dxa"/>
            <w:vAlign w:val="bottom"/>
          </w:tcPr>
          <w:p>
            <w:pPr>
              <w:ind w:left="580"/>
              <w:spacing w:after="0"/>
              <w:rPr>
                <w:sz w:val="20"/>
                <w:szCs w:val="20"/>
                <w:color w:val="auto"/>
              </w:rPr>
            </w:pPr>
            <w:r>
              <w:rPr>
                <w:rFonts w:ascii="Arial" w:cs="Arial" w:eastAsia="Arial" w:hAnsi="Arial"/>
                <w:sz w:val="18"/>
                <w:szCs w:val="18"/>
                <w:color w:val="auto"/>
              </w:rPr>
              <w:t>1455 Pennsylvania Avenue</w:t>
            </w:r>
          </w:p>
        </w:tc>
        <w:tc>
          <w:tcPr>
            <w:tcW w:w="7460" w:type="dxa"/>
            <w:vAlign w:val="bottom"/>
          </w:tcPr>
          <w:p>
            <w:pPr>
              <w:spacing w:after="0"/>
              <w:rPr>
                <w:sz w:val="18"/>
                <w:szCs w:val="18"/>
                <w:color w:val="auto"/>
              </w:rPr>
            </w:pPr>
          </w:p>
        </w:tc>
      </w:tr>
      <w:tr>
        <w:trPr>
          <w:trHeight w:val="230"/>
        </w:trPr>
        <w:tc>
          <w:tcPr>
            <w:tcW w:w="3960" w:type="dxa"/>
            <w:vAlign w:val="bottom"/>
          </w:tcPr>
          <w:p>
            <w:pPr>
              <w:ind w:left="580"/>
              <w:spacing w:after="0"/>
              <w:rPr>
                <w:sz w:val="20"/>
                <w:szCs w:val="20"/>
                <w:color w:val="auto"/>
              </w:rPr>
            </w:pPr>
            <w:r>
              <w:rPr>
                <w:rFonts w:ascii="Arial" w:cs="Arial" w:eastAsia="Arial" w:hAnsi="Arial"/>
                <w:sz w:val="18"/>
                <w:szCs w:val="18"/>
                <w:color w:val="auto"/>
              </w:rPr>
              <w:t>Washington, DC 20001</w:t>
            </w:r>
          </w:p>
        </w:tc>
        <w:tc>
          <w:tcPr>
            <w:tcW w:w="7460" w:type="dxa"/>
            <w:vAlign w:val="bottom"/>
          </w:tcPr>
          <w:p>
            <w:pPr>
              <w:spacing w:after="0"/>
              <w:rPr>
                <w:sz w:val="20"/>
                <w:szCs w:val="20"/>
                <w:color w:val="auto"/>
              </w:rPr>
            </w:pPr>
          </w:p>
        </w:tc>
      </w:tr>
      <w:tr>
        <w:trPr>
          <w:trHeight w:val="582"/>
        </w:trPr>
        <w:tc>
          <w:tcPr>
            <w:tcW w:w="3960" w:type="dxa"/>
            <w:vAlign w:val="bottom"/>
          </w:tcPr>
          <w:p>
            <w:pPr>
              <w:spacing w:after="0"/>
              <w:rPr>
                <w:sz w:val="24"/>
                <w:szCs w:val="24"/>
                <w:color w:val="auto"/>
              </w:rPr>
            </w:pPr>
          </w:p>
        </w:tc>
        <w:tc>
          <w:tcPr>
            <w:tcW w:w="7460" w:type="dxa"/>
            <w:vAlign w:val="bottom"/>
          </w:tcPr>
          <w:p>
            <w:pPr>
              <w:ind w:left="1720"/>
              <w:spacing w:after="0"/>
              <w:rPr>
                <w:sz w:val="20"/>
                <w:szCs w:val="20"/>
                <w:color w:val="auto"/>
              </w:rPr>
            </w:pPr>
            <w:r>
              <w:rPr>
                <w:rFonts w:ascii="Arial" w:cs="Arial" w:eastAsia="Arial" w:hAnsi="Arial"/>
                <w:sz w:val="14"/>
                <w:szCs w:val="14"/>
                <w:color w:val="auto"/>
              </w:rPr>
              <w:t>7</w:t>
            </w:r>
          </w:p>
        </w:tc>
      </w:tr>
      <w:tr>
        <w:trPr>
          <w:trHeight w:val="46"/>
        </w:trPr>
        <w:tc>
          <w:tcPr>
            <w:tcW w:w="3960" w:type="dxa"/>
            <w:vAlign w:val="bottom"/>
            <w:tcBorders>
              <w:bottom w:val="single" w:sz="8" w:color="auto"/>
            </w:tcBorders>
          </w:tcPr>
          <w:p>
            <w:pPr>
              <w:spacing w:after="0"/>
              <w:rPr>
                <w:sz w:val="4"/>
                <w:szCs w:val="4"/>
                <w:color w:val="auto"/>
              </w:rPr>
            </w:pPr>
          </w:p>
        </w:tc>
        <w:tc>
          <w:tcPr>
            <w:tcW w:w="74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580"/>
              <w:spacing w:after="0"/>
              <w:rPr>
                <w:sz w:val="20"/>
                <w:szCs w:val="20"/>
                <w:color w:val="auto"/>
              </w:rPr>
            </w:pPr>
            <w:r>
              <w:rPr>
                <w:rFonts w:ascii="Arial" w:cs="Arial" w:eastAsia="Arial" w:hAnsi="Arial"/>
                <w:sz w:val="18"/>
                <w:szCs w:val="18"/>
                <w:b w:val="1"/>
                <w:bCs w:val="1"/>
                <w:color w:val="auto"/>
              </w:rPr>
              <w:t>Name</w:t>
            </w:r>
          </w:p>
        </w:tc>
        <w:tc>
          <w:tcPr>
            <w:tcW w:w="8000" w:type="dxa"/>
            <w:vAlign w:val="bottom"/>
          </w:tcPr>
          <w:p>
            <w:pPr>
              <w:ind w:left="1140"/>
              <w:spacing w:after="0"/>
              <w:rPr>
                <w:sz w:val="20"/>
                <w:szCs w:val="20"/>
                <w:color w:val="auto"/>
              </w:rPr>
            </w:pPr>
            <w:r>
              <w:rPr>
                <w:rFonts w:ascii="Arial" w:cs="Arial" w:eastAsia="Arial" w:hAnsi="Arial"/>
                <w:sz w:val="18"/>
                <w:szCs w:val="18"/>
                <w:b w:val="1"/>
                <w:bCs w:val="1"/>
                <w:color w:val="auto"/>
              </w:rPr>
              <w:t>Present Principal Occupation or Employment and Name and Principal Address</w:t>
            </w:r>
          </w:p>
        </w:tc>
      </w:tr>
      <w:tr>
        <w:trPr>
          <w:trHeight w:val="234"/>
        </w:trPr>
        <w:tc>
          <w:tcPr>
            <w:tcW w:w="3420" w:type="dxa"/>
            <w:vAlign w:val="bottom"/>
          </w:tcPr>
          <w:p>
            <w:pPr>
              <w:spacing w:after="0"/>
              <w:rPr>
                <w:sz w:val="20"/>
                <w:szCs w:val="20"/>
                <w:color w:val="auto"/>
              </w:rPr>
            </w:pPr>
          </w:p>
        </w:tc>
        <w:tc>
          <w:tcPr>
            <w:tcW w:w="8000" w:type="dxa"/>
            <w:vAlign w:val="bottom"/>
          </w:tcPr>
          <w:p>
            <w:pPr>
              <w:ind w:left="1140"/>
              <w:spacing w:after="0"/>
              <w:rPr>
                <w:sz w:val="20"/>
                <w:szCs w:val="20"/>
                <w:color w:val="auto"/>
              </w:rPr>
            </w:pPr>
            <w:r>
              <w:rPr>
                <w:rFonts w:ascii="Arial" w:cs="Arial" w:eastAsia="Arial" w:hAnsi="Arial"/>
                <w:sz w:val="18"/>
                <w:szCs w:val="18"/>
                <w:b w:val="1"/>
                <w:bCs w:val="1"/>
                <w:color w:val="auto"/>
              </w:rPr>
              <w:t>of Corporation in which Employment is Conducted at Sanofi</w:t>
            </w:r>
          </w:p>
        </w:tc>
      </w:tr>
      <w:tr>
        <w:trPr>
          <w:trHeight w:val="418"/>
        </w:trPr>
        <w:tc>
          <w:tcPr>
            <w:tcW w:w="3420" w:type="dxa"/>
            <w:vAlign w:val="bottom"/>
          </w:tcPr>
          <w:p>
            <w:pPr>
              <w:ind w:left="580"/>
              <w:spacing w:after="0"/>
              <w:rPr>
                <w:sz w:val="20"/>
                <w:szCs w:val="20"/>
                <w:color w:val="auto"/>
              </w:rPr>
            </w:pPr>
            <w:r>
              <w:rPr>
                <w:rFonts w:ascii="Arial" w:cs="Arial" w:eastAsia="Arial" w:hAnsi="Arial"/>
                <w:sz w:val="18"/>
                <w:szCs w:val="18"/>
                <w:color w:val="auto"/>
              </w:rPr>
              <w:t>John Reed</w:t>
            </w:r>
          </w:p>
        </w:tc>
        <w:tc>
          <w:tcPr>
            <w:tcW w:w="8000" w:type="dxa"/>
            <w:vAlign w:val="bottom"/>
          </w:tcPr>
          <w:p>
            <w:pPr>
              <w:ind w:left="1140"/>
              <w:spacing w:after="0"/>
              <w:rPr>
                <w:sz w:val="20"/>
                <w:szCs w:val="20"/>
                <w:color w:val="auto"/>
              </w:rPr>
            </w:pPr>
            <w:r>
              <w:rPr>
                <w:rFonts w:ascii="Arial" w:cs="Arial" w:eastAsia="Arial" w:hAnsi="Arial"/>
                <w:sz w:val="18"/>
                <w:szCs w:val="18"/>
                <w:color w:val="auto"/>
              </w:rPr>
              <w:t>Executive Vice President, Global Head of Research and Development</w:t>
            </w:r>
          </w:p>
        </w:tc>
      </w:tr>
      <w:tr>
        <w:trPr>
          <w:trHeight w:val="230"/>
        </w:trPr>
        <w:tc>
          <w:tcPr>
            <w:tcW w:w="342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8000" w:type="dxa"/>
            <w:vAlign w:val="bottom"/>
          </w:tcPr>
          <w:p>
            <w:pPr>
              <w:spacing w:after="0"/>
              <w:rPr>
                <w:sz w:val="20"/>
                <w:szCs w:val="20"/>
                <w:color w:val="auto"/>
              </w:rPr>
            </w:pPr>
          </w:p>
        </w:tc>
      </w:tr>
      <w:tr>
        <w:trPr>
          <w:trHeight w:val="418"/>
        </w:trPr>
        <w:tc>
          <w:tcPr>
            <w:tcW w:w="3420" w:type="dxa"/>
            <w:vAlign w:val="bottom"/>
          </w:tcPr>
          <w:p>
            <w:pPr>
              <w:ind w:left="580"/>
              <w:spacing w:after="0"/>
              <w:rPr>
                <w:sz w:val="20"/>
                <w:szCs w:val="20"/>
                <w:color w:val="auto"/>
              </w:rPr>
            </w:pPr>
            <w:r>
              <w:rPr>
                <w:rFonts w:ascii="Arial" w:cs="Arial" w:eastAsia="Arial" w:hAnsi="Arial"/>
                <w:sz w:val="18"/>
                <w:szCs w:val="18"/>
                <w:color w:val="auto"/>
              </w:rPr>
              <w:t>Business address:</w:t>
            </w:r>
          </w:p>
        </w:tc>
        <w:tc>
          <w:tcPr>
            <w:tcW w:w="8000" w:type="dxa"/>
            <w:vAlign w:val="bottom"/>
          </w:tcPr>
          <w:p>
            <w:pPr>
              <w:spacing w:after="0"/>
              <w:rPr>
                <w:sz w:val="24"/>
                <w:szCs w:val="24"/>
                <w:color w:val="auto"/>
              </w:rPr>
            </w:pPr>
          </w:p>
        </w:tc>
      </w:tr>
      <w:tr>
        <w:trPr>
          <w:trHeight w:val="216"/>
        </w:trPr>
        <w:tc>
          <w:tcPr>
            <w:tcW w:w="3420" w:type="dxa"/>
            <w:vAlign w:val="bottom"/>
          </w:tcPr>
          <w:p>
            <w:pPr>
              <w:ind w:left="580"/>
              <w:spacing w:after="0"/>
              <w:rPr>
                <w:sz w:val="20"/>
                <w:szCs w:val="20"/>
                <w:color w:val="auto"/>
              </w:rPr>
            </w:pPr>
            <w:r>
              <w:rPr>
                <w:rFonts w:ascii="Arial" w:cs="Arial" w:eastAsia="Arial" w:hAnsi="Arial"/>
                <w:sz w:val="18"/>
                <w:szCs w:val="18"/>
                <w:color w:val="auto"/>
              </w:rPr>
              <w:t>640 Memorial Drive</w:t>
            </w:r>
          </w:p>
        </w:tc>
        <w:tc>
          <w:tcPr>
            <w:tcW w:w="8000" w:type="dxa"/>
            <w:vAlign w:val="bottom"/>
          </w:tcPr>
          <w:p>
            <w:pPr>
              <w:spacing w:after="0"/>
              <w:rPr>
                <w:sz w:val="18"/>
                <w:szCs w:val="18"/>
                <w:color w:val="auto"/>
              </w:rPr>
            </w:pPr>
          </w:p>
        </w:tc>
      </w:tr>
      <w:tr>
        <w:trPr>
          <w:trHeight w:val="230"/>
        </w:trPr>
        <w:tc>
          <w:tcPr>
            <w:tcW w:w="3420" w:type="dxa"/>
            <w:vAlign w:val="bottom"/>
          </w:tcPr>
          <w:p>
            <w:pPr>
              <w:ind w:left="580"/>
              <w:spacing w:after="0"/>
              <w:rPr>
                <w:sz w:val="20"/>
                <w:szCs w:val="20"/>
                <w:color w:val="auto"/>
              </w:rPr>
            </w:pPr>
            <w:r>
              <w:rPr>
                <w:rFonts w:ascii="Arial" w:cs="Arial" w:eastAsia="Arial" w:hAnsi="Arial"/>
                <w:sz w:val="18"/>
                <w:szCs w:val="18"/>
                <w:color w:val="auto"/>
              </w:rPr>
              <w:t>Cambridge, MA 02139</w:t>
            </w:r>
          </w:p>
        </w:tc>
        <w:tc>
          <w:tcPr>
            <w:tcW w:w="8000" w:type="dxa"/>
            <w:vAlign w:val="bottom"/>
          </w:tcPr>
          <w:p>
            <w:pPr>
              <w:spacing w:after="0"/>
              <w:rPr>
                <w:sz w:val="20"/>
                <w:szCs w:val="20"/>
                <w:color w:val="auto"/>
              </w:rPr>
            </w:pPr>
          </w:p>
        </w:tc>
      </w:tr>
      <w:tr>
        <w:trPr>
          <w:trHeight w:val="418"/>
        </w:trPr>
        <w:tc>
          <w:tcPr>
            <w:tcW w:w="3420" w:type="dxa"/>
            <w:vAlign w:val="bottom"/>
          </w:tcPr>
          <w:p>
            <w:pPr>
              <w:ind w:left="580"/>
              <w:spacing w:after="0"/>
              <w:rPr>
                <w:sz w:val="20"/>
                <w:szCs w:val="20"/>
                <w:color w:val="auto"/>
              </w:rPr>
            </w:pPr>
            <w:r>
              <w:rPr>
                <w:rFonts w:ascii="Arial" w:cs="Arial" w:eastAsia="Arial" w:hAnsi="Arial"/>
                <w:sz w:val="18"/>
                <w:szCs w:val="18"/>
                <w:color w:val="auto"/>
              </w:rPr>
              <w:t>Dieter Weinand</w:t>
            </w:r>
          </w:p>
        </w:tc>
        <w:tc>
          <w:tcPr>
            <w:tcW w:w="8000" w:type="dxa"/>
            <w:vAlign w:val="bottom"/>
          </w:tcPr>
          <w:p>
            <w:pPr>
              <w:ind w:left="1140"/>
              <w:spacing w:after="0"/>
              <w:rPr>
                <w:sz w:val="20"/>
                <w:szCs w:val="20"/>
                <w:color w:val="auto"/>
              </w:rPr>
            </w:pPr>
            <w:r>
              <w:rPr>
                <w:rFonts w:ascii="Arial" w:cs="Arial" w:eastAsia="Arial" w:hAnsi="Arial"/>
                <w:sz w:val="18"/>
                <w:szCs w:val="18"/>
                <w:color w:val="auto"/>
              </w:rPr>
              <w:t>Executive Vice President, Primary Care</w:t>
            </w:r>
          </w:p>
        </w:tc>
      </w:tr>
      <w:tr>
        <w:trPr>
          <w:trHeight w:val="230"/>
        </w:trPr>
        <w:tc>
          <w:tcPr>
            <w:tcW w:w="342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8000" w:type="dxa"/>
            <w:vAlign w:val="bottom"/>
          </w:tcPr>
          <w:p>
            <w:pPr>
              <w:spacing w:after="0"/>
              <w:rPr>
                <w:sz w:val="20"/>
                <w:szCs w:val="20"/>
                <w:color w:val="auto"/>
              </w:rPr>
            </w:pPr>
          </w:p>
        </w:tc>
      </w:tr>
      <w:tr>
        <w:trPr>
          <w:trHeight w:val="418"/>
        </w:trPr>
        <w:tc>
          <w:tcPr>
            <w:tcW w:w="3420" w:type="dxa"/>
            <w:vAlign w:val="bottom"/>
          </w:tcPr>
          <w:p>
            <w:pPr>
              <w:ind w:left="580"/>
              <w:spacing w:after="0"/>
              <w:rPr>
                <w:sz w:val="20"/>
                <w:szCs w:val="20"/>
                <w:color w:val="auto"/>
              </w:rPr>
            </w:pPr>
            <w:r>
              <w:rPr>
                <w:rFonts w:ascii="Arial" w:cs="Arial" w:eastAsia="Arial" w:hAnsi="Arial"/>
                <w:sz w:val="18"/>
                <w:szCs w:val="18"/>
                <w:color w:val="auto"/>
              </w:rPr>
              <w:t>Business address:</w:t>
            </w:r>
          </w:p>
        </w:tc>
        <w:tc>
          <w:tcPr>
            <w:tcW w:w="8000" w:type="dxa"/>
            <w:vAlign w:val="bottom"/>
          </w:tcPr>
          <w:p>
            <w:pPr>
              <w:spacing w:after="0"/>
              <w:rPr>
                <w:sz w:val="24"/>
                <w:szCs w:val="24"/>
                <w:color w:val="auto"/>
              </w:rPr>
            </w:pPr>
          </w:p>
        </w:tc>
      </w:tr>
      <w:tr>
        <w:trPr>
          <w:trHeight w:val="216"/>
        </w:trPr>
        <w:tc>
          <w:tcPr>
            <w:tcW w:w="3420" w:type="dxa"/>
            <w:vAlign w:val="bottom"/>
          </w:tcPr>
          <w:p>
            <w:pPr>
              <w:ind w:left="580"/>
              <w:spacing w:after="0"/>
              <w:rPr>
                <w:sz w:val="20"/>
                <w:szCs w:val="20"/>
                <w:color w:val="auto"/>
              </w:rPr>
            </w:pPr>
            <w:r>
              <w:rPr>
                <w:rFonts w:ascii="Arial" w:cs="Arial" w:eastAsia="Arial" w:hAnsi="Arial"/>
                <w:sz w:val="18"/>
                <w:szCs w:val="18"/>
                <w:color w:val="auto"/>
              </w:rPr>
              <w:t>55 Corporate Drive</w:t>
            </w:r>
          </w:p>
        </w:tc>
        <w:tc>
          <w:tcPr>
            <w:tcW w:w="8000" w:type="dxa"/>
            <w:vAlign w:val="bottom"/>
          </w:tcPr>
          <w:p>
            <w:pPr>
              <w:spacing w:after="0"/>
              <w:rPr>
                <w:sz w:val="18"/>
                <w:szCs w:val="18"/>
                <w:color w:val="auto"/>
              </w:rPr>
            </w:pPr>
          </w:p>
        </w:tc>
      </w:tr>
      <w:tr>
        <w:trPr>
          <w:trHeight w:val="230"/>
        </w:trPr>
        <w:tc>
          <w:tcPr>
            <w:tcW w:w="3420" w:type="dxa"/>
            <w:vAlign w:val="bottom"/>
          </w:tcPr>
          <w:p>
            <w:pPr>
              <w:ind w:left="580"/>
              <w:spacing w:after="0"/>
              <w:rPr>
                <w:sz w:val="20"/>
                <w:szCs w:val="20"/>
                <w:color w:val="auto"/>
              </w:rPr>
            </w:pPr>
            <w:r>
              <w:rPr>
                <w:rFonts w:ascii="Arial" w:cs="Arial" w:eastAsia="Arial" w:hAnsi="Arial"/>
                <w:sz w:val="18"/>
                <w:szCs w:val="18"/>
                <w:color w:val="auto"/>
              </w:rPr>
              <w:t>Bridgewater, NJ 08807</w:t>
            </w:r>
          </w:p>
        </w:tc>
        <w:tc>
          <w:tcPr>
            <w:tcW w:w="8000" w:type="dxa"/>
            <w:vAlign w:val="bottom"/>
          </w:tcPr>
          <w:p>
            <w:pPr>
              <w:spacing w:after="0"/>
              <w:rPr>
                <w:sz w:val="20"/>
                <w:szCs w:val="20"/>
                <w:color w:val="auto"/>
              </w:rPr>
            </w:pPr>
          </w:p>
        </w:tc>
      </w:tr>
      <w:tr>
        <w:trPr>
          <w:trHeight w:val="650"/>
        </w:trPr>
        <w:tc>
          <w:tcPr>
            <w:tcW w:w="3420" w:type="dxa"/>
            <w:vAlign w:val="bottom"/>
          </w:tcPr>
          <w:p>
            <w:pPr>
              <w:spacing w:after="0"/>
              <w:rPr>
                <w:sz w:val="24"/>
                <w:szCs w:val="24"/>
                <w:color w:val="auto"/>
              </w:rPr>
            </w:pPr>
          </w:p>
        </w:tc>
        <w:tc>
          <w:tcPr>
            <w:tcW w:w="8000" w:type="dxa"/>
            <w:vAlign w:val="bottom"/>
          </w:tcPr>
          <w:p>
            <w:pPr>
              <w:ind w:left="2260"/>
              <w:spacing w:after="0"/>
              <w:rPr>
                <w:sz w:val="20"/>
                <w:szCs w:val="20"/>
                <w:color w:val="auto"/>
              </w:rPr>
            </w:pPr>
            <w:r>
              <w:rPr>
                <w:rFonts w:ascii="Arial" w:cs="Arial" w:eastAsia="Arial" w:hAnsi="Arial"/>
                <w:sz w:val="14"/>
                <w:szCs w:val="14"/>
                <w:color w:val="auto"/>
              </w:rPr>
              <w:t>8</w:t>
            </w:r>
          </w:p>
        </w:tc>
      </w:tr>
      <w:tr>
        <w:trPr>
          <w:trHeight w:val="100"/>
        </w:trPr>
        <w:tc>
          <w:tcPr>
            <w:tcW w:w="3420" w:type="dxa"/>
            <w:vAlign w:val="bottom"/>
            <w:tcBorders>
              <w:bottom w:val="single" w:sz="8" w:color="auto"/>
            </w:tcBorders>
          </w:tcPr>
          <w:p>
            <w:pPr>
              <w:spacing w:after="0"/>
              <w:rPr>
                <w:sz w:val="8"/>
                <w:szCs w:val="8"/>
                <w:color w:val="auto"/>
              </w:rPr>
            </w:pPr>
          </w:p>
        </w:tc>
        <w:tc>
          <w:tcPr>
            <w:tcW w:w="80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2019-12-09T16:15:52Z</dcterms:created>
  <dcterms:modified xsi:type="dcterms:W3CDTF">2019-12-09T16:15:52Z</dcterms:modified>
</cp:coreProperties>
</file>