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5</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5</w:t>
      </w:r>
    </w:p>
    <w:p>
      <w:pPr>
        <w:spacing w:after="0" w:line="14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61595</wp:posOffset>
            </wp:positionV>
            <wp:extent cx="131445" cy="131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114"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86360</wp:posOffset>
            </wp:positionV>
            <wp:extent cx="131445" cy="131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15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ind w:left="220"/>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4222750</wp:posOffset>
            </wp:positionH>
            <wp:positionV relativeFrom="paragraph">
              <wp:posOffset>-36830</wp:posOffset>
            </wp:positionV>
            <wp:extent cx="1398270" cy="64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8270" cy="641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6680" w:type="dxa"/>
            <w:vAlign w:val="bottom"/>
          </w:tcPr>
          <w:p>
            <w:pPr>
              <w:jc w:val="center"/>
              <w:ind w:right="86"/>
              <w:spacing w:after="0"/>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rPr>
                <w:sz w:val="18"/>
                <w:szCs w:val="18"/>
                <w:color w:val="auto"/>
              </w:rPr>
            </w:pPr>
          </w:p>
        </w:tc>
        <w:tc>
          <w:tcPr>
            <w:tcW w:w="2100" w:type="dxa"/>
            <w:vAlign w:val="bottom"/>
            <w:tcBorders>
              <w:top w:val="single" w:sz="8" w:color="2C2C2C"/>
              <w:bottom w:val="single" w:sz="8" w:color="808080"/>
            </w:tcBorders>
            <w:gridSpan w:val="2"/>
          </w:tcPr>
          <w:p>
            <w:pPr>
              <w:ind w:left="38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80" w:type="dxa"/>
            <w:vAlign w:val="bottom"/>
            <w:vMerge w:val="restart"/>
          </w:tcPr>
          <w:p>
            <w:pPr>
              <w:jc w:val="center"/>
              <w:ind w:right="86"/>
              <w:spacing w:after="0"/>
              <w:rPr>
                <w:sz w:val="20"/>
                <w:szCs w:val="20"/>
                <w:color w:val="auto"/>
              </w:rPr>
            </w:pPr>
            <w:r>
              <w:rPr>
                <w:rFonts w:ascii="Arial" w:cs="Arial" w:eastAsia="Arial" w:hAnsi="Arial"/>
                <w:sz w:val="21"/>
                <w:szCs w:val="21"/>
                <w:b w:val="1"/>
                <w:bCs w:val="1"/>
                <w:color w:val="auto"/>
                <w:w w:val="98"/>
              </w:rPr>
              <w:t>ANNUAL STATEMENT OF CHANGES IN BENEFICIAL OWNERSHIP</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w w:val="94"/>
              </w:rPr>
              <w:t>3235-0362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680" w:type="dxa"/>
            <w:vAlign w:val="bottom"/>
            <w:vMerge w:val="restart"/>
          </w:tcPr>
          <w:p>
            <w:pPr>
              <w:jc w:val="center"/>
              <w:ind w:right="8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6680" w:type="dxa"/>
            <w:vAlign w:val="bottom"/>
          </w:tcPr>
          <w:p>
            <w:pPr>
              <w:jc w:val="center"/>
              <w:ind w:right="86"/>
              <w:spacing w:after="0"/>
              <w:rPr>
                <w:sz w:val="20"/>
                <w:szCs w:val="20"/>
                <w:color w:val="auto"/>
              </w:rPr>
            </w:pPr>
            <w:r>
              <w:rPr>
                <w:rFonts w:ascii="Arial" w:cs="Arial" w:eastAsia="Arial" w:hAnsi="Arial"/>
                <w:sz w:val="13"/>
                <w:szCs w:val="13"/>
                <w:color w:val="auto"/>
                <w:w w:val="99"/>
              </w:rPr>
              <w:t>or Section 30(h) of the Investment Company Act of 1940</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61595</wp:posOffset>
            </wp:positionV>
            <wp:extent cx="7325360" cy="550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5360" cy="5501640"/>
                    </a:xfrm>
                    <a:prstGeom prst="rect">
                      <a:avLst/>
                    </a:prstGeom>
                    <a:noFill/>
                  </pic:spPr>
                </pic:pic>
              </a:graphicData>
            </a:graphic>
          </wp:anchor>
        </w:drawing>
      </w:r>
    </w:p>
    <w:p>
      <w:pPr>
        <w:spacing w:after="0" w:line="166" w:lineRule="exact"/>
        <w:rPr>
          <w:sz w:val="24"/>
          <w:szCs w:val="24"/>
          <w:color w:val="auto"/>
        </w:rPr>
      </w:pPr>
    </w:p>
    <w:p>
      <w:pPr>
        <w:sectPr>
          <w:pgSz w:w="11900" w:h="16838" w:orient="portrait"/>
          <w:cols w:equalWidth="0" w:num="2">
            <w:col w:w="2280" w:space="260"/>
            <w:col w:w="8980"/>
          </w:cols>
          <w:pgMar w:left="240" w:top="222"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SHOOTER ERIC M</w:t>
        </w:r>
      </w:hyperlink>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70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382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2"/>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r>
      <w:tr>
        <w:trPr>
          <w:trHeight w:val="2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700" w:type="dxa"/>
            <w:vAlign w:val="bottom"/>
          </w:tcPr>
          <w:p>
            <w:pPr>
              <w:ind w:left="460"/>
              <w:spacing w:after="0"/>
              <w:rPr>
                <w:sz w:val="20"/>
                <w:szCs w:val="20"/>
                <w:color w:val="auto"/>
              </w:rPr>
            </w:pPr>
            <w:r>
              <w:rPr>
                <w:rFonts w:ascii="Arial" w:cs="Arial" w:eastAsia="Arial" w:hAnsi="Arial"/>
                <w:sz w:val="17"/>
                <w:szCs w:val="17"/>
                <w:color w:val="0000FF"/>
              </w:rPr>
              <w:t>10591</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940" w:type="dxa"/>
            <w:vAlign w:val="bottom"/>
            <w:gridSpan w:val="2"/>
          </w:tcPr>
          <w:p>
            <w:pPr>
              <w:spacing w:after="0" w:line="138" w:lineRule="exact"/>
              <w:rPr>
                <w:rFonts w:ascii="Arial" w:cs="Arial" w:eastAsia="Arial" w:hAnsi="Arial"/>
                <w:sz w:val="15"/>
                <w:szCs w:val="15"/>
                <w:color w:val="0000EE"/>
              </w:rPr>
            </w:pPr>
            <w:hyperlink r:id="rId14">
              <w:r>
                <w:rPr>
                  <w:rFonts w:ascii="Arial" w:cs="Arial" w:eastAsia="Arial" w:hAnsi="Arial"/>
                  <w:sz w:val="15"/>
                  <w:szCs w:val="15"/>
                  <w:color w:val="0000EE"/>
                </w:rPr>
                <w:t>REGENERON PHARMACEUTICALS INC</w:t>
              </w:r>
            </w:hyperlink>
          </w:p>
        </w:tc>
        <w:tc>
          <w:tcPr>
            <w:tcW w:w="18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940" w:type="dxa"/>
            <w:vAlign w:val="bottom"/>
            <w:gridSpan w:val="2"/>
          </w:tcPr>
          <w:p>
            <w:pPr>
              <w:spacing w:after="0"/>
              <w:rPr>
                <w:sz w:val="3"/>
                <w:szCs w:val="3"/>
                <w:color w:val="auto"/>
              </w:rPr>
            </w:pPr>
          </w:p>
        </w:tc>
        <w:tc>
          <w:tcPr>
            <w:tcW w:w="50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760" w:type="dxa"/>
            <w:vAlign w:val="bottom"/>
            <w:shd w:val="clear" w:color="auto" w:fill="0000EE"/>
          </w:tcPr>
          <w:p>
            <w:pPr>
              <w:spacing w:after="0"/>
              <w:rPr>
                <w:rFonts w:ascii="Arial" w:cs="Arial" w:eastAsia="Arial" w:hAnsi="Arial"/>
                <w:sz w:val="1"/>
                <w:szCs w:val="1"/>
                <w:color w:val="auto"/>
              </w:rPr>
            </w:pPr>
            <w:hyperlink r:id="rId14">
              <w:r>
                <w:rPr>
                  <w:rFonts w:ascii="Arial" w:cs="Arial" w:eastAsia="Arial" w:hAnsi="Arial"/>
                  <w:sz w:val="1"/>
                  <w:szCs w:val="1"/>
                  <w:color w:val="auto"/>
                </w:rPr>
                <w:t xml:space="preserve">[ </w:t>
              </w:r>
              <w:r>
                <w:rPr>
                  <w:rFonts w:ascii="Arial" w:cs="Arial" w:eastAsia="Arial" w:hAnsi="Arial"/>
                  <w:sz w:val="1"/>
                  <w:szCs w:val="1"/>
                  <w:color w:val="0000FF"/>
                </w:rPr>
                <w:t>REGN</w:t>
              </w:r>
              <w:r>
                <w:rPr>
                  <w:rFonts w:ascii="Arial" w:cs="Arial" w:eastAsia="Arial" w:hAnsi="Arial"/>
                  <w:sz w:val="1"/>
                  <w:szCs w:val="1"/>
                  <w:color w:val="auto"/>
                </w:rPr>
                <w:t xml:space="preserve"> ]</w:t>
              </w:r>
            </w:hyperlink>
          </w:p>
        </w:tc>
        <w:tc>
          <w:tcPr>
            <w:tcW w:w="1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3940" w:type="dxa"/>
            <w:vAlign w:val="bottom"/>
            <w:gridSpan w:val="2"/>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9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12/31/2012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 w:type="dxa"/>
            <w:vAlign w:val="bottom"/>
            <w:tcBorders>
              <w:bottom w:val="single" w:sz="8" w:color="2C2C2C"/>
            </w:tcBorders>
          </w:tcPr>
          <w:p>
            <w:pPr>
              <w:spacing w:after="0"/>
              <w:rPr>
                <w:sz w:val="13"/>
                <w:szCs w:val="13"/>
                <w:color w:val="auto"/>
              </w:rPr>
            </w:pPr>
          </w:p>
        </w:tc>
        <w:tc>
          <w:tcPr>
            <w:tcW w:w="37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60"/>
        <w:spacing w:after="0" w:line="212"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 Person</w:t>
      </w:r>
    </w:p>
    <w:p>
      <w:pPr>
        <w:spacing w:after="0" w:line="351" w:lineRule="exact"/>
        <w:rPr>
          <w:sz w:val="20"/>
          <w:szCs w:val="20"/>
          <w:color w:val="auto"/>
        </w:rPr>
      </w:pPr>
    </w:p>
    <w:p>
      <w:pPr>
        <w:sectPr>
          <w:pgSz w:w="11900" w:h="16838" w:orient="portrait"/>
          <w:cols w:equalWidth="0" w:num="2">
            <w:col w:w="3920" w:space="80"/>
            <w:col w:w="752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40" w:type="dxa"/>
            <w:vAlign w:val="bottom"/>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gridSpan w:val="2"/>
          </w:tcPr>
          <w:p>
            <w:pPr>
              <w:ind w:left="2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jc w:val="right"/>
              <w:ind w:right="492"/>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2"/>
                <w:szCs w:val="12"/>
                <w:color w:val="auto"/>
              </w:rPr>
            </w:pPr>
          </w:p>
        </w:tc>
        <w:tc>
          <w:tcPr>
            <w:tcW w:w="25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220" w:type="dxa"/>
            <w:vAlign w:val="bottom"/>
          </w:tcPr>
          <w:p>
            <w:pPr>
              <w:spacing w:after="0"/>
              <w:rPr>
                <w:sz w:val="12"/>
                <w:szCs w:val="12"/>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Transaction</w:t>
            </w:r>
          </w:p>
        </w:tc>
        <w:tc>
          <w:tcPr>
            <w:tcW w:w="60" w:type="dxa"/>
            <w:vAlign w:val="bottom"/>
          </w:tcPr>
          <w:p>
            <w:pPr>
              <w:spacing w:after="0"/>
              <w:rPr>
                <w:sz w:val="11"/>
                <w:szCs w:val="11"/>
                <w:color w:val="auto"/>
              </w:rPr>
            </w:pP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 (Instr. 3, 4 and 5)</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0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320"/>
              <w:spacing w:after="0" w:line="130" w:lineRule="exact"/>
              <w:rPr>
                <w:sz w:val="20"/>
                <w:szCs w:val="20"/>
                <w:color w:val="auto"/>
              </w:rPr>
            </w:pPr>
            <w:r>
              <w:rPr>
                <w:rFonts w:ascii="Arial" w:cs="Arial" w:eastAsia="Arial" w:hAnsi="Arial"/>
                <w:sz w:val="12"/>
                <w:szCs w:val="12"/>
                <w:b w:val="1"/>
                <w:bCs w:val="1"/>
                <w:color w:val="auto"/>
              </w:rPr>
              <w:t>(Month/Day/Year)  if any</w:t>
            </w:r>
          </w:p>
        </w:tc>
        <w:tc>
          <w:tcPr>
            <w:tcW w:w="62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Code (Instr.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10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60" w:type="dxa"/>
            <w:vAlign w:val="bottom"/>
            <w:gridSpan w:val="2"/>
            <w:vMerge w:val="restart"/>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vMerge w:val="restart"/>
          </w:tcPr>
          <w:p>
            <w:pPr>
              <w:jc w:val="right"/>
              <w:ind w:right="492"/>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9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Owned at end of</w:t>
            </w:r>
          </w:p>
        </w:tc>
        <w:tc>
          <w:tcPr>
            <w:tcW w:w="1080" w:type="dxa"/>
            <w:vAlign w:val="bottom"/>
            <w:gridSpan w:val="2"/>
            <w:vMerge w:val="restart"/>
          </w:tcPr>
          <w:p>
            <w:pPr>
              <w:ind w:left="220"/>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3"/>
              </w:rPr>
              <w:t>(A) or</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Issuer's Fiscal</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vMerge w:val="restart"/>
          </w:tcPr>
          <w:p>
            <w:pPr>
              <w:ind w:left="220"/>
              <w:spacing w:after="0" w:line="130" w:lineRule="exact"/>
              <w:rPr>
                <w:sz w:val="20"/>
                <w:szCs w:val="20"/>
                <w:color w:val="auto"/>
              </w:rPr>
            </w:pPr>
            <w:r>
              <w:rPr>
                <w:rFonts w:ascii="Arial" w:cs="Arial" w:eastAsia="Arial" w:hAnsi="Arial"/>
                <w:sz w:val="12"/>
                <w:szCs w:val="12"/>
                <w:b w:val="1"/>
                <w:bCs w:val="1"/>
                <w:color w:val="auto"/>
              </w:rPr>
              <w:t>Price</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w w:val="96"/>
              </w:rPr>
              <w:t>Year (Instr. 3 and</w:t>
            </w: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07/26/2012</w:t>
            </w:r>
          </w:p>
        </w:tc>
        <w:tc>
          <w:tcPr>
            <w:tcW w:w="6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G</w:t>
            </w:r>
          </w:p>
        </w:tc>
        <w:tc>
          <w:tcPr>
            <w:tcW w:w="10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2,500</w:t>
            </w:r>
            <w:r>
              <w:rPr>
                <w:rFonts w:ascii="Arial" w:cs="Arial" w:eastAsia="Arial" w:hAnsi="Arial"/>
                <w:sz w:val="21"/>
                <w:szCs w:val="21"/>
                <w:color w:val="00800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1100" w:type="dxa"/>
            <w:vAlign w:val="bottom"/>
            <w:tcBorders>
              <w:bottom w:val="single" w:sz="8" w:color="2C2C2C"/>
            </w:tcBorders>
            <w:gridSpan w:val="2"/>
          </w:tcPr>
          <w:p>
            <w:pPr>
              <w:ind w:left="56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2"/>
          </w:tcPr>
          <w:p>
            <w:pPr>
              <w:jc w:val="center"/>
              <w:ind w:left="312"/>
              <w:spacing w:after="0"/>
              <w:rPr>
                <w:sz w:val="20"/>
                <w:szCs w:val="20"/>
                <w:color w:val="auto"/>
              </w:rPr>
            </w:pPr>
            <w:r>
              <w:rPr>
                <w:rFonts w:ascii="Arial" w:cs="Arial" w:eastAsia="Arial" w:hAnsi="Arial"/>
                <w:sz w:val="17"/>
                <w:szCs w:val="17"/>
                <w:color w:val="0000FF"/>
                <w:w w:val="89"/>
              </w:rPr>
              <w:t>2,500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580"/>
              <w:spacing w:after="0"/>
              <w:rPr>
                <w:sz w:val="20"/>
                <w:szCs w:val="20"/>
                <w:color w:val="auto"/>
              </w:rPr>
            </w:pPr>
            <w:r>
              <w:rPr>
                <w:rFonts w:ascii="Arial" w:cs="Arial" w:eastAsia="Arial" w:hAnsi="Arial"/>
                <w:sz w:val="17"/>
                <w:szCs w:val="17"/>
                <w:color w:val="0000FF"/>
              </w:rPr>
              <w:t>I</w:t>
            </w:r>
          </w:p>
        </w:tc>
        <w:tc>
          <w:tcPr>
            <w:tcW w:w="4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GRAT self</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880" w:type="dxa"/>
            <w:vAlign w:val="bottom"/>
            <w:gridSpan w:val="2"/>
            <w:vMerge w:val="restart"/>
          </w:tcPr>
          <w:p>
            <w:pPr>
              <w:ind w:left="420"/>
              <w:spacing w:after="0"/>
              <w:rPr>
                <w:sz w:val="20"/>
                <w:szCs w:val="20"/>
                <w:color w:val="auto"/>
              </w:rPr>
            </w:pPr>
            <w:r>
              <w:rPr>
                <w:rFonts w:ascii="Arial" w:cs="Arial" w:eastAsia="Arial" w:hAnsi="Arial"/>
                <w:sz w:val="17"/>
                <w:szCs w:val="17"/>
                <w:color w:val="0000FF"/>
              </w:rPr>
              <w:t>07/26/2012</w:t>
            </w:r>
          </w:p>
        </w:tc>
        <w:tc>
          <w:tcPr>
            <w:tcW w:w="620" w:type="dxa"/>
            <w:vAlign w:val="bottom"/>
          </w:tcPr>
          <w:p>
            <w:pPr>
              <w:spacing w:after="0"/>
              <w:rPr>
                <w:sz w:val="21"/>
                <w:szCs w:val="2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G</w:t>
            </w:r>
          </w:p>
        </w:tc>
        <w:tc>
          <w:tcPr>
            <w:tcW w:w="1020" w:type="dxa"/>
            <w:vAlign w:val="bottom"/>
            <w:gridSpan w:val="3"/>
            <w:vMerge w:val="restart"/>
          </w:tcPr>
          <w:p>
            <w:pPr>
              <w:ind w:left="340"/>
              <w:spacing w:after="0"/>
              <w:rPr>
                <w:sz w:val="20"/>
                <w:szCs w:val="20"/>
                <w:color w:val="auto"/>
              </w:rPr>
            </w:pPr>
            <w:r>
              <w:rPr>
                <w:rFonts w:ascii="Arial" w:cs="Arial" w:eastAsia="Arial" w:hAnsi="Arial"/>
                <w:sz w:val="17"/>
                <w:szCs w:val="17"/>
                <w:color w:val="0000FF"/>
              </w:rPr>
              <w:t>2,500</w:t>
            </w:r>
            <w:r>
              <w:rPr>
                <w:rFonts w:ascii="Arial" w:cs="Arial" w:eastAsia="Arial" w:hAnsi="Arial"/>
                <w:sz w:val="21"/>
                <w:szCs w:val="21"/>
                <w:color w:val="008000"/>
                <w:vertAlign w:val="superscript"/>
              </w:rPr>
              <w:t>(1)</w:t>
            </w:r>
          </w:p>
        </w:tc>
        <w:tc>
          <w:tcPr>
            <w:tcW w:w="50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1100" w:type="dxa"/>
            <w:vAlign w:val="bottom"/>
            <w:gridSpan w:val="2"/>
            <w:vMerge w:val="restart"/>
          </w:tcPr>
          <w:p>
            <w:pPr>
              <w:ind w:left="560"/>
              <w:spacing w:after="0"/>
              <w:rPr>
                <w:sz w:val="20"/>
                <w:szCs w:val="20"/>
                <w:color w:val="auto"/>
              </w:rPr>
            </w:pPr>
            <w:r>
              <w:rPr>
                <w:rFonts w:ascii="Arial" w:cs="Arial" w:eastAsia="Arial" w:hAnsi="Arial"/>
                <w:sz w:val="11"/>
                <w:szCs w:val="11"/>
                <w:color w:val="008000"/>
              </w:rPr>
              <w:t>(2)</w:t>
            </w:r>
          </w:p>
        </w:tc>
        <w:tc>
          <w:tcPr>
            <w:tcW w:w="800" w:type="dxa"/>
            <w:vAlign w:val="bottom"/>
            <w:gridSpan w:val="2"/>
            <w:vMerge w:val="restart"/>
          </w:tcPr>
          <w:p>
            <w:pPr>
              <w:jc w:val="center"/>
              <w:ind w:left="312"/>
              <w:spacing w:after="0"/>
              <w:rPr>
                <w:sz w:val="20"/>
                <w:szCs w:val="20"/>
                <w:color w:val="auto"/>
              </w:rPr>
            </w:pPr>
            <w:r>
              <w:rPr>
                <w:rFonts w:ascii="Arial" w:cs="Arial" w:eastAsia="Arial" w:hAnsi="Arial"/>
                <w:sz w:val="17"/>
                <w:szCs w:val="17"/>
                <w:color w:val="0000FF"/>
                <w:w w:val="89"/>
              </w:rPr>
              <w:t>2,500</w:t>
            </w:r>
          </w:p>
        </w:tc>
        <w:tc>
          <w:tcPr>
            <w:tcW w:w="220" w:type="dxa"/>
            <w:vAlign w:val="bottom"/>
          </w:tcPr>
          <w:p>
            <w:pPr>
              <w:spacing w:after="0"/>
              <w:rPr>
                <w:sz w:val="21"/>
                <w:szCs w:val="21"/>
                <w:color w:val="auto"/>
              </w:rPr>
            </w:pPr>
          </w:p>
        </w:tc>
        <w:tc>
          <w:tcPr>
            <w:tcW w:w="680" w:type="dxa"/>
            <w:vAlign w:val="bottom"/>
            <w:vMerge w:val="restart"/>
          </w:tcPr>
          <w:p>
            <w:pPr>
              <w:ind w:left="5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07/25/2012</w:t>
            </w:r>
          </w:p>
        </w:tc>
        <w:tc>
          <w:tcPr>
            <w:tcW w:w="6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G</w:t>
            </w:r>
          </w:p>
        </w:tc>
        <w:tc>
          <w:tcPr>
            <w:tcW w:w="10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5,000</w:t>
            </w:r>
            <w:r>
              <w:rPr>
                <w:rFonts w:ascii="Arial" w:cs="Arial" w:eastAsia="Arial" w:hAnsi="Arial"/>
                <w:sz w:val="21"/>
                <w:szCs w:val="21"/>
                <w:color w:val="00800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1100" w:type="dxa"/>
            <w:vAlign w:val="bottom"/>
            <w:tcBorders>
              <w:bottom w:val="single" w:sz="8" w:color="2C2C2C"/>
            </w:tcBorders>
            <w:gridSpan w:val="2"/>
          </w:tcPr>
          <w:p>
            <w:pPr>
              <w:ind w:left="56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2"/>
          </w:tcPr>
          <w:p>
            <w:pPr>
              <w:jc w:val="center"/>
              <w:ind w:left="312"/>
              <w:spacing w:after="0"/>
              <w:rPr>
                <w:sz w:val="20"/>
                <w:szCs w:val="20"/>
                <w:color w:val="auto"/>
              </w:rPr>
            </w:pPr>
            <w:r>
              <w:rPr>
                <w:rFonts w:ascii="Arial" w:cs="Arial" w:eastAsia="Arial" w:hAnsi="Arial"/>
                <w:sz w:val="17"/>
                <w:szCs w:val="17"/>
                <w:color w:val="0000FF"/>
                <w:w w:val="92"/>
              </w:rPr>
              <w:t>0.0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580"/>
              <w:spacing w:after="0"/>
              <w:rPr>
                <w:sz w:val="20"/>
                <w:szCs w:val="20"/>
                <w:color w:val="auto"/>
              </w:rPr>
            </w:pPr>
            <w:r>
              <w:rPr>
                <w:rFonts w:ascii="Arial" w:cs="Arial" w:eastAsia="Arial" w:hAnsi="Arial"/>
                <w:sz w:val="17"/>
                <w:szCs w:val="17"/>
                <w:color w:val="0000FF"/>
              </w:rPr>
              <w:t>I</w:t>
            </w:r>
          </w:p>
        </w:tc>
        <w:tc>
          <w:tcPr>
            <w:tcW w:w="4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rPr>
              <w:t>by 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580" w:type="dxa"/>
            <w:vAlign w:val="bottom"/>
            <w:gridSpan w:val="12"/>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right"/>
              <w:ind w:right="560"/>
              <w:spacing w:after="0"/>
              <w:rPr>
                <w:sz w:val="20"/>
                <w:szCs w:val="20"/>
                <w:color w:val="auto"/>
              </w:rPr>
            </w:pPr>
            <w:r>
              <w:rPr>
                <w:rFonts w:ascii="Arial" w:cs="Arial" w:eastAsia="Arial" w:hAnsi="Arial"/>
                <w:sz w:val="12"/>
                <w:szCs w:val="12"/>
                <w:b w:val="1"/>
                <w:bCs w:val="1"/>
                <w:color w:val="auto"/>
                <w:w w:val="99"/>
              </w:rPr>
              <w:t>4.</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ind w:right="2"/>
              <w:spacing w:after="0"/>
              <w:rPr>
                <w:sz w:val="20"/>
                <w:szCs w:val="20"/>
                <w:color w:val="auto"/>
              </w:rPr>
            </w:pPr>
            <w:r>
              <w:rPr>
                <w:rFonts w:ascii="Arial" w:cs="Arial" w:eastAsia="Arial" w:hAnsi="Arial"/>
                <w:sz w:val="12"/>
                <w:szCs w:val="12"/>
                <w:b w:val="1"/>
                <w:bCs w:val="1"/>
                <w:color w:val="auto"/>
                <w:w w:val="94"/>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4"/>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66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2"/>
              <w:spacing w:after="0" w:line="130" w:lineRule="exact"/>
              <w:rPr>
                <w:sz w:val="20"/>
                <w:szCs w:val="20"/>
                <w:color w:val="auto"/>
              </w:rPr>
            </w:pPr>
            <w:r>
              <w:rPr>
                <w:rFonts w:ascii="Arial" w:cs="Arial" w:eastAsia="Arial" w:hAnsi="Arial"/>
                <w:sz w:val="12"/>
                <w:szCs w:val="12"/>
                <w:b w:val="1"/>
                <w:bCs w:val="1"/>
                <w:color w:val="auto"/>
                <w:w w:val="94"/>
              </w:rPr>
              <w:t>Derivative</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Code (Instr.</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 Acquired</w:t>
            </w: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right"/>
              <w:ind w:right="560"/>
              <w:spacing w:after="0" w:line="130" w:lineRule="exact"/>
              <w:rPr>
                <w:sz w:val="20"/>
                <w:szCs w:val="20"/>
                <w:color w:val="auto"/>
              </w:rPr>
            </w:pPr>
            <w:r>
              <w:rPr>
                <w:rFonts w:ascii="Arial" w:cs="Arial" w:eastAsia="Arial" w:hAnsi="Arial"/>
                <w:sz w:val="12"/>
                <w:szCs w:val="12"/>
                <w:b w:val="1"/>
                <w:bCs w:val="1"/>
                <w:color w:val="auto"/>
                <w:w w:val="93"/>
              </w:rPr>
              <w:t>8)</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 Disposed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 (Instr. 3, 4 and 5)</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660" w:type="dxa"/>
            <w:vAlign w:val="bottom"/>
          </w:tcPr>
          <w:p>
            <w:pPr>
              <w:jc w:val="right"/>
              <w:ind w:right="372"/>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07/26/2012</w:t>
            </w:r>
          </w:p>
        </w:tc>
        <w:tc>
          <w:tcPr>
            <w:tcW w:w="11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78"/>
              </w:rPr>
              <w:t>G</w:t>
            </w: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w w:val="94"/>
              </w:rPr>
              <w:t>17,500</w:t>
            </w:r>
            <w:r>
              <w:rPr>
                <w:rFonts w:ascii="Arial" w:cs="Arial" w:eastAsia="Arial" w:hAnsi="Arial"/>
                <w:sz w:val="21"/>
                <w:szCs w:val="21"/>
                <w:color w:val="008000"/>
                <w:w w:val="94"/>
                <w:vertAlign w:val="superscript"/>
              </w:rPr>
              <w:t>(5)</w:t>
            </w:r>
          </w:p>
        </w:tc>
        <w:tc>
          <w:tcPr>
            <w:tcW w:w="660" w:type="dxa"/>
            <w:vAlign w:val="bottom"/>
          </w:tcPr>
          <w:p>
            <w:pPr>
              <w:spacing w:after="0"/>
              <w:rPr>
                <w:sz w:val="16"/>
                <w:szCs w:val="1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500" w:type="dxa"/>
            <w:vAlign w:val="bottom"/>
            <w:vMerge w:val="restart"/>
          </w:tcPr>
          <w:p>
            <w:pPr>
              <w:jc w:val="center"/>
              <w:ind w:right="274"/>
              <w:spacing w:after="0"/>
              <w:rPr>
                <w:sz w:val="20"/>
                <w:szCs w:val="20"/>
                <w:color w:val="auto"/>
              </w:rPr>
            </w:pPr>
            <w:r>
              <w:rPr>
                <w:rFonts w:ascii="Arial" w:cs="Arial" w:eastAsia="Arial" w:hAnsi="Arial"/>
                <w:sz w:val="11"/>
                <w:szCs w:val="11"/>
                <w:color w:val="008000"/>
                <w:w w:val="88"/>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17,500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3"/>
                <w:szCs w:val="13"/>
                <w:color w:val="0000FF"/>
                <w:w w:val="90"/>
              </w:rPr>
              <w:t>27,500</w:t>
            </w:r>
          </w:p>
        </w:tc>
        <w:tc>
          <w:tcPr>
            <w:tcW w:w="400" w:type="dxa"/>
            <w:vAlign w:val="bottom"/>
            <w:vMerge w:val="restart"/>
          </w:tcPr>
          <w:p>
            <w:pPr>
              <w:ind w:left="32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GRAT self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4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07/26/2012</w:t>
            </w:r>
          </w:p>
        </w:tc>
        <w:tc>
          <w:tcPr>
            <w:tcW w:w="11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78"/>
              </w:rPr>
              <w:t>G</w:t>
            </w: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w w:val="94"/>
              </w:rPr>
              <w:t>17,500</w:t>
            </w:r>
            <w:r>
              <w:rPr>
                <w:rFonts w:ascii="Arial" w:cs="Arial" w:eastAsia="Arial" w:hAnsi="Arial"/>
                <w:sz w:val="21"/>
                <w:szCs w:val="21"/>
                <w:color w:val="008000"/>
                <w:w w:val="94"/>
                <w:vertAlign w:val="superscript"/>
              </w:rPr>
              <w:t>(5)</w:t>
            </w:r>
          </w:p>
        </w:tc>
        <w:tc>
          <w:tcPr>
            <w:tcW w:w="660" w:type="dxa"/>
            <w:vAlign w:val="bottom"/>
          </w:tcPr>
          <w:p>
            <w:pPr>
              <w:spacing w:after="0"/>
              <w:rPr>
                <w:sz w:val="16"/>
                <w:szCs w:val="1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500" w:type="dxa"/>
            <w:vAlign w:val="bottom"/>
            <w:vMerge w:val="restart"/>
          </w:tcPr>
          <w:p>
            <w:pPr>
              <w:jc w:val="center"/>
              <w:ind w:right="274"/>
              <w:spacing w:after="0"/>
              <w:rPr>
                <w:sz w:val="20"/>
                <w:szCs w:val="20"/>
                <w:color w:val="auto"/>
              </w:rPr>
            </w:pPr>
            <w:r>
              <w:rPr>
                <w:rFonts w:ascii="Arial" w:cs="Arial" w:eastAsia="Arial" w:hAnsi="Arial"/>
                <w:sz w:val="11"/>
                <w:szCs w:val="11"/>
                <w:color w:val="008000"/>
                <w:w w:val="88"/>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17,500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3"/>
                <w:szCs w:val="13"/>
                <w:color w:val="0000FF"/>
                <w:w w:val="90"/>
              </w:rPr>
              <w:t>27,500</w:t>
            </w:r>
          </w:p>
        </w:tc>
        <w:tc>
          <w:tcPr>
            <w:tcW w:w="400" w:type="dxa"/>
            <w:vAlign w:val="bottom"/>
            <w:vMerge w:val="restart"/>
          </w:tcPr>
          <w:p>
            <w:pPr>
              <w:ind w:left="32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GRAT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4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07/26/2012</w:t>
            </w:r>
          </w:p>
        </w:tc>
        <w:tc>
          <w:tcPr>
            <w:tcW w:w="11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78"/>
              </w:rPr>
              <w:t>G</w:t>
            </w:r>
          </w:p>
        </w:tc>
        <w:tc>
          <w:tcPr>
            <w:tcW w:w="62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35,000</w:t>
            </w:r>
            <w:r>
              <w:rPr>
                <w:rFonts w:ascii="Arial" w:cs="Arial" w:eastAsia="Arial" w:hAnsi="Arial"/>
                <w:sz w:val="21"/>
                <w:szCs w:val="21"/>
                <w:color w:val="008000"/>
                <w:w w:val="87"/>
                <w:vertAlign w:val="superscript"/>
              </w:rPr>
              <w:t>(5)</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500" w:type="dxa"/>
            <w:vAlign w:val="bottom"/>
            <w:vMerge w:val="restart"/>
          </w:tcPr>
          <w:p>
            <w:pPr>
              <w:jc w:val="center"/>
              <w:ind w:right="274"/>
              <w:spacing w:after="0"/>
              <w:rPr>
                <w:sz w:val="20"/>
                <w:szCs w:val="20"/>
                <w:color w:val="auto"/>
              </w:rPr>
            </w:pPr>
            <w:r>
              <w:rPr>
                <w:rFonts w:ascii="Arial" w:cs="Arial" w:eastAsia="Arial" w:hAnsi="Arial"/>
                <w:sz w:val="11"/>
                <w:szCs w:val="11"/>
                <w:color w:val="008000"/>
                <w:w w:val="88"/>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35,000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680" w:type="dxa"/>
            <w:vAlign w:val="bottom"/>
            <w:vMerge w:val="restart"/>
          </w:tcPr>
          <w:p>
            <w:pPr>
              <w:jc w:val="center"/>
              <w:ind w:right="232"/>
              <w:spacing w:after="0"/>
              <w:rPr>
                <w:sz w:val="20"/>
                <w:szCs w:val="20"/>
                <w:color w:val="auto"/>
              </w:rPr>
            </w:pPr>
            <w:r>
              <w:rPr>
                <w:rFonts w:ascii="Arial" w:cs="Arial" w:eastAsia="Arial" w:hAnsi="Arial"/>
                <w:sz w:val="13"/>
                <w:szCs w:val="13"/>
                <w:color w:val="0000FF"/>
                <w:w w:val="92"/>
              </w:rPr>
              <w:t>1,911</w:t>
            </w:r>
          </w:p>
        </w:tc>
        <w:tc>
          <w:tcPr>
            <w:tcW w:w="400" w:type="dxa"/>
            <w:vAlign w:val="bottom"/>
            <w:vMerge w:val="restart"/>
          </w:tcPr>
          <w:p>
            <w:pPr>
              <w:ind w:left="32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by 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4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2"/>
        <w:spacing w:after="0" w:line="29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5,000 shares of Class A Stock were distributed by the Shooter Family Trust in equal amounts to each of the reporting person and his spouse, the beneficiaries of the Shooter Family Trust. Upon receipt of such shares, each of the reporting person and his spouse contributed such shares to a grantor retained annuity trust for the benefit of such person and the remaindermen, an adult child and her children.</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and his spouse are co-trustees and beneficiaries of the Shooter Family Trust.</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Class A Stock of Regeneron Pharmaceuticals, Inc. ("Regeneron") converts to Common Stock of Regeneron on a one-to-one basis upon certain events.</w:t>
      </w:r>
    </w:p>
    <w:p>
      <w:pPr>
        <w:spacing w:after="0" w:line="44" w:lineRule="exact"/>
        <w:rPr>
          <w:rFonts w:ascii="Arial" w:cs="Arial" w:eastAsia="Arial" w:hAnsi="Arial"/>
          <w:sz w:val="13"/>
          <w:szCs w:val="13"/>
          <w:color w:val="008000"/>
        </w:rPr>
      </w:pPr>
    </w:p>
    <w:p>
      <w:pPr>
        <w:ind w:left="40" w:right="520" w:firstLine="2"/>
        <w:spacing w:after="0" w:line="29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35,000 shares of Class A Stock were distributed by the Shooter Family Trust in equal amounts to each of the reporting person and his spouse, the beneficiaries of the Shooter Family Trust. Upon receipt of such shares, each of the reporting person and his spouse contributed such shares to a grantor retained annuity trust for the benefit of such person and the remaindermen, an adult child and her children.</w:t>
      </w:r>
    </w:p>
    <w:p>
      <w:pPr>
        <w:spacing w:after="0" w:line="1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Shooter, Ericnull</w:t>
            </w:r>
          </w:p>
        </w:tc>
        <w:tc>
          <w:tcPr>
            <w:tcW w:w="1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02/06/2013</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00" w:firstLine="2"/>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5472"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2019-12-18T09:32:30Z</dcterms:created>
  <dcterms:modified xsi:type="dcterms:W3CDTF">2019-12-18T09:32:30Z</dcterms:modified>
</cp:coreProperties>
</file>