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1"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1"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FORM 15</w:t>
      </w:r>
    </w:p>
    <w:p>
      <w:pPr>
        <w:spacing w:after="0" w:line="200" w:lineRule="exact"/>
        <w:rPr>
          <w:sz w:val="24"/>
          <w:szCs w:val="24"/>
          <w:color w:val="auto"/>
        </w:rPr>
      </w:pPr>
    </w:p>
    <w:p>
      <w:pPr>
        <w:spacing w:after="0" w:line="201" w:lineRule="exact"/>
        <w:rPr>
          <w:sz w:val="24"/>
          <w:szCs w:val="24"/>
          <w:color w:val="auto"/>
        </w:rPr>
      </w:pPr>
    </w:p>
    <w:p>
      <w:pPr>
        <w:jc w:val="center"/>
        <w:ind w:right="2099"/>
        <w:spacing w:after="0" w:line="262"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65" w:lineRule="exact"/>
        <w:rPr>
          <w:sz w:val="24"/>
          <w:szCs w:val="24"/>
          <w:color w:val="auto"/>
        </w:rPr>
      </w:pPr>
    </w:p>
    <w:p>
      <w:pPr>
        <w:jc w:val="right"/>
        <w:ind w:right="20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000-19034</w:t>
      </w:r>
    </w:p>
    <w:p>
      <w:pPr>
        <w:spacing w:after="0" w:line="200" w:lineRule="exact"/>
        <w:rPr>
          <w:sz w:val="24"/>
          <w:szCs w:val="24"/>
          <w:color w:val="auto"/>
        </w:rPr>
      </w:pPr>
    </w:p>
    <w:p>
      <w:pPr>
        <w:spacing w:after="0" w:line="20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REGENERON PHARMACEUTICALS, INC.</w:t>
      </w:r>
    </w:p>
    <w:p>
      <w:pPr>
        <w:spacing w:after="0" w:line="110"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pacing w:after="0" w:line="395"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777 Old Saw Mill River Road</w:t>
      </w:r>
    </w:p>
    <w:p>
      <w:pPr>
        <w:spacing w:after="0" w:line="104"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Tarrytown, New York 10591-6707</w:t>
      </w:r>
    </w:p>
    <w:p>
      <w:pPr>
        <w:spacing w:after="0" w:line="104"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(914) 347-7000</w:t>
      </w:r>
    </w:p>
    <w:p>
      <w:pPr>
        <w:spacing w:after="0" w:line="96" w:lineRule="exact"/>
        <w:rPr>
          <w:sz w:val="24"/>
          <w:szCs w:val="24"/>
          <w:color w:val="auto"/>
        </w:rPr>
      </w:pPr>
    </w:p>
    <w:p>
      <w:pPr>
        <w:ind w:left="280"/>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w:t>
      </w:r>
    </w:p>
    <w:p>
      <w:pPr>
        <w:spacing w:after="0" w:line="38"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offices)</w:t>
      </w:r>
    </w:p>
    <w:p>
      <w:pPr>
        <w:spacing w:after="0" w:line="200" w:lineRule="exact"/>
        <w:rPr>
          <w:sz w:val="24"/>
          <w:szCs w:val="24"/>
          <w:color w:val="auto"/>
        </w:rPr>
      </w:pPr>
    </w:p>
    <w:p>
      <w:pPr>
        <w:spacing w:after="0" w:line="20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Preferred Share Purchase Rights (1)</w:t>
      </w:r>
    </w:p>
    <w:p>
      <w:pPr>
        <w:spacing w:after="0" w:line="96"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(Title of each class of securities covered by this Form)</w:t>
      </w:r>
    </w:p>
    <w:p>
      <w:pPr>
        <w:spacing w:after="0" w:line="39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Common Stock — par value $.001 per share</w:t>
      </w:r>
    </w:p>
    <w:p>
      <w:pPr>
        <w:spacing w:after="0" w:line="110" w:lineRule="exact"/>
        <w:rPr>
          <w:sz w:val="24"/>
          <w:szCs w:val="24"/>
          <w:color w:val="auto"/>
        </w:rPr>
      </w:pPr>
    </w:p>
    <w:p>
      <w:pPr>
        <w:jc w:val="center"/>
        <w:ind w:right="2099"/>
        <w:spacing w:after="0"/>
        <w:rPr>
          <w:sz w:val="20"/>
          <w:szCs w:val="20"/>
          <w:color w:val="auto"/>
        </w:rPr>
      </w:pPr>
      <w:r>
        <w:rPr>
          <w:rFonts w:ascii="Arial" w:cs="Arial" w:eastAsia="Arial" w:hAnsi="Arial"/>
          <w:sz w:val="16"/>
          <w:szCs w:val="16"/>
          <w:color w:val="auto"/>
        </w:rPr>
        <w:t>(Titles of all other classes of securities for which a duty to file reports under section 13(a) or 15(d) remains)</w:t>
      </w:r>
    </w:p>
    <w:p>
      <w:pPr>
        <w:spacing w:after="0" w:line="200" w:lineRule="exact"/>
        <w:rPr>
          <w:sz w:val="24"/>
          <w:szCs w:val="24"/>
          <w:color w:val="auto"/>
        </w:rPr>
      </w:pPr>
    </w:p>
    <w:p>
      <w:pPr>
        <w:spacing w:after="0" w:line="224" w:lineRule="exact"/>
        <w:rPr>
          <w:sz w:val="24"/>
          <w:szCs w:val="24"/>
          <w:color w:val="auto"/>
        </w:rPr>
      </w:pPr>
    </w:p>
    <w:p>
      <w:pPr>
        <w:ind w:right="2139" w:firstLine="713"/>
        <w:spacing w:after="0" w:line="268" w:lineRule="auto"/>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pacing w:after="0" w:line="159" w:lineRule="exact"/>
        <w:rPr>
          <w:sz w:val="24"/>
          <w:szCs w:val="24"/>
          <w:color w:val="auto"/>
        </w:rPr>
      </w:pPr>
    </w:p>
    <w:tbl>
      <w:tblPr>
        <w:tblLayout w:type="fixed"/>
        <w:tblInd w:w="1920" w:type="dxa"/>
        <w:tblCellMar>
          <w:top w:w="0" w:type="dxa"/>
          <w:left w:w="0" w:type="dxa"/>
          <w:bottom w:w="0" w:type="dxa"/>
          <w:right w:w="0" w:type="dxa"/>
        </w:tblCellMar>
      </w:tblP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Rule 12g-4(a)(1)(i)</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[X]</w:t>
            </w:r>
          </w:p>
        </w:tc>
        <w:tc>
          <w:tcPr>
            <w:tcW w:w="1960" w:type="dxa"/>
            <w:vAlign w:val="bottom"/>
          </w:tcPr>
          <w:p>
            <w:pPr>
              <w:ind w:left="360"/>
              <w:spacing w:after="0"/>
              <w:rPr>
                <w:sz w:val="20"/>
                <w:szCs w:val="20"/>
                <w:color w:val="auto"/>
              </w:rPr>
            </w:pPr>
            <w:r>
              <w:rPr>
                <w:rFonts w:ascii="Arial" w:cs="Arial" w:eastAsia="Arial" w:hAnsi="Arial"/>
                <w:sz w:val="18"/>
                <w:szCs w:val="18"/>
                <w:color w:val="auto"/>
              </w:rPr>
              <w:t>Rule 12h-3(b)(1)(i)</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640" w:type="dxa"/>
            <w:vAlign w:val="bottom"/>
          </w:tcPr>
          <w:p>
            <w:pPr>
              <w:spacing w:after="0"/>
              <w:rPr>
                <w:sz w:val="20"/>
                <w:szCs w:val="20"/>
                <w:color w:val="auto"/>
              </w:rPr>
            </w:pPr>
            <w:r>
              <w:rPr>
                <w:rFonts w:ascii="Arial" w:cs="Arial" w:eastAsia="Arial" w:hAnsi="Arial"/>
                <w:sz w:val="18"/>
                <w:szCs w:val="18"/>
                <w:color w:val="auto"/>
              </w:rPr>
              <w:t>Rule 12g-4(a)(1)(ii)</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960" w:type="dxa"/>
            <w:vAlign w:val="bottom"/>
          </w:tcPr>
          <w:p>
            <w:pPr>
              <w:ind w:left="360"/>
              <w:spacing w:after="0"/>
              <w:rPr>
                <w:sz w:val="20"/>
                <w:szCs w:val="20"/>
                <w:color w:val="auto"/>
              </w:rPr>
            </w:pPr>
            <w:r>
              <w:rPr>
                <w:rFonts w:ascii="Arial" w:cs="Arial" w:eastAsia="Arial" w:hAnsi="Arial"/>
                <w:sz w:val="18"/>
                <w:szCs w:val="18"/>
                <w:color w:val="auto"/>
              </w:rPr>
              <w:t>Rule 12h-3(b)(1)(ii)</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640" w:type="dxa"/>
            <w:vAlign w:val="bottom"/>
          </w:tcPr>
          <w:p>
            <w:pPr>
              <w:spacing w:after="0"/>
              <w:rPr>
                <w:sz w:val="20"/>
                <w:szCs w:val="20"/>
                <w:color w:val="auto"/>
              </w:rPr>
            </w:pPr>
            <w:r>
              <w:rPr>
                <w:rFonts w:ascii="Arial" w:cs="Arial" w:eastAsia="Arial" w:hAnsi="Arial"/>
                <w:sz w:val="18"/>
                <w:szCs w:val="18"/>
                <w:color w:val="auto"/>
              </w:rPr>
              <w:t>Rule 12g-4(a)(2)(i)</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960" w:type="dxa"/>
            <w:vAlign w:val="bottom"/>
          </w:tcPr>
          <w:p>
            <w:pPr>
              <w:ind w:left="360"/>
              <w:spacing w:after="0"/>
              <w:rPr>
                <w:sz w:val="20"/>
                <w:szCs w:val="20"/>
                <w:color w:val="auto"/>
              </w:rPr>
            </w:pPr>
            <w:r>
              <w:rPr>
                <w:rFonts w:ascii="Arial" w:cs="Arial" w:eastAsia="Arial" w:hAnsi="Arial"/>
                <w:sz w:val="18"/>
                <w:szCs w:val="18"/>
                <w:color w:val="auto"/>
              </w:rPr>
              <w:t>Rule 12h-3(b)(2)(i)</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640" w:type="dxa"/>
            <w:vAlign w:val="bottom"/>
          </w:tcPr>
          <w:p>
            <w:pPr>
              <w:spacing w:after="0"/>
              <w:rPr>
                <w:sz w:val="20"/>
                <w:szCs w:val="20"/>
                <w:color w:val="auto"/>
              </w:rPr>
            </w:pPr>
            <w:r>
              <w:rPr>
                <w:rFonts w:ascii="Arial" w:cs="Arial" w:eastAsia="Arial" w:hAnsi="Arial"/>
                <w:sz w:val="18"/>
                <w:szCs w:val="18"/>
                <w:color w:val="auto"/>
              </w:rPr>
              <w:t>Rule 12g-4(a)(2)(ii)</w:t>
            </w: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960" w:type="dxa"/>
            <w:vAlign w:val="bottom"/>
          </w:tcPr>
          <w:p>
            <w:pPr>
              <w:ind w:left="360"/>
              <w:spacing w:after="0"/>
              <w:rPr>
                <w:sz w:val="20"/>
                <w:szCs w:val="20"/>
                <w:color w:val="auto"/>
              </w:rPr>
            </w:pPr>
            <w:r>
              <w:rPr>
                <w:rFonts w:ascii="Arial" w:cs="Arial" w:eastAsia="Arial" w:hAnsi="Arial"/>
                <w:sz w:val="18"/>
                <w:szCs w:val="18"/>
                <w:color w:val="auto"/>
              </w:rPr>
              <w:t>Rule 12h-3(b)(2)(ii)</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ind w:left="360"/>
              <w:spacing w:after="0"/>
              <w:rPr>
                <w:sz w:val="20"/>
                <w:szCs w:val="20"/>
                <w:color w:val="auto"/>
              </w:rPr>
            </w:pPr>
            <w:r>
              <w:rPr>
                <w:rFonts w:ascii="Arial" w:cs="Arial" w:eastAsia="Arial" w:hAnsi="Arial"/>
                <w:sz w:val="18"/>
                <w:szCs w:val="18"/>
                <w:color w:val="auto"/>
              </w:rPr>
              <w:t>Rule 15d-6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5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number of holders of record as of the certification or notice date: 0</w:t>
      </w:r>
    </w:p>
    <w:p>
      <w:pPr>
        <w:spacing w:after="0" w:line="200" w:lineRule="exact"/>
        <w:rPr>
          <w:sz w:val="24"/>
          <w:szCs w:val="24"/>
          <w:color w:val="auto"/>
        </w:rPr>
      </w:pPr>
    </w:p>
    <w:p>
      <w:pPr>
        <w:spacing w:after="0" w:line="390" w:lineRule="exact"/>
        <w:rPr>
          <w:sz w:val="24"/>
          <w:szCs w:val="24"/>
          <w:color w:val="auto"/>
        </w:rPr>
      </w:pPr>
    </w:p>
    <w:p>
      <w:pPr>
        <w:ind w:left="660" w:right="2179"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Preferred Share Purchase Rights referred to herein expired on October 18, 2006, pursuant to the Rights Agreement, dated as of September 20, 1996, between Regeneron Pharmaceuticals, Inc. and Chase Mellon Shareholder Services LLC, as Rights Agent.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727075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4"/>
          <w:szCs w:val="24"/>
          <w:color w:val="auto"/>
        </w:r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Exchange Act of 1934, Regeneron Pharmaceuticals, Inc.</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has caused this certification/notice to be signed on its behalf by the undersigned duly authorized person.</w:t>
      </w:r>
    </w:p>
    <w:p>
      <w:pPr>
        <w:spacing w:after="0" w:line="336" w:lineRule="exact"/>
        <w:rPr>
          <w:sz w:val="24"/>
          <w:szCs w:val="24"/>
          <w:color w:val="auto"/>
        </w:rPr>
      </w:pPr>
    </w:p>
    <w:p>
      <w:pPr>
        <w:spacing w:after="0"/>
        <w:tabs>
          <w:tab w:leader="none" w:pos="580" w:val="left"/>
          <w:tab w:leader="none" w:pos="4320" w:val="left"/>
          <w:tab w:leader="none" w:pos="4940" w:val="left"/>
        </w:tabs>
        <w:rPr>
          <w:sz w:val="20"/>
          <w:szCs w:val="20"/>
          <w:color w:val="auto"/>
        </w:rPr>
      </w:pPr>
      <w:r>
        <w:rPr>
          <w:rFonts w:ascii="Arial" w:cs="Arial" w:eastAsia="Arial" w:hAnsi="Arial"/>
          <w:sz w:val="18"/>
          <w:szCs w:val="18"/>
          <w:color w:val="auto"/>
        </w:rPr>
        <w:t>Date:</w:t>
        <w:tab/>
        <w:t>October 20,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Stuart Kolinski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19685</wp:posOffset>
            </wp:positionV>
            <wp:extent cx="1998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24"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Stuart Kolinski</w:t>
      </w:r>
    </w:p>
    <w:p>
      <w:pPr>
        <w:spacing w:after="0" w:line="15"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Vice President and General Counsel</w:t>
      </w:r>
    </w:p>
    <w:p>
      <w:pPr>
        <w:sectPr>
          <w:pgSz w:w="11900" w:h="16838" w:orient="portrait"/>
          <w:cols w:equalWidth="0" w:num="1">
            <w:col w:w="10219"/>
          </w:cols>
          <w:pgMar w:left="240" w:top="233" w:right="1440" w:bottom="479"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2019-12-21T02:25:13Z</dcterms:created>
  <dcterms:modified xsi:type="dcterms:W3CDTF">2019-12-21T02:25:13Z</dcterms:modified>
</cp:coreProperties>
</file>