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582"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80" w:type="dxa"/>
            <w:vAlign w:val="bottom"/>
            <w:gridSpan w:val="4"/>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6"/>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Sanofi</w:t>
              </w:r>
            </w:hyperlink>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70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220"/>
              <w:spacing w:after="0"/>
              <w:rPr>
                <w:sz w:val="20"/>
                <w:szCs w:val="20"/>
                <w:color w:val="auto"/>
              </w:rPr>
            </w:pPr>
            <w:r>
              <w:rPr>
                <w:rFonts w:ascii="Arial" w:cs="Arial" w:eastAsia="Arial" w:hAnsi="Arial"/>
                <w:sz w:val="18"/>
                <w:szCs w:val="18"/>
                <w:color w:val="0000FF"/>
              </w:rPr>
              <w:t>X</w:t>
            </w: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18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800" w:type="dxa"/>
            <w:vAlign w:val="bottom"/>
          </w:tcPr>
          <w:p>
            <w:pPr>
              <w:ind w:left="100"/>
              <w:spacing w:after="0" w:line="155" w:lineRule="exact"/>
              <w:rPr>
                <w:sz w:val="20"/>
                <w:szCs w:val="20"/>
                <w:color w:val="auto"/>
              </w:rPr>
            </w:pPr>
            <w:r>
              <w:rPr>
                <w:rFonts w:ascii="Arial" w:cs="Arial" w:eastAsia="Arial" w:hAnsi="Arial"/>
                <w:sz w:val="14"/>
                <w:szCs w:val="14"/>
                <w:color w:val="auto"/>
              </w:rPr>
              <w:t>(First)</w:t>
            </w:r>
          </w:p>
        </w:tc>
        <w:tc>
          <w:tcPr>
            <w:tcW w:w="1900" w:type="dxa"/>
            <w:vAlign w:val="bottom"/>
            <w:gridSpan w:val="2"/>
          </w:tcPr>
          <w:p>
            <w:pPr>
              <w:ind w:left="560"/>
              <w:spacing w:after="0" w:line="155" w:lineRule="exact"/>
              <w:rPr>
                <w:sz w:val="20"/>
                <w:szCs w:val="20"/>
                <w:color w:val="auto"/>
              </w:rPr>
            </w:pPr>
            <w:r>
              <w:rPr>
                <w:rFonts w:ascii="Arial" w:cs="Arial" w:eastAsia="Arial" w:hAnsi="Arial"/>
                <w:sz w:val="14"/>
                <w:szCs w:val="14"/>
                <w:color w:val="auto"/>
              </w:rPr>
              <w:t>(Middle)</w:t>
            </w:r>
          </w:p>
        </w:tc>
        <w:tc>
          <w:tcPr>
            <w:tcW w:w="80" w:type="dxa"/>
            <w:vAlign w:val="bottom"/>
            <w:tcBorders>
              <w:top w:val="single" w:sz="8" w:color="2C2C2C"/>
            </w:tcBorders>
          </w:tcPr>
          <w:p>
            <w:pPr>
              <w:spacing w:after="0"/>
              <w:rPr>
                <w:sz w:val="13"/>
                <w:szCs w:val="13"/>
                <w:color w:val="auto"/>
              </w:rPr>
            </w:pPr>
          </w:p>
        </w:tc>
        <w:tc>
          <w:tcPr>
            <w:tcW w:w="3220" w:type="dxa"/>
            <w:vAlign w:val="bottom"/>
            <w:tcBorders>
              <w:top w:val="single" w:sz="8" w:color="2C2C2C"/>
            </w:tcBorders>
            <w:gridSpan w:val="5"/>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24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ind w:left="8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600" w:type="dxa"/>
            <w:vAlign w:val="bottom"/>
          </w:tcPr>
          <w:p>
            <w:pPr>
              <w:ind w:left="18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20" w:type="dxa"/>
            <w:vAlign w:val="bottom"/>
            <w:gridSpan w:val="5"/>
            <w:vMerge w:val="continue"/>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3"/>
          </w:tcPr>
          <w:p>
            <w:pPr>
              <w:spacing w:after="0"/>
              <w:rPr>
                <w:sz w:val="20"/>
                <w:szCs w:val="20"/>
                <w:color w:val="auto"/>
              </w:rPr>
            </w:pPr>
            <w:r>
              <w:rPr>
                <w:rFonts w:ascii="Arial" w:cs="Arial" w:eastAsia="Arial" w:hAnsi="Arial"/>
                <w:sz w:val="18"/>
                <w:szCs w:val="18"/>
                <w:color w:val="0000FF"/>
              </w:rPr>
              <w:t>54, RUE LA BOETIE</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color w:val="0000FF"/>
              </w:rPr>
              <w:t>07/01/2014</w:t>
            </w: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5"/>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2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90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40" w:type="dxa"/>
            <w:vAlign w:val="bottom"/>
            <w:gridSpan w:val="6"/>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7"/>
            <w:vMerge w:val="continue"/>
          </w:tcPr>
          <w:p>
            <w:pPr>
              <w:spacing w:after="0"/>
              <w:rPr>
                <w:sz w:val="8"/>
                <w:szCs w:val="8"/>
                <w:color w:val="auto"/>
              </w:rPr>
            </w:pPr>
          </w:p>
        </w:tc>
        <w:tc>
          <w:tcPr>
            <w:tcW w:w="34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ind w:left="80"/>
              <w:spacing w:after="0"/>
              <w:rPr>
                <w:sz w:val="20"/>
                <w:szCs w:val="20"/>
                <w:color w:val="auto"/>
              </w:rPr>
            </w:pPr>
            <w:r>
              <w:rPr>
                <w:rFonts w:ascii="Arial" w:cs="Arial" w:eastAsia="Arial" w:hAnsi="Arial"/>
                <w:sz w:val="14"/>
                <w:szCs w:val="14"/>
                <w:color w:val="auto"/>
              </w:rPr>
              <w:t>Line)</w:t>
            </w: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800" w:type="dxa"/>
            <w:vAlign w:val="bottom"/>
          </w:tcPr>
          <w:p>
            <w:pPr>
              <w:ind w:left="100"/>
              <w:spacing w:after="0"/>
              <w:rPr>
                <w:sz w:val="20"/>
                <w:szCs w:val="20"/>
                <w:color w:val="auto"/>
              </w:rPr>
            </w:pPr>
            <w:r>
              <w:rPr>
                <w:rFonts w:ascii="Arial" w:cs="Arial" w:eastAsia="Arial" w:hAnsi="Arial"/>
                <w:sz w:val="18"/>
                <w:szCs w:val="18"/>
                <w:color w:val="0000FF"/>
              </w:rPr>
              <w:t>I0</w:t>
            </w:r>
          </w:p>
        </w:tc>
        <w:tc>
          <w:tcPr>
            <w:tcW w:w="1820" w:type="dxa"/>
            <w:vAlign w:val="bottom"/>
          </w:tcPr>
          <w:p>
            <w:pPr>
              <w:ind w:left="560"/>
              <w:spacing w:after="0"/>
              <w:rPr>
                <w:sz w:val="20"/>
                <w:szCs w:val="20"/>
                <w:color w:val="auto"/>
              </w:rPr>
            </w:pPr>
            <w:r>
              <w:rPr>
                <w:rFonts w:ascii="Arial" w:cs="Arial" w:eastAsia="Arial" w:hAnsi="Arial"/>
                <w:sz w:val="18"/>
                <w:szCs w:val="18"/>
                <w:color w:val="0000FF"/>
              </w:rPr>
              <w:t>75008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6"/>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00" w:type="dxa"/>
            <w:vAlign w:val="bottom"/>
            <w:gridSpan w:val="5"/>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190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3100" w:type="dxa"/>
            <w:vAlign w:val="bottom"/>
            <w:tcBorders>
              <w:bottom w:val="single" w:sz="8" w:color="2C2C2C"/>
            </w:tcBorders>
            <w:gridSpan w:val="5"/>
          </w:tcPr>
          <w:p>
            <w:pPr>
              <w:spacing w:after="0"/>
              <w:rPr>
                <w:sz w:val="11"/>
                <w:szCs w:val="11"/>
                <w:color w:val="auto"/>
              </w:rPr>
            </w:pPr>
          </w:p>
        </w:tc>
        <w:tc>
          <w:tcPr>
            <w:tcW w:w="214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2"/>
          </w:tcPr>
          <w:p>
            <w:pPr>
              <w:jc w:val="right"/>
              <w:ind w:right="563"/>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0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3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2"/>
          </w:tcPr>
          <w:p>
            <w:pPr>
              <w:jc w:val="center"/>
              <w:ind w:left="658"/>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81"/>
                <w:vertAlign w:val="subscript"/>
              </w:rPr>
              <w:t>600</w:t>
            </w:r>
            <w:r>
              <w:rPr>
                <w:rFonts w:ascii="Arial" w:cs="Arial" w:eastAsia="Arial" w:hAnsi="Arial"/>
                <w:sz w:val="11"/>
                <w:szCs w:val="11"/>
                <w:color w:val="008000"/>
                <w:w w:val="81"/>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285.89</w:t>
            </w:r>
            <w:r>
              <w:rPr>
                <w:rFonts w:ascii="Arial" w:cs="Arial" w:eastAsia="Arial" w:hAnsi="Arial"/>
                <w:sz w:val="22"/>
                <w:szCs w:val="22"/>
                <w:color w:val="008000"/>
                <w:w w:val="83"/>
                <w:vertAlign w:val="superscript"/>
              </w:rPr>
              <w:t>(1)(3)</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20,471,841</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81"/>
                <w:vertAlign w:val="subscript"/>
              </w:rPr>
              <w:t>930</w:t>
            </w:r>
            <w:r>
              <w:rPr>
                <w:rFonts w:ascii="Arial" w:cs="Arial" w:eastAsia="Arial" w:hAnsi="Arial"/>
                <w:sz w:val="11"/>
                <w:szCs w:val="11"/>
                <w:color w:val="008000"/>
                <w:w w:val="81"/>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287.0772</w:t>
            </w:r>
            <w:r>
              <w:rPr>
                <w:rFonts w:ascii="Arial" w:cs="Arial" w:eastAsia="Arial" w:hAnsi="Arial"/>
                <w:sz w:val="22"/>
                <w:szCs w:val="22"/>
                <w:color w:val="008000"/>
                <w:w w:val="84"/>
                <w:vertAlign w:val="superscript"/>
              </w:rPr>
              <w:t>(1)(5)</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20,472,771</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81"/>
                <w:vertAlign w:val="subscript"/>
              </w:rPr>
              <w:t>543</w:t>
            </w:r>
            <w:r>
              <w:rPr>
                <w:rFonts w:ascii="Arial" w:cs="Arial" w:eastAsia="Arial" w:hAnsi="Arial"/>
                <w:sz w:val="11"/>
                <w:szCs w:val="11"/>
                <w:color w:val="008000"/>
                <w:w w:val="81"/>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288.2412</w:t>
            </w:r>
            <w:r>
              <w:rPr>
                <w:rFonts w:ascii="Arial" w:cs="Arial" w:eastAsia="Arial" w:hAnsi="Arial"/>
                <w:sz w:val="22"/>
                <w:szCs w:val="22"/>
                <w:color w:val="008000"/>
                <w:w w:val="84"/>
                <w:vertAlign w:val="superscript"/>
              </w:rPr>
              <w:t>(1)(6)</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20,473,314</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81"/>
                <w:vertAlign w:val="subscript"/>
              </w:rPr>
              <w:t>689</w:t>
            </w:r>
            <w:r>
              <w:rPr>
                <w:rFonts w:ascii="Arial" w:cs="Arial" w:eastAsia="Arial" w:hAnsi="Arial"/>
                <w:sz w:val="11"/>
                <w:szCs w:val="11"/>
                <w:color w:val="008000"/>
                <w:w w:val="81"/>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289.3166</w:t>
            </w:r>
            <w:r>
              <w:rPr>
                <w:rFonts w:ascii="Arial" w:cs="Arial" w:eastAsia="Arial" w:hAnsi="Arial"/>
                <w:sz w:val="22"/>
                <w:szCs w:val="22"/>
                <w:color w:val="008000"/>
                <w:w w:val="84"/>
                <w:vertAlign w:val="superscript"/>
              </w:rPr>
              <w:t>(1)(7)</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20,474,003</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3,513</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292.9795</w:t>
            </w:r>
            <w:r>
              <w:rPr>
                <w:rFonts w:ascii="Arial" w:cs="Arial" w:eastAsia="Arial" w:hAnsi="Arial"/>
                <w:sz w:val="22"/>
                <w:szCs w:val="22"/>
                <w:color w:val="008000"/>
                <w:w w:val="84"/>
                <w:vertAlign w:val="superscript"/>
              </w:rPr>
              <w:t>(1)(8)</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20,477,516</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5,001</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294.2568</w:t>
            </w:r>
            <w:r>
              <w:rPr>
                <w:rFonts w:ascii="Arial" w:cs="Arial" w:eastAsia="Arial" w:hAnsi="Arial"/>
                <w:sz w:val="22"/>
                <w:szCs w:val="22"/>
                <w:color w:val="008000"/>
                <w:w w:val="84"/>
                <w:vertAlign w:val="superscript"/>
              </w:rPr>
              <w:t>(1)(9)</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20,482,517</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11,155</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295.0946</w:t>
            </w:r>
            <w:r>
              <w:rPr>
                <w:rFonts w:ascii="Arial" w:cs="Arial" w:eastAsia="Arial" w:hAnsi="Arial"/>
                <w:sz w:val="22"/>
                <w:szCs w:val="22"/>
                <w:color w:val="008000"/>
                <w:w w:val="83"/>
                <w:vertAlign w:val="superscript"/>
              </w:rPr>
              <w:t>(1)(10)</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20,493,672</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10,463</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296.3817</w:t>
            </w:r>
            <w:r>
              <w:rPr>
                <w:rFonts w:ascii="Arial" w:cs="Arial" w:eastAsia="Arial" w:hAnsi="Arial"/>
                <w:sz w:val="22"/>
                <w:szCs w:val="22"/>
                <w:color w:val="008000"/>
                <w:w w:val="83"/>
                <w:vertAlign w:val="superscript"/>
              </w:rPr>
              <w:t>(1)(11)</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20,504,135</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20,472</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297.2576</w:t>
            </w:r>
            <w:r>
              <w:rPr>
                <w:rFonts w:ascii="Arial" w:cs="Arial" w:eastAsia="Arial" w:hAnsi="Arial"/>
                <w:sz w:val="22"/>
                <w:szCs w:val="22"/>
                <w:color w:val="008000"/>
                <w:w w:val="83"/>
                <w:vertAlign w:val="superscript"/>
              </w:rPr>
              <w:t>(1)(12)</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20,524,607</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8,238</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298.1332</w:t>
            </w:r>
            <w:r>
              <w:rPr>
                <w:rFonts w:ascii="Arial" w:cs="Arial" w:eastAsia="Arial" w:hAnsi="Arial"/>
                <w:sz w:val="22"/>
                <w:szCs w:val="22"/>
                <w:color w:val="008000"/>
                <w:w w:val="83"/>
                <w:vertAlign w:val="superscript"/>
              </w:rPr>
              <w:t>(1)(13)</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20,532,845</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16,683</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299.1603</w:t>
            </w:r>
            <w:r>
              <w:rPr>
                <w:rFonts w:ascii="Arial" w:cs="Arial" w:eastAsia="Arial" w:hAnsi="Arial"/>
                <w:sz w:val="22"/>
                <w:szCs w:val="22"/>
                <w:color w:val="008000"/>
                <w:w w:val="83"/>
                <w:vertAlign w:val="superscript"/>
              </w:rPr>
              <w:t>(1)(14)</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20,549,528</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18,074</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300.2167</w:t>
            </w:r>
            <w:r>
              <w:rPr>
                <w:rFonts w:ascii="Arial" w:cs="Arial" w:eastAsia="Arial" w:hAnsi="Arial"/>
                <w:sz w:val="22"/>
                <w:szCs w:val="22"/>
                <w:color w:val="008000"/>
                <w:w w:val="83"/>
                <w:vertAlign w:val="superscript"/>
              </w:rPr>
              <w:t>(1)(15)</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20,567,602</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39,530</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301.2295</w:t>
            </w:r>
            <w:r>
              <w:rPr>
                <w:rFonts w:ascii="Arial" w:cs="Arial" w:eastAsia="Arial" w:hAnsi="Arial"/>
                <w:sz w:val="22"/>
                <w:szCs w:val="22"/>
                <w:color w:val="008000"/>
                <w:w w:val="83"/>
                <w:vertAlign w:val="superscript"/>
              </w:rPr>
              <w:t>(1)(16)</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20,607,132</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5"/>
                <w:vertAlign w:val="subscript"/>
              </w:rPr>
              <w:t>11,932</w:t>
            </w:r>
            <w:r>
              <w:rPr>
                <w:rFonts w:ascii="Arial" w:cs="Arial" w:eastAsia="Arial" w:hAnsi="Arial"/>
                <w:sz w:val="11"/>
                <w:szCs w:val="11"/>
                <w:color w:val="008000"/>
                <w:w w:val="75"/>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302.376</w:t>
            </w:r>
            <w:r>
              <w:rPr>
                <w:rFonts w:ascii="Arial" w:cs="Arial" w:eastAsia="Arial" w:hAnsi="Arial"/>
                <w:sz w:val="22"/>
                <w:szCs w:val="22"/>
                <w:color w:val="008000"/>
                <w:w w:val="83"/>
                <w:vertAlign w:val="superscript"/>
              </w:rPr>
              <w:t>(1)(17)</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20,619,064</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42,419</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303.2385</w:t>
            </w:r>
            <w:r>
              <w:rPr>
                <w:rFonts w:ascii="Arial" w:cs="Arial" w:eastAsia="Arial" w:hAnsi="Arial"/>
                <w:sz w:val="22"/>
                <w:szCs w:val="22"/>
                <w:color w:val="008000"/>
                <w:w w:val="83"/>
                <w:vertAlign w:val="superscript"/>
              </w:rPr>
              <w:t>(1)(18)</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20,661,483</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07/01/2014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5"/>
                <w:vertAlign w:val="subscript"/>
              </w:rPr>
              <w:t>22,158</w:t>
            </w:r>
            <w:r>
              <w:rPr>
                <w:rFonts w:ascii="Arial" w:cs="Arial" w:eastAsia="Arial" w:hAnsi="Arial"/>
                <w:sz w:val="11"/>
                <w:szCs w:val="11"/>
                <w:color w:val="008000"/>
                <w:w w:val="75"/>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304.0121</w:t>
            </w:r>
            <w:r>
              <w:rPr>
                <w:rFonts w:ascii="Arial" w:cs="Arial" w:eastAsia="Arial" w:hAnsi="Arial"/>
                <w:sz w:val="22"/>
                <w:szCs w:val="22"/>
                <w:color w:val="008000"/>
                <w:w w:val="83"/>
                <w:vertAlign w:val="superscript"/>
              </w:rPr>
              <w:t>(1)(19)</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20,683,641</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35"/>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ectPr>
          <w:pgSz w:w="11900" w:h="16838" w:orient="portrait"/>
          <w:cols w:equalWidth="0" w:num="1">
            <w:col w:w="11420"/>
          </w:cols>
          <w:pgMar w:left="240" w:top="226" w:right="239" w:bottom="582" w:gutter="0" w:footer="0" w:header="0"/>
          <w:type w:val="continuous"/>
        </w:sectPr>
      </w:pPr>
    </w:p>
    <w:bookmarkStart w:id="1" w:name="page2"/>
    <w:bookmarkEnd w:id="1"/>
    <w:p>
      <w:pPr>
        <w:spacing w:after="0" w:line="213" w:lineRule="auto"/>
        <w:framePr w:w="540" w:h="245" w:wrap="auto" w:vAnchor="page" w:hAnchor="page" w:x="7780" w:y="3325"/>
        <w:rPr>
          <w:rFonts w:ascii="Arial" w:cs="Arial" w:eastAsia="Arial" w:hAnsi="Arial"/>
          <w:sz w:val="12"/>
          <w:szCs w:val="12"/>
          <w:b w:val="1"/>
          <w:bCs w:val="1"/>
          <w:color w:val="auto"/>
        </w:rPr>
      </w:pPr>
      <w:r>
        <w:rPr>
          <w:rFonts w:ascii="Arial" w:cs="Arial" w:eastAsia="Arial" w:hAnsi="Arial"/>
          <w:sz w:val="12"/>
          <w:szCs w:val="12"/>
          <w:b w:val="1"/>
          <w:bCs w:val="1"/>
          <w:color w:val="auto"/>
        </w:rPr>
        <w:t>or Number</w:t>
      </w:r>
    </w:p>
    <w:p>
      <w:pPr>
        <w:spacing w:after="0" w:line="191" w:lineRule="auto"/>
        <w:framePr w:w="340" w:h="110" w:wrap="auto" w:vAnchor="page" w:hAnchor="page" w:x="5760" w:y="3595"/>
        <w:rPr>
          <w:rFonts w:ascii="Arial" w:cs="Arial" w:eastAsia="Arial" w:hAnsi="Arial"/>
          <w:sz w:val="12"/>
          <w:szCs w:val="12"/>
          <w:b w:val="1"/>
          <w:bCs w:val="1"/>
          <w:color w:val="auto"/>
        </w:rPr>
      </w:pPr>
      <w:r>
        <w:rPr>
          <w:rFonts w:ascii="Arial" w:cs="Arial" w:eastAsia="Arial" w:hAnsi="Arial"/>
          <w:sz w:val="12"/>
          <w:szCs w:val="12"/>
          <w:b w:val="1"/>
          <w:bCs w:val="1"/>
          <w:color w:val="auto"/>
        </w:rPr>
        <w:t>Date</w:t>
      </w:r>
    </w:p>
    <w:p>
      <w:pPr>
        <w:spacing w:after="0" w:line="191" w:lineRule="auto"/>
        <w:framePr w:w="680" w:h="110" w:wrap="auto" w:vAnchor="page" w:hAnchor="page" w:x="6580" w:y="3595"/>
        <w:rPr>
          <w:rFonts w:ascii="Arial" w:cs="Arial" w:eastAsia="Arial" w:hAnsi="Arial"/>
          <w:sz w:val="12"/>
          <w:szCs w:val="12"/>
          <w:b w:val="1"/>
          <w:bCs w:val="1"/>
          <w:color w:val="auto"/>
        </w:rPr>
      </w:pPr>
      <w:r>
        <w:rPr>
          <w:rFonts w:ascii="Arial" w:cs="Arial" w:eastAsia="Arial" w:hAnsi="Arial"/>
          <w:sz w:val="12"/>
          <w:szCs w:val="12"/>
          <w:b w:val="1"/>
          <w:bCs w:val="1"/>
          <w:color w:val="auto"/>
        </w:rPr>
        <w:t>Expiration</w:t>
      </w:r>
    </w:p>
    <w:p>
      <w:pPr>
        <w:spacing w:after="0" w:line="191" w:lineRule="auto"/>
        <w:framePr w:w="200" w:h="110" w:wrap="auto" w:vAnchor="page" w:hAnchor="page" w:x="7780" w:y="3595"/>
        <w:rPr>
          <w:rFonts w:ascii="Arial" w:cs="Arial" w:eastAsia="Arial" w:hAnsi="Arial"/>
          <w:sz w:val="12"/>
          <w:szCs w:val="12"/>
          <w:b w:val="1"/>
          <w:bCs w:val="1"/>
          <w:color w:val="auto"/>
        </w:rPr>
      </w:pPr>
      <w:r>
        <w:rPr>
          <w:rFonts w:ascii="Arial" w:cs="Arial" w:eastAsia="Arial" w:hAnsi="Arial"/>
          <w:sz w:val="12"/>
          <w:szCs w:val="12"/>
          <w:b w:val="1"/>
          <w:bCs w:val="1"/>
          <w:color w:val="auto"/>
        </w:rPr>
        <w:t>of</w:t>
      </w: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2"/>
                <w:szCs w:val="12"/>
                <w:color w:val="auto"/>
              </w:rPr>
            </w:pP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Conversion</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6400" w:type="dxa"/>
            <w:vAlign w:val="bottom"/>
            <w:gridSpan w:val="8"/>
          </w:tcPr>
          <w:p>
            <w:pPr>
              <w:ind w:left="40"/>
              <w:spacing w:after="0" w:line="54"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Ownership</w:t>
            </w: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ind w:left="80"/>
              <w:spacing w:after="0" w:line="92" w:lineRule="exact"/>
              <w:rPr>
                <w:sz w:val="20"/>
                <w:szCs w:val="20"/>
                <w:color w:val="auto"/>
              </w:rPr>
            </w:pPr>
            <w:r>
              <w:rPr>
                <w:rFonts w:ascii="Arial" w:cs="Arial" w:eastAsia="Arial" w:hAnsi="Arial"/>
                <w:sz w:val="10"/>
                <w:szCs w:val="10"/>
                <w:b w:val="1"/>
                <w:bCs w:val="1"/>
                <w:color w:val="auto"/>
              </w:rPr>
              <w:t>Execution Date,</w:t>
            </w:r>
          </w:p>
        </w:tc>
        <w:tc>
          <w:tcPr>
            <w:tcW w:w="840" w:type="dxa"/>
            <w:vAlign w:val="bottom"/>
          </w:tcPr>
          <w:p>
            <w:pPr>
              <w:ind w:left="60"/>
              <w:spacing w:after="0" w:line="92" w:lineRule="exact"/>
              <w:rPr>
                <w:sz w:val="20"/>
                <w:szCs w:val="20"/>
                <w:color w:val="auto"/>
              </w:rPr>
            </w:pPr>
            <w:r>
              <w:rPr>
                <w:rFonts w:ascii="Arial" w:cs="Arial" w:eastAsia="Arial" w:hAnsi="Arial"/>
                <w:sz w:val="10"/>
                <w:szCs w:val="10"/>
                <w:b w:val="1"/>
                <w:bCs w:val="1"/>
                <w:color w:val="auto"/>
              </w:rPr>
              <w:t>Transaction</w:t>
            </w:r>
          </w:p>
        </w:tc>
        <w:tc>
          <w:tcPr>
            <w:tcW w:w="780" w:type="dxa"/>
            <w:vAlign w:val="bottom"/>
          </w:tcPr>
          <w:p>
            <w:pPr>
              <w:ind w:left="80"/>
              <w:spacing w:after="0" w:line="92" w:lineRule="exact"/>
              <w:rPr>
                <w:sz w:val="20"/>
                <w:szCs w:val="20"/>
                <w:color w:val="auto"/>
              </w:rPr>
            </w:pPr>
            <w:r>
              <w:rPr>
                <w:rFonts w:ascii="Arial" w:cs="Arial" w:eastAsia="Arial" w:hAnsi="Arial"/>
                <w:sz w:val="10"/>
                <w:szCs w:val="10"/>
                <w:b w:val="1"/>
                <w:bCs w:val="1"/>
                <w:color w:val="auto"/>
              </w:rPr>
              <w:t>of</w:t>
            </w:r>
          </w:p>
        </w:tc>
        <w:tc>
          <w:tcPr>
            <w:tcW w:w="1580" w:type="dxa"/>
            <w:vAlign w:val="bottom"/>
            <w:gridSpan w:val="2"/>
          </w:tcPr>
          <w:p>
            <w:pPr>
              <w:ind w:left="80"/>
              <w:spacing w:after="0" w:line="92" w:lineRule="exact"/>
              <w:rPr>
                <w:sz w:val="20"/>
                <w:szCs w:val="20"/>
                <w:color w:val="auto"/>
              </w:rPr>
            </w:pPr>
            <w:r>
              <w:rPr>
                <w:rFonts w:ascii="Arial" w:cs="Arial" w:eastAsia="Arial" w:hAnsi="Arial"/>
                <w:sz w:val="10"/>
                <w:szCs w:val="10"/>
                <w:b w:val="1"/>
                <w:bCs w:val="1"/>
                <w:color w:val="auto"/>
              </w:rPr>
              <w:t>Expiration Date</w:t>
            </w:r>
          </w:p>
        </w:tc>
        <w:tc>
          <w:tcPr>
            <w:tcW w:w="1100" w:type="dxa"/>
            <w:vAlign w:val="bottom"/>
          </w:tcPr>
          <w:p>
            <w:pPr>
              <w:ind w:left="60"/>
              <w:spacing w:after="0" w:line="92" w:lineRule="exact"/>
              <w:rPr>
                <w:sz w:val="20"/>
                <w:szCs w:val="20"/>
                <w:color w:val="auto"/>
              </w:rPr>
            </w:pPr>
            <w:r>
              <w:rPr>
                <w:rFonts w:ascii="Arial" w:cs="Arial" w:eastAsia="Arial" w:hAnsi="Arial"/>
                <w:sz w:val="10"/>
                <w:szCs w:val="10"/>
                <w:b w:val="1"/>
                <w:bCs w:val="1"/>
                <w:color w:val="auto"/>
              </w:rPr>
              <w:t>Amount of</w:t>
            </w:r>
          </w:p>
        </w:tc>
        <w:tc>
          <w:tcPr>
            <w:tcW w:w="760" w:type="dxa"/>
            <w:vAlign w:val="bottom"/>
          </w:tcPr>
          <w:p>
            <w:pPr>
              <w:ind w:left="60"/>
              <w:spacing w:after="0" w:line="92" w:lineRule="exact"/>
              <w:rPr>
                <w:sz w:val="20"/>
                <w:szCs w:val="20"/>
                <w:color w:val="auto"/>
              </w:rPr>
            </w:pPr>
            <w:r>
              <w:rPr>
                <w:rFonts w:ascii="Arial" w:cs="Arial" w:eastAsia="Arial" w:hAnsi="Arial"/>
                <w:sz w:val="10"/>
                <w:szCs w:val="10"/>
                <w:b w:val="1"/>
                <w:bCs w:val="1"/>
                <w:color w:val="auto"/>
              </w:rPr>
              <w:t>Derivative</w:t>
            </w:r>
          </w:p>
        </w:tc>
        <w:tc>
          <w:tcPr>
            <w:tcW w:w="9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spacing w:after="0"/>
              <w:rPr>
                <w:sz w:val="4"/>
                <w:szCs w:val="4"/>
                <w:color w:val="auto"/>
              </w:rPr>
            </w:pPr>
          </w:p>
        </w:tc>
        <w:tc>
          <w:tcPr>
            <w:tcW w:w="840" w:type="dxa"/>
            <w:vAlign w:val="bottom"/>
          </w:tcPr>
          <w:p>
            <w:pPr>
              <w:ind w:left="60"/>
              <w:spacing w:after="0" w:line="57" w:lineRule="exact"/>
              <w:rPr>
                <w:sz w:val="20"/>
                <w:szCs w:val="20"/>
                <w:color w:val="auto"/>
              </w:rPr>
            </w:pPr>
            <w:r>
              <w:rPr>
                <w:rFonts w:ascii="Arial" w:cs="Arial" w:eastAsia="Arial" w:hAnsi="Arial"/>
                <w:sz w:val="6"/>
                <w:szCs w:val="6"/>
                <w:b w:val="1"/>
                <w:bCs w:val="1"/>
                <w:color w:val="auto"/>
              </w:rPr>
              <w:t>Code (Instr.</w:t>
            </w:r>
          </w:p>
        </w:tc>
        <w:tc>
          <w:tcPr>
            <w:tcW w:w="780" w:type="dxa"/>
            <w:vAlign w:val="bottom"/>
          </w:tcPr>
          <w:p>
            <w:pPr>
              <w:ind w:left="80"/>
              <w:spacing w:after="0" w:line="57" w:lineRule="exact"/>
              <w:rPr>
                <w:sz w:val="20"/>
                <w:szCs w:val="20"/>
                <w:color w:val="auto"/>
              </w:rPr>
            </w:pPr>
            <w:r>
              <w:rPr>
                <w:rFonts w:ascii="Arial" w:cs="Arial" w:eastAsia="Arial" w:hAnsi="Arial"/>
                <w:sz w:val="6"/>
                <w:szCs w:val="6"/>
                <w:b w:val="1"/>
                <w:bCs w:val="1"/>
                <w:color w:val="auto"/>
              </w:rPr>
              <w:t>De iv tive</w:t>
            </w:r>
          </w:p>
        </w:tc>
        <w:tc>
          <w:tcPr>
            <w:tcW w:w="1580" w:type="dxa"/>
            <w:vAlign w:val="bottom"/>
            <w:gridSpan w:val="2"/>
          </w:tcPr>
          <w:p>
            <w:pPr>
              <w:ind w:left="80"/>
              <w:spacing w:after="0" w:line="57" w:lineRule="exact"/>
              <w:rPr>
                <w:sz w:val="20"/>
                <w:szCs w:val="20"/>
                <w:color w:val="auto"/>
              </w:rPr>
            </w:pPr>
            <w:r>
              <w:rPr>
                <w:rFonts w:ascii="Arial" w:cs="Arial" w:eastAsia="Arial" w:hAnsi="Arial"/>
                <w:sz w:val="6"/>
                <w:szCs w:val="6"/>
                <w:b w:val="1"/>
                <w:bCs w:val="1"/>
                <w:color w:val="auto"/>
              </w:rPr>
              <w:t>(Month/Day/Year)</w:t>
            </w:r>
          </w:p>
        </w:tc>
        <w:tc>
          <w:tcPr>
            <w:tcW w:w="1100" w:type="dxa"/>
            <w:vAlign w:val="bottom"/>
          </w:tcPr>
          <w:p>
            <w:pPr>
              <w:ind w:left="60"/>
              <w:spacing w:after="0" w:line="57" w:lineRule="exact"/>
              <w:rPr>
                <w:sz w:val="20"/>
                <w:szCs w:val="20"/>
                <w:color w:val="auto"/>
              </w:rPr>
            </w:pPr>
            <w:r>
              <w:rPr>
                <w:rFonts w:ascii="Arial" w:cs="Arial" w:eastAsia="Arial" w:hAnsi="Arial"/>
                <w:sz w:val="6"/>
                <w:szCs w:val="6"/>
                <w:b w:val="1"/>
                <w:bCs w:val="1"/>
                <w:color w:val="auto"/>
              </w:rPr>
              <w:t>Securities</w:t>
            </w:r>
          </w:p>
        </w:tc>
        <w:tc>
          <w:tcPr>
            <w:tcW w:w="760" w:type="dxa"/>
            <w:vAlign w:val="bottom"/>
          </w:tcPr>
          <w:p>
            <w:pPr>
              <w:ind w:left="60"/>
              <w:spacing w:after="0" w:line="57" w:lineRule="exact"/>
              <w:rPr>
                <w:sz w:val="20"/>
                <w:szCs w:val="20"/>
                <w:color w:val="auto"/>
              </w:rPr>
            </w:pPr>
            <w:r>
              <w:rPr>
                <w:rFonts w:ascii="Arial" w:cs="Arial" w:eastAsia="Arial" w:hAnsi="Arial"/>
                <w:sz w:val="6"/>
                <w:szCs w:val="6"/>
                <w:b w:val="1"/>
                <w:bCs w:val="1"/>
                <w:color w:val="auto"/>
              </w:rPr>
              <w:t>Security</w:t>
            </w: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5440" w:type="dxa"/>
            <w:vAlign w:val="bottom"/>
            <w:gridSpan w:val="6"/>
          </w:tcPr>
          <w:p>
            <w:pPr>
              <w:ind w:left="80"/>
              <w:spacing w:after="0" w:line="79" w:lineRule="exact"/>
              <w:rPr>
                <w:sz w:val="20"/>
                <w:szCs w:val="20"/>
                <w:color w:val="auto"/>
              </w:rPr>
            </w:pPr>
            <w:r>
              <w:rPr>
                <w:rFonts w:ascii="Arial" w:cs="Arial" w:eastAsia="Arial" w:hAnsi="Arial"/>
                <w:sz w:val="7"/>
                <w:szCs w:val="7"/>
                <w:b w:val="1"/>
                <w:bCs w:val="1"/>
                <w:color w:val="auto"/>
              </w:rPr>
              <w:t xml:space="preserve">if any   </w:t>
            </w:r>
            <w:r>
              <w:rPr>
                <w:rFonts w:ascii="Arial" w:cs="Arial" w:eastAsia="Arial" w:hAnsi="Arial"/>
                <w:sz w:val="9"/>
                <w:szCs w:val="9"/>
                <w:b w:val="1"/>
                <w:bCs w:val="1"/>
                <w:color w:val="auto"/>
              </w:rPr>
              <w:t>(e.g., puts, calls,</w:t>
            </w:r>
            <w:r>
              <w:rPr>
                <w:rFonts w:ascii="Arial" w:cs="Arial" w:eastAsia="Arial" w:hAnsi="Arial"/>
                <w:sz w:val="7"/>
                <w:szCs w:val="7"/>
                <w:b w:val="1"/>
                <w:bCs w:val="1"/>
                <w:color w:val="auto"/>
              </w:rPr>
              <w:t xml:space="preserve"> </w:t>
            </w:r>
            <w:r>
              <w:rPr>
                <w:rFonts w:ascii="Arial" w:cs="Arial" w:eastAsia="Arial" w:hAnsi="Arial"/>
                <w:sz w:val="9"/>
                <w:szCs w:val="9"/>
                <w:b w:val="1"/>
                <w:bCs w:val="1"/>
                <w:color w:val="auto"/>
              </w:rPr>
              <w:t>warrants,</w:t>
            </w:r>
            <w:r>
              <w:rPr>
                <w:rFonts w:ascii="Arial" w:cs="Arial" w:eastAsia="Arial" w:hAnsi="Arial"/>
                <w:sz w:val="7"/>
                <w:szCs w:val="7"/>
                <w:b w:val="1"/>
                <w:bCs w:val="1"/>
                <w:color w:val="auto"/>
              </w:rPr>
              <w:t xml:space="preserve"> </w:t>
            </w:r>
            <w:r>
              <w:rPr>
                <w:rFonts w:ascii="Arial" w:cs="Arial" w:eastAsia="Arial" w:hAnsi="Arial"/>
                <w:sz w:val="9"/>
                <w:szCs w:val="9"/>
                <w:b w:val="1"/>
                <w:bCs w:val="1"/>
                <w:color w:val="auto"/>
              </w:rPr>
              <w:t>options, convertible securities)</w:t>
            </w:r>
          </w:p>
        </w:tc>
        <w:tc>
          <w:tcPr>
            <w:tcW w:w="7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gridSpan w:val="2"/>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3"/>
                <w:szCs w:val="13"/>
                <w:color w:val="auto"/>
              </w:rPr>
            </w:pP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w w:val="94"/>
              </w:rPr>
              <w:t>7. Title andAmount</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Amountorof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SecuritiesNumber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w w:val="79"/>
              </w:rPr>
              <w:t>Acquired(A)(D)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w w:val="83"/>
              </w:rPr>
              <w:t>DerivativeTitleShares</w:t>
            </w:r>
          </w:p>
        </w:tc>
        <w:tc>
          <w:tcPr>
            <w:tcW w:w="760" w:type="dxa"/>
            <w:vAlign w:val="bottom"/>
          </w:tcPr>
          <w:p>
            <w:pPr>
              <w:spacing w:after="0"/>
              <w:rPr>
                <w:sz w:val="12"/>
                <w:szCs w:val="12"/>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0"/>
                <w:szCs w:val="10"/>
                <w:color w:val="auto"/>
              </w:rPr>
            </w:pPr>
          </w:p>
        </w:tc>
        <w:tc>
          <w:tcPr>
            <w:tcW w:w="94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00" w:type="dxa"/>
            <w:vAlign w:val="bottom"/>
            <w:gridSpan w:val="3"/>
          </w:tcPr>
          <w:p>
            <w:pPr>
              <w:ind w:left="20"/>
              <w:spacing w:after="0" w:line="146" w:lineRule="exact"/>
              <w:rPr>
                <w:sz w:val="20"/>
                <w:szCs w:val="20"/>
                <w:color w:val="auto"/>
              </w:rPr>
            </w:pPr>
            <w:r>
              <w:rPr>
                <w:rFonts w:ascii="Arial" w:cs="Arial" w:eastAsia="Arial" w:hAnsi="Arial"/>
                <w:sz w:val="14"/>
                <w:szCs w:val="14"/>
                <w:b w:val="1"/>
                <w:bCs w:val="1"/>
                <w:color w:val="auto"/>
              </w:rPr>
              <w:t>Explanation of Responses:</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2"/>
                <w:szCs w:val="12"/>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400" w:type="dxa"/>
            <w:vAlign w:val="bottom"/>
            <w:gridSpan w:val="15"/>
          </w:tcPr>
          <w:p>
            <w:pPr>
              <w:ind w:left="20"/>
              <w:spacing w:after="0" w:line="54" w:lineRule="exact"/>
              <w:rPr>
                <w:sz w:val="20"/>
                <w:szCs w:val="20"/>
                <w:color w:val="auto"/>
              </w:rPr>
            </w:pPr>
            <w:r>
              <w:rPr>
                <w:rFonts w:ascii="Arial" w:cs="Arial" w:eastAsia="Arial" w:hAnsi="Arial"/>
                <w:sz w:val="6"/>
                <w:szCs w:val="6"/>
                <w:color w:val="008000"/>
              </w:rPr>
              <w:t>1. The number of securities reported represents an aggregate number of shares purchased in multiple market transactions over a range of purchase prices. The price reported represents the weighted average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ind w:left="80"/>
              <w:spacing w:after="0" w:line="29" w:lineRule="exact"/>
              <w:rPr>
                <w:sz w:val="20"/>
                <w:szCs w:val="20"/>
                <w:color w:val="auto"/>
              </w:rPr>
            </w:pPr>
            <w:r>
              <w:rPr>
                <w:rFonts w:ascii="Arial" w:cs="Arial" w:eastAsia="Arial" w:hAnsi="Arial"/>
                <w:sz w:val="3"/>
                <w:szCs w:val="3"/>
                <w:b w:val="1"/>
                <w:bCs w:val="1"/>
                <w:color w:val="auto"/>
              </w:rPr>
              <w:t>(Instr. 3, 4</w:t>
            </w: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ind w:left="20"/>
              <w:spacing w:after="0" w:line="29" w:lineRule="exact"/>
              <w:rPr>
                <w:sz w:val="20"/>
                <w:szCs w:val="20"/>
                <w:color w:val="auto"/>
              </w:rPr>
            </w:pPr>
            <w:r>
              <w:rPr>
                <w:rFonts w:ascii="Arial" w:cs="Arial" w:eastAsia="Arial" w:hAnsi="Arial"/>
                <w:sz w:val="3"/>
                <w:szCs w:val="3"/>
                <w:b w:val="1"/>
                <w:bCs w:val="1"/>
                <w:color w:val="auto"/>
              </w:rPr>
              <w:t>(Instr. 4)</w:t>
            </w: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675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267589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20"/>
        </w:trPr>
        <w:tc>
          <w:tcPr>
            <w:tcW w:w="10860" w:type="dxa"/>
            <w:vAlign w:val="bottom"/>
            <w:gridSpan w:val="2"/>
          </w:tcPr>
          <w:p>
            <w:pPr>
              <w:spacing w:after="0" w:line="121" w:lineRule="exact"/>
              <w:rPr>
                <w:sz w:val="20"/>
                <w:szCs w:val="20"/>
                <w:color w:val="auto"/>
              </w:rPr>
            </w:pPr>
            <w:r>
              <w:rPr>
                <w:rFonts w:ascii="Arial" w:cs="Arial" w:eastAsia="Arial" w:hAnsi="Arial"/>
                <w:sz w:val="12"/>
                <w:szCs w:val="12"/>
                <w:color w:val="008000"/>
              </w:rPr>
              <w:t>price per share. The Reporting Person undertakes to provide the staff of the SEC, the Issuer, or a stockholder of the Issuer, upon request, the number of shares purchased by the Reporting Person at each</w:t>
            </w:r>
          </w:p>
        </w:tc>
        <w:tc>
          <w:tcPr>
            <w:tcW w:w="0" w:type="dxa"/>
            <w:vAlign w:val="bottom"/>
          </w:tcPr>
          <w:p>
            <w:pPr>
              <w:spacing w:after="0"/>
              <w:rPr>
                <w:sz w:val="1"/>
                <w:szCs w:val="1"/>
                <w:color w:val="auto"/>
              </w:rPr>
            </w:pPr>
          </w:p>
        </w:tc>
      </w:tr>
      <w:tr>
        <w:trPr>
          <w:trHeight w:val="149"/>
        </w:trPr>
        <w:tc>
          <w:tcPr>
            <w:tcW w:w="3220" w:type="dxa"/>
            <w:vAlign w:val="bottom"/>
            <w:vMerge w:val="restart"/>
          </w:tcPr>
          <w:p>
            <w:pPr>
              <w:spacing w:after="0"/>
              <w:rPr>
                <w:sz w:val="20"/>
                <w:szCs w:val="20"/>
                <w:color w:val="auto"/>
              </w:rPr>
            </w:pPr>
            <w:r>
              <w:rPr>
                <w:rFonts w:ascii="Arial" w:cs="Arial" w:eastAsia="Arial" w:hAnsi="Arial"/>
                <w:sz w:val="14"/>
                <w:szCs w:val="14"/>
                <w:color w:val="008000"/>
              </w:rPr>
              <w:t>separate price within the range.</w:t>
            </w:r>
          </w:p>
        </w:tc>
        <w:tc>
          <w:tcPr>
            <w:tcW w:w="7640" w:type="dxa"/>
            <w:vAlign w:val="bottom"/>
          </w:tcPr>
          <w:p>
            <w:pPr>
              <w:ind w:left="1520"/>
              <w:spacing w:after="0"/>
              <w:rPr>
                <w:sz w:val="20"/>
                <w:szCs w:val="20"/>
                <w:color w:val="auto"/>
              </w:rPr>
            </w:pPr>
            <w:r>
              <w:rPr>
                <w:rFonts w:ascii="Arial" w:cs="Arial" w:eastAsia="Arial" w:hAnsi="Arial"/>
                <w:sz w:val="12"/>
                <w:szCs w:val="12"/>
                <w:b w:val="1"/>
                <w:bCs w:val="1"/>
                <w:color w:val="auto"/>
              </w:rPr>
              <w:t>and 5)</w:t>
            </w:r>
          </w:p>
        </w:tc>
        <w:tc>
          <w:tcPr>
            <w:tcW w:w="0" w:type="dxa"/>
            <w:vAlign w:val="bottom"/>
          </w:tcPr>
          <w:p>
            <w:pPr>
              <w:spacing w:after="0"/>
              <w:rPr>
                <w:sz w:val="1"/>
                <w:szCs w:val="1"/>
                <w:color w:val="auto"/>
              </w:rPr>
            </w:pPr>
          </w:p>
        </w:tc>
      </w:tr>
      <w:tr>
        <w:trPr>
          <w:trHeight w:val="40"/>
        </w:trPr>
        <w:tc>
          <w:tcPr>
            <w:tcW w:w="3220" w:type="dxa"/>
            <w:vAlign w:val="bottom"/>
            <w:vMerge w:val="continue"/>
          </w:tcPr>
          <w:p>
            <w:pPr>
              <w:spacing w:after="0"/>
              <w:rPr>
                <w:sz w:val="3"/>
                <w:szCs w:val="3"/>
                <w:color w:val="auto"/>
              </w:rPr>
            </w:pPr>
          </w:p>
        </w:tc>
        <w:tc>
          <w:tcPr>
            <w:tcW w:w="7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5" w:lineRule="exact"/>
        <w:rPr>
          <w:rFonts w:ascii="Arial" w:cs="Arial" w:eastAsia="Arial" w:hAnsi="Arial"/>
          <w:sz w:val="12"/>
          <w:szCs w:val="12"/>
          <w:b w:val="1"/>
          <w:bCs w:val="1"/>
          <w:color w:val="auto"/>
        </w:rPr>
      </w:pPr>
    </w:p>
    <w:p>
      <w:pPr>
        <w:ind w:left="40" w:right="320"/>
        <w:spacing w:after="0"/>
        <w:rPr>
          <w:sz w:val="20"/>
          <w:szCs w:val="20"/>
          <w:color w:val="auto"/>
        </w:rPr>
      </w:pPr>
      <w:r>
        <w:rPr>
          <w:rFonts w:ascii="Arial" w:cs="Arial" w:eastAsia="Arial" w:hAnsi="Arial"/>
          <w:sz w:val="9"/>
          <w:szCs w:val="9"/>
          <w:color w:val="008000"/>
        </w:rPr>
        <w:t>2. Represents shares acquired directly by sanofi-aventis Amerique du Nord ("SAAN"). The shares were purchased pursuant to a plan intended</w:t>
      </w:r>
      <w:r>
        <w:rPr>
          <w:rFonts w:ascii="Arial" w:cs="Arial" w:eastAsia="Arial" w:hAnsi="Arial"/>
          <w:sz w:val="8"/>
          <w:szCs w:val="8"/>
          <w:b w:val="1"/>
          <w:bCs w:val="1"/>
          <w:color w:val="000000"/>
        </w:rPr>
        <w:t>Am</w:t>
      </w:r>
      <w:r>
        <w:rPr>
          <w:rFonts w:ascii="Arial" w:cs="Arial" w:eastAsia="Arial" w:hAnsi="Arial"/>
          <w:sz w:val="9"/>
          <w:szCs w:val="9"/>
          <w:color w:val="008000"/>
        </w:rPr>
        <w:t>to</w:t>
      </w:r>
      <w:r>
        <w:rPr>
          <w:rFonts w:ascii="Arial" w:cs="Arial" w:eastAsia="Arial" w:hAnsi="Arial"/>
          <w:sz w:val="8"/>
          <w:szCs w:val="8"/>
          <w:b w:val="1"/>
          <w:bCs w:val="1"/>
          <w:color w:val="000000"/>
        </w:rPr>
        <w:t>unt</w:t>
      </w:r>
      <w:r>
        <w:rPr>
          <w:rFonts w:ascii="Arial" w:cs="Arial" w:eastAsia="Arial" w:hAnsi="Arial"/>
          <w:sz w:val="9"/>
          <w:szCs w:val="9"/>
          <w:color w:val="008000"/>
        </w:rPr>
        <w:t>comply with Rule 10b5-1(c)(1)(i) under the Exchange Act, entered into with a broker on June 27, 2014.</w:t>
      </w:r>
    </w:p>
    <w:p>
      <w:pPr>
        <w:spacing w:after="0" w:line="253" w:lineRule="exact"/>
        <w:rPr>
          <w:rFonts w:ascii="Arial" w:cs="Arial" w:eastAsia="Arial" w:hAnsi="Arial"/>
          <w:sz w:val="12"/>
          <w:szCs w:val="12"/>
          <w:b w:val="1"/>
          <w:bCs w:val="1"/>
          <w:color w:val="auto"/>
        </w:rPr>
      </w:pPr>
    </w:p>
    <w:p>
      <w:pPr>
        <w:ind w:left="40"/>
        <w:spacing w:after="0"/>
        <w:rPr>
          <w:sz w:val="20"/>
          <w:szCs w:val="20"/>
          <w:color w:val="auto"/>
        </w:rPr>
      </w:pPr>
      <w:r>
        <w:rPr>
          <w:rFonts w:ascii="Arial" w:cs="Arial" w:eastAsia="Arial" w:hAnsi="Arial"/>
          <w:sz w:val="14"/>
          <w:szCs w:val="14"/>
          <w:color w:val="008000"/>
        </w:rPr>
        <w:t>3. Purchase prices range from $285.55 to $286.25 per share, inclusive.</w:t>
      </w:r>
    </w:p>
    <w:p>
      <w:pPr>
        <w:spacing w:after="0" w:line="32" w:lineRule="exact"/>
        <w:rPr>
          <w:rFonts w:ascii="Arial" w:cs="Arial" w:eastAsia="Arial" w:hAnsi="Arial"/>
          <w:sz w:val="12"/>
          <w:szCs w:val="12"/>
          <w:b w:val="1"/>
          <w:bCs w:val="1"/>
          <w:color w:val="auto"/>
        </w:rPr>
      </w:pPr>
    </w:p>
    <w:p>
      <w:pPr>
        <w:jc w:val="both"/>
        <w:ind w:left="40" w:right="140" w:firstLine="9"/>
        <w:spacing w:after="0" w:line="229"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Indirectly owned through (a) SAAN, a direct, wholly-owned subsidiary</w:t>
      </w:r>
      <w:r>
        <w:rPr>
          <w:rFonts w:ascii="Arial" w:cs="Arial" w:eastAsia="Arial" w:hAnsi="Arial"/>
          <w:sz w:val="21"/>
          <w:szCs w:val="21"/>
          <w:b w:val="1"/>
          <w:bCs w:val="1"/>
          <w:color w:val="000000"/>
          <w:vertAlign w:val="superscript"/>
        </w:rPr>
        <w:t>Code</w:t>
      </w:r>
      <w:r>
        <w:rPr>
          <w:rFonts w:ascii="Arial" w:cs="Arial" w:eastAsia="Arial" w:hAnsi="Arial"/>
          <w:sz w:val="12"/>
          <w:szCs w:val="12"/>
          <w:color w:val="008000"/>
        </w:rPr>
        <w:t>ofSanofi,</w:t>
      </w:r>
      <w:r>
        <w:rPr>
          <w:rFonts w:ascii="Arial" w:cs="Arial" w:eastAsia="Arial" w:hAnsi="Arial"/>
          <w:sz w:val="21"/>
          <w:szCs w:val="21"/>
          <w:b w:val="1"/>
          <w:bCs w:val="1"/>
          <w:color w:val="000000"/>
          <w:vertAlign w:val="superscript"/>
        </w:rPr>
        <w:t>V</w:t>
      </w:r>
      <w:r>
        <w:rPr>
          <w:rFonts w:ascii="Arial" w:cs="Arial" w:eastAsia="Arial" w:hAnsi="Arial"/>
          <w:sz w:val="12"/>
          <w:szCs w:val="12"/>
          <w:color w:val="008000"/>
        </w:rPr>
        <w:t xml:space="preserve"> and</w:t>
      </w:r>
      <w:r>
        <w:rPr>
          <w:rFonts w:ascii="Arial" w:cs="Arial" w:eastAsia="Arial" w:hAnsi="Arial"/>
          <w:sz w:val="21"/>
          <w:szCs w:val="21"/>
          <w:b w:val="1"/>
          <w:bCs w:val="1"/>
          <w:color w:val="000000"/>
          <w:vertAlign w:val="superscript"/>
        </w:rPr>
        <w:t>(A)</w:t>
      </w:r>
      <w:r>
        <w:rPr>
          <w:rFonts w:ascii="Arial" w:cs="Arial" w:eastAsia="Arial" w:hAnsi="Arial"/>
          <w:sz w:val="12"/>
          <w:szCs w:val="12"/>
          <w:color w:val="008000"/>
        </w:rPr>
        <w:t>(b) Aventis</w:t>
      </w:r>
      <w:r>
        <w:rPr>
          <w:rFonts w:ascii="Arial" w:cs="Arial" w:eastAsia="Arial" w:hAnsi="Arial"/>
          <w:sz w:val="21"/>
          <w:szCs w:val="21"/>
          <w:b w:val="1"/>
          <w:bCs w:val="1"/>
          <w:color w:val="000000"/>
          <w:vertAlign w:val="superscript"/>
        </w:rPr>
        <w:t>(D)</w:t>
      </w:r>
      <w:r>
        <w:rPr>
          <w:rFonts w:ascii="Arial" w:cs="Arial" w:eastAsia="Arial" w:hAnsi="Arial"/>
          <w:sz w:val="12"/>
          <w:szCs w:val="12"/>
          <w:color w:val="008000"/>
        </w:rPr>
        <w:t xml:space="preserve"> Pharmaceuticals</w:t>
      </w:r>
      <w:r>
        <w:rPr>
          <w:rFonts w:ascii="Arial" w:cs="Arial" w:eastAsia="Arial" w:hAnsi="Arial"/>
          <w:sz w:val="21"/>
          <w:szCs w:val="21"/>
          <w:b w:val="1"/>
          <w:bCs w:val="1"/>
          <w:color w:val="000000"/>
          <w:vertAlign w:val="superscript"/>
        </w:rPr>
        <w:t>ExercisableDate</w:t>
      </w:r>
      <w:r>
        <w:rPr>
          <w:rFonts w:ascii="Arial" w:cs="Arial" w:eastAsia="Arial" w:hAnsi="Arial"/>
          <w:sz w:val="12"/>
          <w:szCs w:val="12"/>
          <w:color w:val="008000"/>
        </w:rPr>
        <w:t>Inc. ("Aventis"),</w:t>
      </w:r>
      <w:r>
        <w:rPr>
          <w:rFonts w:ascii="Arial" w:cs="Arial" w:eastAsia="Arial" w:hAnsi="Arial"/>
          <w:sz w:val="21"/>
          <w:szCs w:val="21"/>
          <w:b w:val="1"/>
          <w:bCs w:val="1"/>
          <w:color w:val="000000"/>
          <w:vertAlign w:val="superscript"/>
        </w:rPr>
        <w:t>Title</w:t>
      </w:r>
      <w:r>
        <w:rPr>
          <w:rFonts w:ascii="Arial" w:cs="Arial" w:eastAsia="Arial" w:hAnsi="Arial"/>
          <w:sz w:val="12"/>
          <w:szCs w:val="12"/>
          <w:color w:val="008000"/>
        </w:rPr>
        <w:t>an indirect,</w:t>
      </w:r>
      <w:r>
        <w:rPr>
          <w:rFonts w:ascii="Arial" w:cs="Arial" w:eastAsia="Arial" w:hAnsi="Arial"/>
          <w:sz w:val="21"/>
          <w:szCs w:val="21"/>
          <w:b w:val="1"/>
          <w:bCs w:val="1"/>
          <w:color w:val="000000"/>
          <w:vertAlign w:val="superscript"/>
        </w:rPr>
        <w:t>Shares</w:t>
      </w:r>
      <w:r>
        <w:rPr>
          <w:rFonts w:ascii="Arial" w:cs="Arial" w:eastAsia="Arial" w:hAnsi="Arial"/>
          <w:sz w:val="12"/>
          <w:szCs w:val="12"/>
          <w:color w:val="008000"/>
        </w:rPr>
        <w:t>wholly-owned subsidiary of SAAN. After giving effect to all acquisitions reported on this Form 4, the number of shares beneficially owned directly by SAAN and Aventis was 17,884,089 shares and 2,799,552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32"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$286.69 to $287.50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$287.74 to $288.72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$289.00 to $289.53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$292.50 to $293.38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$293.67 to $294.64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$294.68 to $295.53 per share, inclusive.</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Purchase prices range from $295.70 to $296.67 per share, inclusive.</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$296.72 to $297.69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$297.72 to $298.68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$298.73 to $299.72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$299.73 to $300.72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$300.73 to $301.70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$301.79 to $302.76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$302.80 to $303.79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$303.80 to $304.41 per share, inclusive.</w:t>
      </w:r>
    </w:p>
    <w:p>
      <w:pPr>
        <w:spacing w:after="0" w:line="34" w:lineRule="exact"/>
        <w:rPr>
          <w:rFonts w:ascii="Arial" w:cs="Arial" w:eastAsia="Arial" w:hAnsi="Arial"/>
          <w:sz w:val="12"/>
          <w:szCs w:val="12"/>
          <w:b w:val="1"/>
          <w:bCs w:val="1"/>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rFonts w:ascii="Arial" w:cs="Arial" w:eastAsia="Arial" w:hAnsi="Arial"/>
          <w:sz w:val="12"/>
          <w:szCs w:val="12"/>
          <w:b w:val="1"/>
          <w:bCs w:val="1"/>
          <w:color w:val="auto"/>
        </w:rPr>
      </w:pPr>
    </w:p>
    <w:p>
      <w:pPr>
        <w:ind w:left="6860"/>
        <w:spacing w:after="0"/>
        <w:rPr>
          <w:sz w:val="20"/>
          <w:szCs w:val="20"/>
          <w:color w:val="auto"/>
        </w:rPr>
      </w:pPr>
      <w:r>
        <w:rPr>
          <w:rFonts w:ascii="Arial" w:cs="Arial" w:eastAsia="Arial" w:hAnsi="Arial"/>
          <w:sz w:val="18"/>
          <w:szCs w:val="18"/>
          <w:color w:val="0000FF"/>
        </w:rPr>
        <w:t>/s/ John Felitti, Associate Vice</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8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President, Corporate Law,</w:t>
      </w:r>
      <w:r>
        <w:rPr>
          <w:sz w:val="20"/>
          <w:szCs w:val="20"/>
          <w:color w:val="auto"/>
        </w:rPr>
        <w:tab/>
      </w:r>
      <w:r>
        <w:rPr>
          <w:rFonts w:ascii="Arial" w:cs="Arial" w:eastAsia="Arial" w:hAnsi="Arial"/>
          <w:sz w:val="15"/>
          <w:szCs w:val="15"/>
          <w:color w:val="0000FF"/>
        </w:rPr>
        <w:t>07/03/2014</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Financial &amp; Securities Law</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23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rFonts w:ascii="Arial" w:cs="Arial" w:eastAsia="Arial" w:hAnsi="Arial"/>
          <w:sz w:val="12"/>
          <w:szCs w:val="12"/>
          <w:b w:val="1"/>
          <w:bCs w:val="1"/>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rFonts w:ascii="Arial" w:cs="Arial" w:eastAsia="Arial" w:hAnsi="Arial"/>
          <w:sz w:val="12"/>
          <w:szCs w:val="12"/>
          <w:b w:val="1"/>
          <w:bCs w:val="1"/>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rFonts w:ascii="Arial" w:cs="Arial" w:eastAsia="Arial" w:hAnsi="Arial"/>
          <w:sz w:val="12"/>
          <w:szCs w:val="12"/>
          <w:b w:val="1"/>
          <w:bCs w:val="1"/>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rFonts w:ascii="Arial" w:cs="Arial" w:eastAsia="Arial" w:hAnsi="Arial"/>
          <w:sz w:val="12"/>
          <w:szCs w:val="12"/>
          <w:b w:val="1"/>
          <w:bCs w:val="1"/>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1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2019-12-17T06:20:51Z</dcterms:created>
  <dcterms:modified xsi:type="dcterms:W3CDTF">2019-12-17T06:20:51Z</dcterms:modified>
</cp:coreProperties>
</file>