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Fenimore Christopher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OLD SAW MILL RIVER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TARRYTOWN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REGENERON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01/03/2024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01/03/2024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555.67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19,372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01/03/2024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4,043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912.3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15,329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01/03/2024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399.66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20,329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01/03/2024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3,469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912.3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16,860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1,473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2021 GRAT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4,269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2022 GRAT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1,499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1,897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for Daugh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for Son</w:t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399.66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01/03/2024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12/16/2024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555.67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01/03/2024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12/16/2025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are held in a trust for the benefit of the reporting person's spouse. The reporting person and the reporting person's spouse are trustees of the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award vests in four equal annual installments, commencing one year after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/s/**Christopher R. Fenimore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01/04/2024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97422" TargetMode="External"/><Relationship Id="rId4" Type="http://schemas.openxmlformats.org/officeDocument/2006/relationships/hyperlink" Target="http://www.sec.gov/cgi-bin/browse-edgar?action=getcompany&amp;CIK=000087258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707</Words>
  <Characters>3763</Characters>
  <CharactersWithSpaces>4346</CharactersWithSpaces>
  <Paragraphs>169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