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October 6, 2010</w:t>
      </w:r>
    </w:p>
    <w:p>
      <w:pPr>
        <w:spacing w:after="0" w:line="225" w:lineRule="exact"/>
        <w:rPr>
          <w:sz w:val="20"/>
          <w:szCs w:val="20"/>
          <w:color w:val="auto"/>
        </w:rPr>
      </w:pPr>
    </w:p>
    <w:p>
      <w:pPr>
        <w:ind w:left="920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S-3</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UNDER</w:t>
      </w:r>
    </w:p>
    <w:p>
      <w:pPr>
        <w:jc w:val="center"/>
        <w:ind w:right="-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Regeneron Pharmaceuticals,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22" w:right="239" w:bottom="0" w:gutter="0" w:footer="0" w:header="0"/>
        </w:sectPr>
      </w:pPr>
    </w:p>
    <w:p>
      <w:pPr>
        <w:spacing w:after="0" w:line="205"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460"/>
        <w:spacing w:after="0"/>
        <w:rPr>
          <w:sz w:val="20"/>
          <w:szCs w:val="20"/>
          <w:color w:val="auto"/>
        </w:rPr>
      </w:pPr>
      <w:r>
        <w:rPr>
          <w:rFonts w:ascii="Arial" w:cs="Arial" w:eastAsia="Arial" w:hAnsi="Arial"/>
          <w:sz w:val="18"/>
          <w:szCs w:val="18"/>
          <w:b w:val="1"/>
          <w:bCs w:val="1"/>
          <w:color w:val="auto"/>
        </w:rPr>
        <w:t>13-3444607</w:t>
      </w:r>
    </w:p>
    <w:p>
      <w:pPr>
        <w:spacing w:after="0" w:line="27" w:lineRule="exact"/>
        <w:rPr>
          <w:sz w:val="20"/>
          <w:szCs w:val="20"/>
          <w:color w:val="auto"/>
        </w:rPr>
      </w:pPr>
    </w:p>
    <w:p>
      <w:pPr>
        <w:jc w:val="center"/>
        <w:ind w:right="14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2">
            <w:col w:w="6620" w:space="720"/>
            <w:col w:w="4080"/>
          </w:cols>
          <w:pgMar w:left="240" w:top="122" w:right="239" w:bottom="0" w:gutter="0" w:footer="0" w:header="0"/>
          <w:type w:val="continuous"/>
        </w:sectPr>
      </w:pP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777 Old Saw Mill River Road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Tarrytown, New York 10591-6707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(914) 345-7400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Stuart A. Kolinski, Esq.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777 Old Saw Mill River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Tarrytown, New York 10591-6707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(914) 345-7400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a copy 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Andrea L. Nicolas, Esq.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Skadden, Arps, Slate, Meagher &amp; Flom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 Times Square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10036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(212) 735-3000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Facsimile: (212) 735-2000</w:t>
      </w:r>
    </w:p>
    <w:p>
      <w:pPr>
        <w:spacing w:after="0" w:line="99"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Approximate date of commencement of proposed sale to the public: From time to time after the effective date of this registration statement as determined by the Registrant</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o</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w:t>
      </w:r>
    </w:p>
    <w:p>
      <w:pPr>
        <w:spacing w:after="0" w:line="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box. </w:t>
      </w:r>
      <w:r>
        <w:rPr>
          <w:rFonts w:ascii="MS PGothic" w:cs="MS PGothic" w:eastAsia="MS PGothic" w:hAnsi="MS PGothic"/>
          <w:sz w:val="18"/>
          <w:szCs w:val="18"/>
          <w:color w:val="auto"/>
        </w:rPr>
        <w:t>☑</w:t>
      </w:r>
    </w:p>
    <w:p>
      <w:pPr>
        <w:spacing w:after="0" w:line="1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6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62" w:lineRule="exact"/>
        <w:rPr>
          <w:sz w:val="20"/>
          <w:szCs w:val="20"/>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7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this Form is a post-effective amendment to a registration to a registration statement filed pursuant to General Instruction I.D. filed to register additional securities or additional classes of securities pursuant to Rule 413(b) under the Securities Act, check the following box. o</w:t>
      </w:r>
    </w:p>
    <w:p>
      <w:pPr>
        <w:spacing w:after="0" w:line="62" w:lineRule="exact"/>
        <w:rPr>
          <w:sz w:val="20"/>
          <w:szCs w:val="20"/>
          <w:color w:val="auto"/>
        </w:rPr>
      </w:pPr>
    </w:p>
    <w:p>
      <w:pPr>
        <w:ind w:right="12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1" w:lineRule="exact"/>
        <w:rPr>
          <w:sz w:val="20"/>
          <w:szCs w:val="20"/>
          <w:color w:val="auto"/>
        </w:rPr>
      </w:pPr>
    </w:p>
    <w:p>
      <w:pPr>
        <w:spacing w:after="0" w:line="207" w:lineRule="exact"/>
        <w:tabs>
          <w:tab w:leader="none" w:pos="3540" w:val="left"/>
          <w:tab w:leader="none" w:pos="6320" w:val="left"/>
          <w:tab w:leader="none" w:pos="93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ectPr>
          <w:pgSz w:w="11900" w:h="16838" w:orient="portrait"/>
          <w:cols w:equalWidth="0" w:num="1">
            <w:col w:w="11420"/>
          </w:cols>
          <w:pgMar w:left="240" w:top="122" w:right="239" w:bottom="0" w:gutter="0" w:footer="0" w:header="0"/>
          <w:type w:val="continuous"/>
        </w:sectPr>
      </w:pPr>
    </w:p>
    <w:bookmarkStart w:id="2" w:name="page3"/>
    <w:bookmarkEnd w:id="2"/>
    <w:p>
      <w:pPr>
        <w:ind w:left="5500"/>
        <w:spacing w:after="0"/>
        <w:rPr>
          <w:sz w:val="20"/>
          <w:szCs w:val="20"/>
          <w:color w:val="auto"/>
        </w:rPr>
      </w:pPr>
      <w:r>
        <w:rPr>
          <w:rFonts w:ascii="Arial" w:cs="Arial" w:eastAsia="Arial" w:hAnsi="Arial"/>
          <w:sz w:val="18"/>
          <w:szCs w:val="18"/>
          <w:color w:val="auto"/>
        </w:rPr>
        <w:t>(Do not check if a smaller reporting company)</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576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5760" w:type="dxa"/>
            <w:vAlign w:val="bottom"/>
            <w:tcBorders>
              <w:right w:val="single" w:sz="8" w:color="auto"/>
            </w:tcBorders>
            <w:vMerge w:val="restart"/>
          </w:tcPr>
          <w:p>
            <w:pPr>
              <w:jc w:val="center"/>
              <w:ind w:right="22"/>
              <w:spacing w:after="0"/>
              <w:rPr>
                <w:sz w:val="20"/>
                <w:szCs w:val="20"/>
                <w:color w:val="auto"/>
              </w:rPr>
            </w:pPr>
            <w:r>
              <w:rPr>
                <w:rFonts w:ascii="Arial" w:cs="Arial" w:eastAsia="Arial" w:hAnsi="Arial"/>
                <w:sz w:val="14"/>
                <w:szCs w:val="14"/>
                <w:b w:val="1"/>
                <w:bCs w:val="1"/>
                <w:color w:val="auto"/>
                <w:w w:val="91"/>
              </w:rPr>
              <w:t>Title of Each Class of Securities</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Amount to be</w:t>
            </w:r>
          </w:p>
        </w:tc>
        <w:tc>
          <w:tcPr>
            <w:tcW w:w="15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6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5760" w:type="dxa"/>
            <w:vAlign w:val="bottom"/>
            <w:tcBorders>
              <w:right w:val="single" w:sz="8" w:color="auto"/>
            </w:tcBorders>
            <w:vMerge w:val="continue"/>
          </w:tcPr>
          <w:p>
            <w:pPr>
              <w:spacing w:after="0"/>
              <w:rPr>
                <w:sz w:val="12"/>
                <w:szCs w:val="12"/>
                <w:color w:val="auto"/>
              </w:rPr>
            </w:pPr>
          </w:p>
        </w:tc>
        <w:tc>
          <w:tcPr>
            <w:tcW w:w="1180" w:type="dxa"/>
            <w:vAlign w:val="bottom"/>
            <w:tcBorders>
              <w:right w:val="single" w:sz="8" w:color="auto"/>
            </w:tcBorders>
            <w:vMerge w:val="continue"/>
          </w:tcPr>
          <w:p>
            <w:pPr>
              <w:spacing w:after="0"/>
              <w:rPr>
                <w:sz w:val="12"/>
                <w:szCs w:val="12"/>
                <w:color w:val="auto"/>
              </w:rPr>
            </w:pPr>
          </w:p>
        </w:tc>
        <w:tc>
          <w:tcPr>
            <w:tcW w:w="15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Maximum Offering</w:t>
            </w:r>
          </w:p>
        </w:tc>
        <w:tc>
          <w:tcPr>
            <w:tcW w:w="1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Maximum Aggregate</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760" w:type="dxa"/>
            <w:vAlign w:val="bottom"/>
            <w:tcBorders>
              <w:bottom w:val="single" w:sz="8" w:color="auto"/>
              <w:right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1"/>
              </w:rPr>
              <w:t>to be Registered(1)</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Price Per Unit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Common Stock, Preferred Stock, Debt Securities, Warrants</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$0</w:t>
            </w:r>
            <w:r>
              <w:rPr>
                <w:rFonts w:ascii="Arial" w:cs="Arial" w:eastAsia="Arial" w:hAnsi="Arial"/>
                <w:sz w:val="18"/>
                <w:szCs w:val="18"/>
                <w:b w:val="1"/>
                <w:bCs w:val="1"/>
                <w:color w:val="auto"/>
                <w:w w:val="95"/>
              </w:rPr>
              <w:t>(2)</w:t>
            </w:r>
          </w:p>
        </w:tc>
        <w:tc>
          <w:tcPr>
            <w:tcW w:w="0" w:type="dxa"/>
            <w:vAlign w:val="bottom"/>
          </w:tcPr>
          <w:p>
            <w:pPr>
              <w:spacing w:after="0"/>
              <w:rPr>
                <w:sz w:val="1"/>
                <w:szCs w:val="1"/>
                <w:color w:val="auto"/>
              </w:rPr>
            </w:pP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Securities registered hereunder may be sold separately, together or as units with other securities registered hereunder.</w:t>
      </w:r>
    </w:p>
    <w:p>
      <w:pPr>
        <w:spacing w:after="0" w:line="76" w:lineRule="exact"/>
        <w:rPr>
          <w:rFonts w:ascii="Arial" w:cs="Arial" w:eastAsia="Arial" w:hAnsi="Arial"/>
          <w:sz w:val="18"/>
          <w:szCs w:val="18"/>
          <w:color w:val="auto"/>
        </w:rPr>
      </w:pPr>
    </w:p>
    <w:p>
      <w:pPr>
        <w:ind w:left="460" w:right="220" w:hanging="452"/>
        <w:spacing w:after="0" w:line="276"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are registering an indeterminate aggregate principal amount and number of securities of each identified class of securities, which may be offered from time to time in unspecified numbers and at indeterminate prices, and as may be issuable upon conversion, redemption, repurchase, exchange or exercise of any securities registered hereunder, including under any applicable anti-dilution provisions. Separate consideration may or may not be received for securities that are issuable on exercise, conversion or exchange of other securities. In accordance with Rules 456(b) and 457(r) under the Securities Act, the registrant is deferring payment of the entire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288290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Regeneron Pharmaceuticals, Inc.</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COMMON STOCK</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PREFERRED STOCK</w:t>
      </w:r>
    </w:p>
    <w:p>
      <w:pPr>
        <w:jc w:val="center"/>
        <w:ind w:right="-99"/>
        <w:spacing w:after="0" w:line="230" w:lineRule="auto"/>
        <w:rPr>
          <w:sz w:val="20"/>
          <w:szCs w:val="20"/>
          <w:color w:val="auto"/>
        </w:rPr>
      </w:pPr>
      <w:r>
        <w:rPr>
          <w:rFonts w:ascii="Arial" w:cs="Arial" w:eastAsia="Arial" w:hAnsi="Arial"/>
          <w:sz w:val="22"/>
          <w:szCs w:val="22"/>
          <w:b w:val="1"/>
          <w:bCs w:val="1"/>
          <w:color w:val="auto"/>
        </w:rPr>
        <w:t>DEBT SECURITIES</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WARRANTS</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may from time to time offer to sell together or separately in one or more offerings:</w:t>
      </w:r>
    </w:p>
    <w:p>
      <w:pPr>
        <w:spacing w:after="0" w:line="127"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common stock;</w:t>
      </w:r>
    </w:p>
    <w:p>
      <w:pPr>
        <w:spacing w:after="0" w:line="140" w:lineRule="exact"/>
        <w:rPr>
          <w:rFonts w:ascii="Arial" w:cs="Arial" w:eastAsia="Arial" w:hAnsi="Arial"/>
          <w:sz w:val="16"/>
          <w:szCs w:val="16"/>
          <w:b w:val="1"/>
          <w:bCs w:val="1"/>
          <w:color w:val="auto"/>
        </w:rPr>
      </w:pPr>
    </w:p>
    <w:p>
      <w:pPr>
        <w:ind w:left="900" w:hanging="446"/>
        <w:spacing w:after="0"/>
        <w:tabs>
          <w:tab w:leader="none" w:pos="90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preferred stock;</w:t>
      </w:r>
    </w:p>
    <w:p>
      <w:pPr>
        <w:spacing w:after="0" w:line="140" w:lineRule="exact"/>
        <w:rPr>
          <w:rFonts w:ascii="Arial" w:cs="Arial" w:eastAsia="Arial" w:hAnsi="Arial"/>
          <w:sz w:val="16"/>
          <w:szCs w:val="16"/>
          <w:b w:val="1"/>
          <w:bCs w:val="1"/>
          <w:color w:val="auto"/>
        </w:rPr>
      </w:pPr>
    </w:p>
    <w:p>
      <w:pPr>
        <w:ind w:left="900" w:hanging="446"/>
        <w:spacing w:after="0"/>
        <w:tabs>
          <w:tab w:leader="none" w:pos="90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debt securities, which may be senior, subordinated or junior subordinated and convertible or non-convertible; and</w:t>
      </w:r>
    </w:p>
    <w:p>
      <w:pPr>
        <w:spacing w:after="0" w:line="140" w:lineRule="exact"/>
        <w:rPr>
          <w:rFonts w:ascii="Arial" w:cs="Arial" w:eastAsia="Arial" w:hAnsi="Arial"/>
          <w:sz w:val="16"/>
          <w:szCs w:val="16"/>
          <w:b w:val="1"/>
          <w:bCs w:val="1"/>
          <w:color w:val="auto"/>
        </w:rPr>
      </w:pPr>
    </w:p>
    <w:p>
      <w:pPr>
        <w:ind w:left="900" w:hanging="446"/>
        <w:spacing w:after="0"/>
        <w:tabs>
          <w:tab w:leader="none" w:pos="90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warrants to purchase common stock, preferred stock or debt securities.</w:t>
      </w:r>
    </w:p>
    <w:p>
      <w:pPr>
        <w:spacing w:after="0" w:line="127" w:lineRule="exact"/>
        <w:rPr>
          <w:sz w:val="20"/>
          <w:szCs w:val="20"/>
          <w:color w:val="auto"/>
        </w:rPr>
      </w:pPr>
    </w:p>
    <w:p>
      <w:pPr>
        <w:jc w:val="both"/>
        <w:ind w:right="360" w:firstLine="200"/>
        <w:spacing w:after="0" w:line="278" w:lineRule="auto"/>
        <w:rPr>
          <w:sz w:val="20"/>
          <w:szCs w:val="20"/>
          <w:color w:val="auto"/>
        </w:rPr>
      </w:pPr>
      <w:r>
        <w:rPr>
          <w:rFonts w:ascii="Arial" w:cs="Arial" w:eastAsia="Arial" w:hAnsi="Arial"/>
          <w:sz w:val="16"/>
          <w:szCs w:val="16"/>
          <w:color w:val="auto"/>
        </w:rPr>
        <w:t>This prospectus describes some of the general terms that may apply to these securities. We will provide the specific prices and terms of these securities in one or more supplements to this prospectus at the time of the offering. You should read this prospectus and the accompanying prospectus supplement carefully before you make your investment decision.</w:t>
      </w:r>
    </w:p>
    <w:p>
      <w:pPr>
        <w:spacing w:after="0" w:line="76" w:lineRule="exact"/>
        <w:rPr>
          <w:sz w:val="20"/>
          <w:szCs w:val="20"/>
          <w:color w:val="auto"/>
        </w:rPr>
      </w:pPr>
    </w:p>
    <w:p>
      <w:pPr>
        <w:ind w:firstLine="200"/>
        <w:spacing w:after="0" w:line="278" w:lineRule="auto"/>
        <w:rPr>
          <w:sz w:val="20"/>
          <w:szCs w:val="20"/>
          <w:color w:val="auto"/>
        </w:rPr>
      </w:pPr>
      <w:r>
        <w:rPr>
          <w:rFonts w:ascii="Arial" w:cs="Arial" w:eastAsia="Arial" w:hAnsi="Arial"/>
          <w:sz w:val="16"/>
          <w:szCs w:val="16"/>
          <w:color w:val="auto"/>
        </w:rPr>
        <w:t>We may offer and sell these securities through underwriters, dealers or agents or directly to purchasers, on a continuous or delayed basis. The prospectus supplement for each offering will describe in detail the plan of distribution for that offering and will set forth the names of any underwriters, dealers or agents involved in the offering and any applicable fees, commissions or discount arrangements.</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This prospectus may not be used to sell securities unless accompanied by a prospectus supplement or a free writing prospectus.</w:t>
      </w:r>
    </w:p>
    <w:p>
      <w:pPr>
        <w:spacing w:after="0" w:line="127" w:lineRule="exact"/>
        <w:rPr>
          <w:sz w:val="20"/>
          <w:szCs w:val="20"/>
          <w:color w:val="auto"/>
        </w:rPr>
      </w:pPr>
    </w:p>
    <w:p>
      <w:pPr>
        <w:ind w:right="100" w:firstLine="203"/>
        <w:spacing w:after="0" w:line="293" w:lineRule="auto"/>
        <w:rPr>
          <w:sz w:val="20"/>
          <w:szCs w:val="20"/>
          <w:color w:val="auto"/>
        </w:rPr>
      </w:pPr>
      <w:r>
        <w:rPr>
          <w:rFonts w:ascii="Arial" w:cs="Arial" w:eastAsia="Arial" w:hAnsi="Arial"/>
          <w:sz w:val="16"/>
          <w:szCs w:val="16"/>
          <w:color w:val="auto"/>
        </w:rPr>
        <w:t>Our Common Stock is listed on the NASDAQ Global Select Market under the trading symbol “REGN.” Each prospectus supplement will indicate if the securities offered thereby will be listed on any securities exchange.</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Investing in our securities involves a high degree of risk. See “Risk Factors” on page 2 before you make your investment decision.</w:t>
      </w:r>
    </w:p>
    <w:p>
      <w:pPr>
        <w:spacing w:after="0" w:line="127" w:lineRule="exact"/>
        <w:rPr>
          <w:sz w:val="20"/>
          <w:szCs w:val="20"/>
          <w:color w:val="auto"/>
        </w:rPr>
      </w:pPr>
    </w:p>
    <w:p>
      <w:pPr>
        <w:ind w:right="480" w:firstLine="203"/>
        <w:spacing w:after="0" w:line="375"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or the accompanying prospectus supplement is truthful or complete. Any representation to the contrary is a criminal offense.</w:t>
      </w:r>
    </w:p>
    <w:p>
      <w:pPr>
        <w:spacing w:after="0" w:line="226" w:lineRule="exact"/>
        <w:rPr>
          <w:sz w:val="20"/>
          <w:szCs w:val="20"/>
          <w:color w:val="auto"/>
        </w:rPr>
      </w:pPr>
    </w:p>
    <w:p>
      <w:pPr>
        <w:jc w:val="center"/>
        <w:ind w:right="-79"/>
        <w:spacing w:after="0"/>
        <w:tabs>
          <w:tab w:leader="none" w:pos="220" w:val="left"/>
        </w:tabs>
        <w:rPr>
          <w:sz w:val="20"/>
          <w:szCs w:val="20"/>
          <w:color w:val="auto"/>
        </w:rPr>
      </w:pPr>
      <w:r>
        <w:rPr>
          <w:rFonts w:ascii="Arial" w:cs="Arial" w:eastAsia="Arial" w:hAnsi="Arial"/>
          <w:sz w:val="18"/>
          <w:szCs w:val="18"/>
          <w:color w:val="auto"/>
        </w:rPr>
        <w:t>The date of this prospectus is</w:t>
      </w:r>
      <w:r>
        <w:rPr>
          <w:sz w:val="20"/>
          <w:szCs w:val="20"/>
          <w:color w:val="auto"/>
        </w:rPr>
        <w:tab/>
      </w:r>
      <w:r>
        <w:rPr>
          <w:rFonts w:ascii="Arial" w:cs="Arial" w:eastAsia="Arial" w:hAnsi="Arial"/>
          <w:sz w:val="15"/>
          <w:szCs w:val="15"/>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800" w:type="dxa"/>
            <w:vAlign w:val="bottom"/>
          </w:tcPr>
          <w:p>
            <w:pPr>
              <w:jc w:val="right"/>
              <w:ind w:right="4551"/>
              <w:spacing w:after="0"/>
              <w:rPr>
                <w:sz w:val="20"/>
                <w:szCs w:val="20"/>
                <w:color w:val="auto"/>
              </w:rPr>
            </w:pPr>
            <w:r>
              <w:rPr>
                <w:rFonts w:ascii="Arial" w:cs="Arial" w:eastAsia="Arial" w:hAnsi="Arial"/>
                <w:sz w:val="18"/>
                <w:szCs w:val="18"/>
                <w:b w:val="1"/>
                <w:bCs w:val="1"/>
                <w:color w:val="auto"/>
              </w:rPr>
              <w:t>TABLE OF CONTENTS</w:t>
            </w:r>
          </w:p>
        </w:tc>
      </w:tr>
      <w:tr>
        <w:trPr>
          <w:trHeight w:val="350"/>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0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190"/>
        </w:trPr>
        <w:tc>
          <w:tcPr>
            <w:tcW w:w="4520" w:type="dxa"/>
            <w:vAlign w:val="bottom"/>
            <w:gridSpan w:val="14"/>
          </w:tcPr>
          <w:p>
            <w:pPr>
              <w:spacing w:after="0" w:line="190" w:lineRule="exact"/>
              <w:rPr>
                <w:rFonts w:ascii="Arial" w:cs="Arial" w:eastAsia="Arial" w:hAnsi="Arial"/>
                <w:sz w:val="18"/>
                <w:szCs w:val="18"/>
                <w:color w:val="0000EE"/>
              </w:rPr>
            </w:pPr>
            <w:hyperlink w:anchor="page6">
              <w:r>
                <w:rPr>
                  <w:rFonts w:ascii="Arial" w:cs="Arial" w:eastAsia="Arial" w:hAnsi="Arial"/>
                  <w:sz w:val="18"/>
                  <w:szCs w:val="18"/>
                  <w:color w:val="0000EE"/>
                </w:rPr>
                <w:t>About This Prospectus</w:t>
              </w:r>
            </w:hyperlink>
          </w:p>
        </w:tc>
        <w:tc>
          <w:tcPr>
            <w:tcW w:w="6800" w:type="dxa"/>
            <w:vAlign w:val="bottom"/>
          </w:tcPr>
          <w:p>
            <w:pPr>
              <w:jc w:val="right"/>
              <w:spacing w:after="0" w:line="190" w:lineRule="exact"/>
              <w:rPr>
                <w:sz w:val="20"/>
                <w:szCs w:val="20"/>
                <w:color w:val="auto"/>
              </w:rPr>
            </w:pPr>
            <w:r>
              <w:rPr>
                <w:rFonts w:ascii="Arial" w:cs="Arial" w:eastAsia="Arial" w:hAnsi="Arial"/>
                <w:sz w:val="18"/>
                <w:szCs w:val="18"/>
                <w:color w:val="auto"/>
              </w:rPr>
              <w:t>ii</w:t>
            </w:r>
          </w:p>
        </w:tc>
      </w:tr>
      <w:tr>
        <w:trPr>
          <w:trHeight w:val="196"/>
        </w:trPr>
        <w:tc>
          <w:tcPr>
            <w:tcW w:w="16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2880" w:type="dxa"/>
            <w:vAlign w:val="bottom"/>
            <w:gridSpan w:val="7"/>
          </w:tcPr>
          <w:p>
            <w:pPr>
              <w:spacing w:after="0"/>
              <w:rPr>
                <w:sz w:val="17"/>
                <w:szCs w:val="17"/>
                <w:color w:val="auto"/>
              </w:rPr>
            </w:pPr>
          </w:p>
        </w:tc>
        <w:tc>
          <w:tcPr>
            <w:tcW w:w="68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Risk Factors</w:t>
              </w:r>
            </w:hyperlink>
          </w:p>
        </w:tc>
        <w:tc>
          <w:tcPr>
            <w:tcW w:w="3600" w:type="dxa"/>
            <w:vAlign w:val="bottom"/>
            <w:gridSpan w:val="11"/>
          </w:tcPr>
          <w:p>
            <w:pPr>
              <w:spacing w:after="0"/>
              <w:rPr>
                <w:sz w:val="17"/>
                <w:szCs w:val="17"/>
                <w:color w:val="auto"/>
              </w:rPr>
            </w:pPr>
          </w:p>
        </w:tc>
        <w:tc>
          <w:tcPr>
            <w:tcW w:w="68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1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Use of Proceeds</w:t>
              </w:r>
            </w:hyperlink>
          </w:p>
        </w:tc>
        <w:tc>
          <w:tcPr>
            <w:tcW w:w="3340" w:type="dxa"/>
            <w:vAlign w:val="bottom"/>
            <w:gridSpan w:val="9"/>
          </w:tcPr>
          <w:p>
            <w:pPr>
              <w:spacing w:after="0"/>
              <w:rPr>
                <w:sz w:val="17"/>
                <w:szCs w:val="17"/>
                <w:color w:val="auto"/>
              </w:rPr>
            </w:pPr>
          </w:p>
        </w:tc>
        <w:tc>
          <w:tcPr>
            <w:tcW w:w="68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520" w:type="dxa"/>
            <w:vAlign w:val="bottom"/>
            <w:gridSpan w:val="1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Ratio of Earnings to Fixed Charges</w:t>
              </w:r>
            </w:hyperlink>
          </w:p>
        </w:tc>
        <w:tc>
          <w:tcPr>
            <w:tcW w:w="6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8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Description of Securities</w:t>
              </w:r>
            </w:hyperlink>
          </w:p>
        </w:tc>
        <w:tc>
          <w:tcPr>
            <w:tcW w:w="740" w:type="dxa"/>
            <w:vAlign w:val="bottom"/>
            <w:tcBorders>
              <w:top w:val="single" w:sz="8" w:color="0000EE"/>
            </w:tcBorders>
            <w:gridSpan w:val="3"/>
          </w:tcPr>
          <w:p>
            <w:pPr>
              <w:spacing w:after="0"/>
              <w:rPr>
                <w:sz w:val="17"/>
                <w:szCs w:val="17"/>
                <w:color w:val="auto"/>
              </w:rPr>
            </w:pPr>
          </w:p>
        </w:tc>
        <w:tc>
          <w:tcPr>
            <w:tcW w:w="1980" w:type="dxa"/>
            <w:vAlign w:val="bottom"/>
            <w:gridSpan w:val="2"/>
          </w:tcPr>
          <w:p>
            <w:pPr>
              <w:spacing w:after="0"/>
              <w:rPr>
                <w:sz w:val="17"/>
                <w:szCs w:val="17"/>
                <w:color w:val="auto"/>
              </w:rPr>
            </w:pPr>
          </w:p>
        </w:tc>
        <w:tc>
          <w:tcPr>
            <w:tcW w:w="6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520" w:type="dxa"/>
            <w:vAlign w:val="bottom"/>
            <w:gridSpan w:val="14"/>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Description of Capital Stock</w:t>
              </w:r>
            </w:hyperlink>
          </w:p>
        </w:tc>
        <w:tc>
          <w:tcPr>
            <w:tcW w:w="68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Description of Debt Securities</w:t>
              </w:r>
            </w:hyperlink>
          </w:p>
        </w:tc>
        <w:tc>
          <w:tcPr>
            <w:tcW w:w="2320" w:type="dxa"/>
            <w:vAlign w:val="bottom"/>
            <w:gridSpan w:val="3"/>
          </w:tcPr>
          <w:p>
            <w:pPr>
              <w:spacing w:after="0"/>
              <w:rPr>
                <w:sz w:val="17"/>
                <w:szCs w:val="17"/>
                <w:color w:val="auto"/>
              </w:rPr>
            </w:pPr>
          </w:p>
        </w:tc>
        <w:tc>
          <w:tcPr>
            <w:tcW w:w="68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7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Description of Warrants</w:t>
              </w:r>
            </w:hyperlink>
          </w:p>
        </w:tc>
        <w:tc>
          <w:tcPr>
            <w:tcW w:w="2780" w:type="dxa"/>
            <w:vAlign w:val="bottom"/>
            <w:gridSpan w:val="6"/>
          </w:tcPr>
          <w:p>
            <w:pPr>
              <w:spacing w:after="0"/>
              <w:rPr>
                <w:sz w:val="17"/>
                <w:szCs w:val="17"/>
                <w:color w:val="auto"/>
              </w:rPr>
            </w:pPr>
          </w:p>
        </w:tc>
        <w:tc>
          <w:tcPr>
            <w:tcW w:w="68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4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20">
              <w:r>
                <w:rPr>
                  <w:rFonts w:ascii="Arial" w:cs="Arial" w:eastAsia="Arial" w:hAnsi="Arial"/>
                  <w:sz w:val="18"/>
                  <w:szCs w:val="18"/>
                  <w:color w:val="0000EE"/>
                  <w:w w:val="93"/>
                </w:rPr>
                <w:t>Plan of Distribution</w:t>
              </w:r>
            </w:hyperlink>
          </w:p>
        </w:tc>
        <w:tc>
          <w:tcPr>
            <w:tcW w:w="3080" w:type="dxa"/>
            <w:vAlign w:val="bottom"/>
            <w:gridSpan w:val="8"/>
          </w:tcPr>
          <w:p>
            <w:pPr>
              <w:spacing w:after="0"/>
              <w:rPr>
                <w:sz w:val="17"/>
                <w:szCs w:val="17"/>
                <w:color w:val="auto"/>
              </w:rPr>
            </w:pPr>
          </w:p>
        </w:tc>
        <w:tc>
          <w:tcPr>
            <w:tcW w:w="68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Legal Matters</w:t>
              </w:r>
            </w:hyperlink>
          </w:p>
        </w:tc>
        <w:tc>
          <w:tcPr>
            <w:tcW w:w="3500" w:type="dxa"/>
            <w:vAlign w:val="bottom"/>
            <w:gridSpan w:val="10"/>
          </w:tcPr>
          <w:p>
            <w:pPr>
              <w:spacing w:after="0"/>
              <w:rPr>
                <w:sz w:val="17"/>
                <w:szCs w:val="17"/>
                <w:color w:val="auto"/>
              </w:rPr>
            </w:pPr>
          </w:p>
        </w:tc>
        <w:tc>
          <w:tcPr>
            <w:tcW w:w="68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Experts</w:t>
              </w:r>
            </w:hyperlink>
          </w:p>
        </w:tc>
        <w:tc>
          <w:tcPr>
            <w:tcW w:w="3960" w:type="dxa"/>
            <w:vAlign w:val="bottom"/>
            <w:gridSpan w:val="13"/>
          </w:tcPr>
          <w:p>
            <w:pPr>
              <w:spacing w:after="0"/>
              <w:rPr>
                <w:sz w:val="17"/>
                <w:szCs w:val="17"/>
                <w:color w:val="auto"/>
              </w:rPr>
            </w:pPr>
          </w:p>
        </w:tc>
        <w:tc>
          <w:tcPr>
            <w:tcW w:w="68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45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Cautionary Statement Regarding Forward-Looking Statements</w:t>
              </w:r>
            </w:hyperlink>
          </w:p>
        </w:tc>
        <w:tc>
          <w:tcPr>
            <w:tcW w:w="68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8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Where You Can Find More Information</w:t>
              </w:r>
            </w:hyperlink>
          </w:p>
        </w:tc>
        <w:tc>
          <w:tcPr>
            <w:tcW w:w="1640" w:type="dxa"/>
            <w:vAlign w:val="bottom"/>
          </w:tcPr>
          <w:p>
            <w:pPr>
              <w:spacing w:after="0"/>
              <w:rPr>
                <w:sz w:val="17"/>
                <w:szCs w:val="17"/>
                <w:color w:val="auto"/>
              </w:rPr>
            </w:pPr>
          </w:p>
        </w:tc>
        <w:tc>
          <w:tcPr>
            <w:tcW w:w="68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EX-4.3</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EX-5.1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right="400" w:firstLine="222"/>
        <w:spacing w:after="0" w:line="308"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(the “SEC”) using a “shelf” registration process. Under the shelf process, we may sell any combination of the securities described in this prospectus in one or more offerings.</w:t>
      </w:r>
    </w:p>
    <w:p>
      <w:pPr>
        <w:spacing w:after="0" w:line="38"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This prospectus only provides you with a general description of the securities we may offer. Each time we sell securities we will provide a supplement to this prospectus that will contain specific information about the terms of that offering, including the specific amounts, prices and terms of the securities offered. The prospectus supplement may also add, update or change information contained in this prospectus. You should carefully read both this prospectus and any accompanying prospectus supplement or other offering materials, together with the additional information described under the heading “Where You Can Find More Information.”</w:t>
      </w:r>
    </w:p>
    <w:p>
      <w:pPr>
        <w:spacing w:after="0" w:line="80" w:lineRule="exact"/>
        <w:rPr>
          <w:sz w:val="20"/>
          <w:szCs w:val="20"/>
          <w:color w:val="auto"/>
        </w:rPr>
      </w:pPr>
    </w:p>
    <w:p>
      <w:pPr>
        <w:jc w:val="both"/>
        <w:ind w:right="320" w:firstLine="218"/>
        <w:spacing w:after="0" w:line="264"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authorized anyone to provide you with different information. If anyone provides you with different or inconsistent information, you should not rely on it. We are not making an offer to sell these securities in any jurisdiction where the offer or sale is not permitted.</w:t>
      </w:r>
    </w:p>
    <w:p>
      <w:pPr>
        <w:spacing w:after="0" w:line="73"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This prospectus and any accompanying prospectus supplement or other offering materials do not contain all of the information included in the registration statement as permitted by the rules and regulations of the SEC. For further information, we refer you to the registration statement on Form S-3, including its exhibits. We are subject to the informational requirements of the Securities Exchange Act of 1934, as amended (“Exchange Act”), and, therefore, file reports and other information with the SEC. Statements contained in this prospectus and any accompanying prospectus supplement or other offering materials about the provisions or contents of any agreement or other document are only summaries. If SEC rules require that any agreement or document be filed as an exhibit to the registration statement, you should refer to that agreement or document for its complete contents.</w:t>
      </w:r>
    </w:p>
    <w:p>
      <w:pPr>
        <w:spacing w:after="0" w:line="70" w:lineRule="exact"/>
        <w:rPr>
          <w:sz w:val="20"/>
          <w:szCs w:val="20"/>
          <w:color w:val="auto"/>
        </w:rPr>
      </w:pPr>
    </w:p>
    <w:p>
      <w:pPr>
        <w:ind w:right="200" w:firstLine="218"/>
        <w:spacing w:after="0" w:line="342" w:lineRule="auto"/>
        <w:rPr>
          <w:sz w:val="20"/>
          <w:szCs w:val="20"/>
          <w:color w:val="auto"/>
        </w:rPr>
      </w:pPr>
      <w:r>
        <w:rPr>
          <w:rFonts w:ascii="Arial" w:cs="Arial" w:eastAsia="Arial" w:hAnsi="Arial"/>
          <w:sz w:val="16"/>
          <w:szCs w:val="16"/>
          <w:color w:val="auto"/>
        </w:rPr>
        <w:t>You should not assume that the information in this prospectus, any prospectus supplement or any other offering materials is accurate as of any date other than the date on the front of each document. Our business, financial condition, results of operations and prospects may have changed since then.</w:t>
      </w:r>
    </w:p>
    <w:p>
      <w:pPr>
        <w:spacing w:after="0" w:line="16" w:lineRule="exact"/>
        <w:rPr>
          <w:sz w:val="20"/>
          <w:szCs w:val="20"/>
          <w:color w:val="auto"/>
        </w:rPr>
      </w:pPr>
    </w:p>
    <w:p>
      <w:pPr>
        <w:jc w:val="both"/>
        <w:ind w:right="140" w:firstLine="225"/>
        <w:spacing w:after="0" w:line="259" w:lineRule="auto"/>
        <w:rPr>
          <w:sz w:val="20"/>
          <w:szCs w:val="20"/>
          <w:color w:val="auto"/>
        </w:rPr>
      </w:pPr>
      <w:r>
        <w:rPr>
          <w:rFonts w:ascii="Arial" w:cs="Arial" w:eastAsia="Arial" w:hAnsi="Arial"/>
          <w:sz w:val="18"/>
          <w:szCs w:val="18"/>
          <w:color w:val="auto"/>
        </w:rPr>
        <w:t>In this prospectus, unless otherwise specified or the context requires otherwise, we use the terms “Regeneron,” the “Company,” “we,” “us” and “our” to refer to Regeneron Pharmaceuticals, Inc. References to our “Common Stock” refer to shares of our common stock, par value $0.001 per share, references to our Class A Stock refer to our Class A Stock, par value $0.001 per share and references to our “common shares” shall mean, collectively, shares of Common Stock and shares of Class A Stock.</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i w:val="1"/>
          <w:iCs w:val="1"/>
          <w:color w:val="auto"/>
        </w:rPr>
        <w:t>This is only a summary and may not contain all the information that is important to you. You should carefully read both this prospectus and any accompanying prospectus supplement and any other offering materials, together with the additional information described under the heading “Where You Can Find More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121"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Regeneron Pharmaceuticals, Inc. is a biopharmaceutical company that discovers, develops and commercializes pharmaceutical products for the treatment of serious medical conditions. We currently have one marketed product: ARCALYST</w:t>
      </w:r>
      <w:r>
        <w:rPr>
          <w:rFonts w:ascii="Arial" w:cs="Arial" w:eastAsia="Arial" w:hAnsi="Arial"/>
          <w:sz w:val="14"/>
          <w:szCs w:val="14"/>
          <w:color w:val="auto"/>
        </w:rPr>
        <w:t>®</w:t>
      </w:r>
      <w:r>
        <w:rPr>
          <w:rFonts w:ascii="Arial" w:cs="Arial" w:eastAsia="Arial" w:hAnsi="Arial"/>
          <w:sz w:val="17"/>
          <w:szCs w:val="17"/>
          <w:color w:val="auto"/>
        </w:rPr>
        <w:t xml:space="preserve"> (rilonacept) Injection for Subcutaneous Use, which is available for prescription in the United States for the treatment of Cryopyrin-Associated Periodic Syndromes (CAPS), including Familial Cold Auto-inflammatory Syndrome (FCAS) and Muckle-Wells Syndrome (MWS) in adults and children 12 and older.</w:t>
      </w:r>
    </w:p>
    <w:p>
      <w:pPr>
        <w:spacing w:after="0" w:line="63"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We have eight product candidates in clinical development, including three product candidates that are in late-stage (Phase 3) clinical development. Our late stage programs are ARCALYST</w:t>
      </w:r>
      <w:r>
        <w:rPr>
          <w:rFonts w:ascii="Arial" w:cs="Arial" w:eastAsia="Arial" w:hAnsi="Arial"/>
          <w:sz w:val="14"/>
          <w:szCs w:val="14"/>
          <w:color w:val="auto"/>
        </w:rPr>
        <w:t>®</w:t>
      </w:r>
      <w:r>
        <w:rPr>
          <w:rFonts w:ascii="Arial" w:cs="Arial" w:eastAsia="Arial" w:hAnsi="Arial"/>
          <w:sz w:val="17"/>
          <w:szCs w:val="17"/>
          <w:color w:val="auto"/>
        </w:rPr>
        <w:t xml:space="preserve"> (rilonacept), which is being developed for the prevention of gout-related flares in patients initiating uric acid-lowering treatment; VEGF Trap-Eye, which is being developed in eye diseases using intraocular delivery in collaboration with Bayer HealthCare LLC; and aflibercept (VEGF Trap), which is being developed in oncology in collaboration with the sanofi-aventis Group. Our earlier stage clinical programs are REGN727, an antibody to PCSK9, which is being developed for low density lipoprotein (LDL) cholesterol reduction; REGN88, an antibody to the interleukin-6 receptor (IL-6R), which is being developed in rheumatoid arthritis and ankylosing spondilitis; REGN421, an antibody to Delta-like ligand-4 (Dll4), which is being developed in oncology; REGN668, an antibody to the interleukin-4 receptor (IL-4R), which is being developed in atopic dermatitis; and REGN475, an antibody to Nerve Growth Factor (NGF), which is being developed for the treatment of pain. All five of our earlier stage clinical programs are fully human antibodies that are being developed in collaboration with sanofi-aventis.</w:t>
      </w:r>
    </w:p>
    <w:p>
      <w:pPr>
        <w:spacing w:after="0" w:line="74"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Our core business strategy is to maintain a strong foundation in basic scientific research and discovery-enabling technologies and combine that foundation with our clinical development and manufacturing capabilities. Our long-term objective is to build a successful, integrated biopharmaceutical company that provides patients and medical professionals with new and better options for preventing and treating human diseases. However, developing and commercializing new medicines entails significant risk and expense.</w:t>
      </w:r>
    </w:p>
    <w:p>
      <w:pPr>
        <w:spacing w:after="0" w:line="79" w:lineRule="exact"/>
        <w:rPr>
          <w:sz w:val="20"/>
          <w:szCs w:val="20"/>
          <w:color w:val="auto"/>
        </w:rPr>
      </w:pPr>
    </w:p>
    <w:p>
      <w:pPr>
        <w:ind w:firstLine="222"/>
        <w:spacing w:after="0" w:line="253" w:lineRule="auto"/>
        <w:rPr>
          <w:sz w:val="20"/>
          <w:szCs w:val="20"/>
          <w:color w:val="auto"/>
        </w:rPr>
      </w:pPr>
      <w:r>
        <w:rPr>
          <w:rFonts w:ascii="Arial" w:cs="Arial" w:eastAsia="Arial" w:hAnsi="Arial"/>
          <w:sz w:val="18"/>
          <w:szCs w:val="18"/>
          <w:color w:val="auto"/>
        </w:rPr>
        <w:t xml:space="preserve">We believe that our ability to develop product candidates is enhanced by the application of our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8"/>
          <w:szCs w:val="18"/>
          <w:i w:val="1"/>
          <w:iCs w:val="1"/>
          <w:color w:val="auto"/>
        </w:rPr>
        <w:t>VelociGene</w:t>
      </w:r>
      <w:r>
        <w:rPr>
          <w:rFonts w:ascii="Arial" w:cs="Arial" w:eastAsia="Arial" w:hAnsi="Arial"/>
          <w:sz w:val="15"/>
          <w:szCs w:val="15"/>
          <w:color w:val="auto"/>
        </w:rPr>
        <w:t>®</w:t>
      </w:r>
      <w:r>
        <w:rPr>
          <w:rFonts w:ascii="Arial" w:cs="Arial" w:eastAsia="Arial" w:hAnsi="Arial"/>
          <w:sz w:val="18"/>
          <w:szCs w:val="18"/>
          <w:color w:val="auto"/>
        </w:rPr>
        <w:t xml:space="preserve"> technology to understand the role of these proteins in normal physiology as well as in models of disease. Our human monoclonal antibody technology (</w:t>
      </w:r>
      <w:r>
        <w:rPr>
          <w:rFonts w:ascii="Arial" w:cs="Arial" w:eastAsia="Arial" w:hAnsi="Arial"/>
          <w:sz w:val="18"/>
          <w:szCs w:val="18"/>
          <w:i w:val="1"/>
          <w:iCs w:val="1"/>
          <w:color w:val="auto"/>
        </w:rPr>
        <w:t>VelocImmune</w:t>
      </w:r>
      <w:r>
        <w:rPr>
          <w:rFonts w:ascii="Arial" w:cs="Arial" w:eastAsia="Arial" w:hAnsi="Arial"/>
          <w:sz w:val="15"/>
          <w:szCs w:val="15"/>
          <w:color w:val="auto"/>
        </w:rPr>
        <w:t>®</w:t>
      </w:r>
      <w:r>
        <w:rPr>
          <w:rFonts w:ascii="Arial" w:cs="Arial" w:eastAsia="Arial" w:hAnsi="Arial"/>
          <w:sz w:val="18"/>
          <w:szCs w:val="18"/>
          <w:color w:val="auto"/>
        </w:rPr>
        <w:t>) and cell line expression technologies (</w:t>
      </w:r>
      <w:r>
        <w:rPr>
          <w:rFonts w:ascii="Arial" w:cs="Arial" w:eastAsia="Arial" w:hAnsi="Arial"/>
          <w:sz w:val="18"/>
          <w:szCs w:val="18"/>
          <w:i w:val="1"/>
          <w:iCs w:val="1"/>
          <w:color w:val="auto"/>
        </w:rPr>
        <w:t>VelociMab</w:t>
      </w:r>
      <w:r>
        <w:rPr>
          <w:rFonts w:ascii="Arial" w:cs="Arial" w:eastAsia="Arial" w:hAnsi="Arial"/>
          <w:sz w:val="15"/>
          <w:szCs w:val="15"/>
          <w:color w:val="auto"/>
        </w:rPr>
        <w:t>®</w:t>
      </w:r>
      <w:r>
        <w:rPr>
          <w:rFonts w:ascii="Arial" w:cs="Arial" w:eastAsia="Arial" w:hAnsi="Arial"/>
          <w:sz w:val="18"/>
          <w:szCs w:val="18"/>
          <w:color w:val="auto"/>
        </w:rPr>
        <w:t xml:space="preserve">) may then be utilized to design and produce new product candidates directed against the disease target. Our five antibody product candidates currently in clinical trials were developed using </w:t>
      </w:r>
      <w:r>
        <w:rPr>
          <w:rFonts w:ascii="Arial" w:cs="Arial" w:eastAsia="Arial" w:hAnsi="Arial"/>
          <w:sz w:val="18"/>
          <w:szCs w:val="18"/>
          <w:i w:val="1"/>
          <w:iCs w:val="1"/>
          <w:color w:val="auto"/>
        </w:rPr>
        <w:t>VelocImmune</w:t>
      </w:r>
      <w:r>
        <w:rPr>
          <w:rFonts w:ascii="Arial" w:cs="Arial" w:eastAsia="Arial" w:hAnsi="Arial"/>
          <w:sz w:val="15"/>
          <w:szCs w:val="15"/>
          <w:color w:val="auto"/>
        </w:rPr>
        <w:t>®</w:t>
      </w:r>
      <w:r>
        <w:rPr>
          <w:rFonts w:ascii="Arial" w:cs="Arial" w:eastAsia="Arial" w:hAnsi="Arial"/>
          <w:sz w:val="18"/>
          <w:szCs w:val="18"/>
          <w:color w:val="auto"/>
        </w:rPr>
        <w:t>. Under the terms of our antibody collaboration with sanofi-aventis, which was expanded during 2009, we plan to advance an average of four to five new antibody product candidates into clinical development each year, for an anticipated total of 30-40 candidates from 2010 through 2017. We continue to invest in the development of enabling technologies to assist in our efforts to identify, develop, manufacture, and commercialize new product candidates.</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principal executive offices are located at 777 Old Saw Mill River Road, Tarrytown, New York 10591, and our telephone number at that address is</w:t>
      </w:r>
    </w:p>
    <w:p>
      <w:pPr>
        <w:spacing w:after="0" w:line="46" w:lineRule="exact"/>
        <w:rPr>
          <w:sz w:val="20"/>
          <w:szCs w:val="20"/>
          <w:color w:val="auto"/>
        </w:rPr>
      </w:pPr>
    </w:p>
    <w:p>
      <w:pPr>
        <w:ind w:right="60" w:firstLine="8"/>
        <w:spacing w:after="0" w:line="290" w:lineRule="auto"/>
        <w:tabs>
          <w:tab w:leader="none" w:pos="435" w:val="left"/>
        </w:tabs>
        <w:numPr>
          <w:ilvl w:val="0"/>
          <w:numId w:val="3"/>
        </w:numPr>
        <w:rPr>
          <w:rFonts w:ascii="Arial" w:cs="Arial" w:eastAsia="Arial" w:hAnsi="Arial"/>
          <w:sz w:val="17"/>
          <w:szCs w:val="17"/>
          <w:color w:val="auto"/>
        </w:rPr>
      </w:pPr>
      <w:r>
        <w:rPr>
          <w:rFonts w:ascii="Arial" w:cs="Arial" w:eastAsia="Arial" w:hAnsi="Arial"/>
          <w:sz w:val="17"/>
          <w:szCs w:val="17"/>
          <w:color w:val="auto"/>
        </w:rPr>
        <w:t>345-7400. Our website address is www.regeneron.com. The information on, or accessible through, our website is not part of this prospectus and should not be relied upon in connection with making any investment decision with respect to the securities offered by this prospectus.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firstLine="218"/>
        <w:spacing w:after="0" w:line="255" w:lineRule="auto"/>
        <w:rPr>
          <w:sz w:val="20"/>
          <w:szCs w:val="20"/>
          <w:color w:val="auto"/>
        </w:rPr>
      </w:pPr>
      <w:r>
        <w:rPr>
          <w:rFonts w:ascii="Arial" w:cs="Arial" w:eastAsia="Arial" w:hAnsi="Arial"/>
          <w:sz w:val="18"/>
          <w:szCs w:val="18"/>
          <w:color w:val="auto"/>
        </w:rPr>
        <w:t>You should consider the specific risks described in our Annual Report on Form 10-K for the year ended December 31, 2009 and our Quarterly Report on Form 10-Q for the quarter ended June 30, 2010, the risk factors described under the caption “Risk Factors” in any applicable prospectus supplement, and any risk factors set forth in our other filings with the SEC, pursuant to Sections 13(a), 13(c), 14 or 15(d) of the Exchange Act, before making an investment decision. Each of the risks described in these documents could materially and adversely affect our business, financial condition, results of operations and prospects, and could result in a partial or complete loss of your investment. See “Where You Can Find More Information” beginning on page 18 of this prospectus.</w:t>
      </w:r>
    </w:p>
    <w:p>
      <w:pPr>
        <w:spacing w:after="0" w:line="29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60" w:type="dxa"/>
            <w:vAlign w:val="bottom"/>
            <w:gridSpan w:val="3"/>
          </w:tcPr>
          <w:p>
            <w:pPr>
              <w:ind w:left="180"/>
              <w:spacing w:after="0"/>
              <w:rPr>
                <w:sz w:val="20"/>
                <w:szCs w:val="20"/>
                <w:color w:val="auto"/>
              </w:rPr>
            </w:pPr>
            <w:r>
              <w:rPr>
                <w:rFonts w:ascii="Arial" w:cs="Arial" w:eastAsia="Arial" w:hAnsi="Arial"/>
                <w:sz w:val="14"/>
                <w:szCs w:val="14"/>
                <w:b w:val="1"/>
                <w:bCs w:val="1"/>
                <w:color w:val="auto"/>
              </w:rPr>
              <w:t>Six Months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w w:val="99"/>
              </w:rPr>
              <w:t>Year Ended December 31,</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center"/>
              <w:ind w:right="660"/>
              <w:spacing w:after="0" w:line="158" w:lineRule="exact"/>
              <w:rPr>
                <w:sz w:val="20"/>
                <w:szCs w:val="20"/>
                <w:color w:val="auto"/>
              </w:rPr>
            </w:pPr>
            <w:r>
              <w:rPr>
                <w:rFonts w:ascii="Arial" w:cs="Arial" w:eastAsia="Arial" w:hAnsi="Arial"/>
                <w:sz w:val="14"/>
                <w:szCs w:val="14"/>
                <w:b w:val="1"/>
                <w:bCs w:val="1"/>
                <w:color w:val="auto"/>
                <w:w w:val="88"/>
              </w:rPr>
              <w:t>June 30</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4"/>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center"/>
              <w:ind w:right="174"/>
              <w:spacing w:after="0" w:line="142" w:lineRule="exact"/>
              <w:rPr>
                <w:sz w:val="20"/>
                <w:szCs w:val="20"/>
                <w:color w:val="auto"/>
              </w:rPr>
            </w:pPr>
            <w:r>
              <w:rPr>
                <w:rFonts w:ascii="Arial" w:cs="Arial" w:eastAsia="Arial" w:hAnsi="Arial"/>
                <w:sz w:val="14"/>
                <w:szCs w:val="14"/>
                <w:b w:val="1"/>
                <w:bCs w:val="1"/>
                <w:color w:val="auto"/>
                <w:w w:val="96"/>
              </w:rPr>
              <w:t>2010</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w w:val="91"/>
              </w:rPr>
              <w:t>2008 (B)</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2006</w:t>
            </w:r>
          </w:p>
        </w:tc>
        <w:tc>
          <w:tcPr>
            <w:tcW w:w="1460" w:type="dxa"/>
            <w:vAlign w:val="bottom"/>
            <w:gridSpan w:val="2"/>
          </w:tcPr>
          <w:p>
            <w:pPr>
              <w:jc w:val="right"/>
              <w:ind w:right="290"/>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0"/>
              <w:spacing w:after="0" w:line="201" w:lineRule="exact"/>
              <w:rPr>
                <w:sz w:val="20"/>
                <w:szCs w:val="20"/>
                <w:color w:val="auto"/>
              </w:rPr>
            </w:pPr>
            <w:r>
              <w:rPr>
                <w:rFonts w:ascii="Arial" w:cs="Arial" w:eastAsia="Arial" w:hAnsi="Arial"/>
                <w:sz w:val="18"/>
                <w:szCs w:val="18"/>
                <w:color w:val="auto"/>
              </w:rPr>
              <w:t>Pretax income (loss) from</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continuing operations before</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income (loss) from equity</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investee</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w w:val="89"/>
              </w:rPr>
              <w:t>(55,996)</w:t>
            </w:r>
          </w:p>
        </w:tc>
        <w:tc>
          <w:tcPr>
            <w:tcW w:w="4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w w:val="89"/>
              </w:rPr>
              <w:t>(71,952)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w w:val="89"/>
              </w:rPr>
              <w:t>(76,778)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w w:val="88"/>
              </w:rPr>
              <w:t>(106,519)</w:t>
            </w:r>
          </w:p>
        </w:tc>
        <w:tc>
          <w:tcPr>
            <w:tcW w:w="4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w w:val="88"/>
              </w:rPr>
              <w:t>(103,150)</w:t>
            </w: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$(95,456)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8,517</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5,558</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8"/>
              </w:rPr>
              <w:t>10,067</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14,014</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13,643</w:t>
            </w:r>
          </w:p>
        </w:tc>
        <w:tc>
          <w:tcPr>
            <w:tcW w:w="1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13,687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capitalized</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20"/>
                <w:szCs w:val="20"/>
                <w:color w:val="auto"/>
              </w:rPr>
            </w:pPr>
          </w:p>
        </w:tc>
        <w:tc>
          <w:tcPr>
            <w:tcW w:w="800" w:type="dxa"/>
            <w:vAlign w:val="bottom"/>
          </w:tcPr>
          <w:p>
            <w:pPr>
              <w:jc w:val="right"/>
              <w:ind w:right="154"/>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73</w:t>
            </w:r>
          </w:p>
        </w:tc>
        <w:tc>
          <w:tcPr>
            <w:tcW w:w="1460" w:type="dxa"/>
            <w:vAlign w:val="bottom"/>
            <w:gridSpan w:val="2"/>
          </w:tcPr>
          <w:p>
            <w:pPr>
              <w:jc w:val="right"/>
              <w:ind w:right="15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capitalized</w:t>
            </w: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(2,836)</w:t>
            </w:r>
          </w:p>
        </w:tc>
        <w:tc>
          <w:tcPr>
            <w:tcW w:w="4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(516)</w:t>
            </w:r>
          </w:p>
        </w:tc>
        <w:tc>
          <w:tcPr>
            <w:tcW w:w="4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900" w:type="dxa"/>
            <w:vAlign w:val="bottom"/>
            <w:gridSpan w:val="2"/>
          </w:tcPr>
          <w:p>
            <w:pPr>
              <w:spacing w:after="0"/>
              <w:rPr>
                <w:sz w:val="20"/>
                <w:szCs w:val="20"/>
                <w:color w:val="auto"/>
              </w:rPr>
            </w:pPr>
            <w:r>
              <w:rPr>
                <w:rFonts w:ascii="Arial" w:cs="Arial" w:eastAsia="Arial" w:hAnsi="Arial"/>
                <w:sz w:val="18"/>
                <w:szCs w:val="18"/>
                <w:color w:val="auto"/>
              </w:rPr>
              <w:t>Adjusted earnings</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89"/>
              </w:rPr>
              <w:t>(50,305)</w:t>
            </w:r>
          </w:p>
        </w:tc>
        <w:tc>
          <w:tcPr>
            <w:tcW w:w="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9"/>
              </w:rPr>
              <w:t>(66,890)</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9"/>
              </w:rPr>
              <w:t>(66,691)</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(92,482)</w:t>
            </w:r>
          </w:p>
        </w:tc>
        <w:tc>
          <w:tcPr>
            <w:tcW w:w="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(89,434)</w:t>
            </w:r>
          </w:p>
        </w:tc>
        <w:tc>
          <w:tcPr>
            <w:tcW w:w="14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$(81,691)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54"/>
              <w:spacing w:after="0"/>
              <w:rPr>
                <w:sz w:val="20"/>
                <w:szCs w:val="20"/>
                <w:color w:val="auto"/>
              </w:rPr>
            </w:pPr>
            <w:r>
              <w:rPr>
                <w:rFonts w:ascii="Arial" w:cs="Arial" w:eastAsia="Arial" w:hAnsi="Arial"/>
                <w:sz w:val="18"/>
                <w:szCs w:val="18"/>
                <w:color w:val="auto"/>
              </w:rPr>
              <w:t>4,426</w:t>
            </w:r>
          </w:p>
        </w:tc>
        <w:tc>
          <w:tcPr>
            <w:tcW w:w="4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2,337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7,752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12,043</w:t>
            </w:r>
          </w:p>
        </w:tc>
        <w:tc>
          <w:tcPr>
            <w:tcW w:w="4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12,043</w:t>
            </w:r>
          </w:p>
        </w:tc>
        <w:tc>
          <w:tcPr>
            <w:tcW w:w="1460" w:type="dxa"/>
            <w:vAlign w:val="bottom"/>
            <w:gridSpan w:val="2"/>
          </w:tcPr>
          <w:p>
            <w:pPr>
              <w:jc w:val="right"/>
              <w:ind w:right="150"/>
              <w:spacing w:after="0"/>
              <w:rPr>
                <w:sz w:val="20"/>
                <w:szCs w:val="20"/>
                <w:color w:val="auto"/>
              </w:rPr>
            </w:pPr>
            <w:r>
              <w:rPr>
                <w:rFonts w:ascii="Arial" w:cs="Arial" w:eastAsia="Arial" w:hAnsi="Arial"/>
                <w:sz w:val="18"/>
                <w:szCs w:val="18"/>
                <w:color w:val="auto"/>
              </w:rPr>
              <w:t>$ 12,046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capitalized</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2,836</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516</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0"/>
              <w:spacing w:after="0" w:line="201" w:lineRule="exact"/>
              <w:rPr>
                <w:sz w:val="20"/>
                <w:szCs w:val="20"/>
                <w:color w:val="auto"/>
              </w:rPr>
            </w:pPr>
            <w:r>
              <w:rPr>
                <w:rFonts w:ascii="Arial" w:cs="Arial" w:eastAsia="Arial" w:hAnsi="Arial"/>
                <w:sz w:val="18"/>
                <w:szCs w:val="18"/>
                <w:color w:val="auto"/>
              </w:rPr>
              <w:t>Assumed interest component of</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rental charges</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1,255</w:t>
            </w: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2,705</w:t>
            </w: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2,315</w:t>
            </w: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1,971</w:t>
            </w: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1,600</w:t>
            </w:r>
          </w:p>
        </w:tc>
        <w:tc>
          <w:tcPr>
            <w:tcW w:w="14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2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8,517</w:t>
            </w:r>
          </w:p>
        </w:tc>
        <w:tc>
          <w:tcPr>
            <w:tcW w:w="4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5,558</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8"/>
              </w:rPr>
              <w:t>10,067</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14,014</w:t>
            </w:r>
          </w:p>
        </w:tc>
        <w:tc>
          <w:tcPr>
            <w:tcW w:w="4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13,643</w:t>
            </w:r>
          </w:p>
        </w:tc>
        <w:tc>
          <w:tcPr>
            <w:tcW w:w="14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$ 13,687</w:t>
            </w:r>
          </w:p>
        </w:tc>
        <w:tc>
          <w:tcPr>
            <w:tcW w:w="0" w:type="dxa"/>
            <w:vAlign w:val="bottom"/>
          </w:tcPr>
          <w:p>
            <w:pPr>
              <w:spacing w:after="0"/>
              <w:rPr>
                <w:sz w:val="1"/>
                <w:szCs w:val="1"/>
                <w:color w:val="auto"/>
              </w:rPr>
            </w:pPr>
          </w:p>
        </w:tc>
      </w:tr>
      <w:tr>
        <w:trPr>
          <w:trHeight w:val="20"/>
        </w:trPr>
        <w:tc>
          <w:tcPr>
            <w:tcW w:w="290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90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260" w:type="dxa"/>
            <w:vAlign w:val="bottom"/>
          </w:tcPr>
          <w:p>
            <w:pPr>
              <w:spacing w:after="0"/>
              <w:rPr>
                <w:sz w:val="24"/>
                <w:szCs w:val="24"/>
                <w:color w:val="auto"/>
              </w:rPr>
            </w:pPr>
          </w:p>
        </w:tc>
        <w:tc>
          <w:tcPr>
            <w:tcW w:w="1200" w:type="dxa"/>
            <w:vAlign w:val="bottom"/>
            <w:gridSpan w:val="2"/>
          </w:tcPr>
          <w:p>
            <w:pPr>
              <w:ind w:left="380"/>
              <w:spacing w:after="0"/>
              <w:rPr>
                <w:sz w:val="20"/>
                <w:szCs w:val="20"/>
                <w:color w:val="auto"/>
              </w:rPr>
            </w:pPr>
            <w:r>
              <w:rPr>
                <w:rFonts w:ascii="Arial" w:cs="Arial" w:eastAsia="Arial" w:hAnsi="Arial"/>
                <w:sz w:val="18"/>
                <w:szCs w:val="18"/>
                <w:color w:val="auto"/>
              </w:rPr>
              <w:t>(A)</w:t>
            </w:r>
          </w:p>
        </w:tc>
        <w:tc>
          <w:tcPr>
            <w:tcW w:w="260" w:type="dxa"/>
            <w:vAlign w:val="bottom"/>
          </w:tcPr>
          <w:p>
            <w:pPr>
              <w:spacing w:after="0"/>
              <w:rPr>
                <w:sz w:val="24"/>
                <w:szCs w:val="24"/>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(A)</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(A)</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(A)</w:t>
            </w:r>
          </w:p>
        </w:tc>
        <w:tc>
          <w:tcPr>
            <w:tcW w:w="260" w:type="dxa"/>
            <w:vAlign w:val="bottom"/>
          </w:tcPr>
          <w:p>
            <w:pPr>
              <w:spacing w:after="0"/>
              <w:rPr>
                <w:sz w:val="24"/>
                <w:szCs w:val="24"/>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(A)</w:t>
            </w:r>
          </w:p>
        </w:tc>
        <w:tc>
          <w:tcPr>
            <w:tcW w:w="400" w:type="dxa"/>
            <w:vAlign w:val="bottom"/>
          </w:tcPr>
          <w:p>
            <w:pPr>
              <w:spacing w:after="0"/>
              <w:rPr>
                <w:sz w:val="24"/>
                <w:szCs w:val="24"/>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Due to the Company’s losses for the six months ended June 30, 2010 and for the years ended December 31, 2009, 2008, 2007, 2006, and 2005, the ratio coverage was less than 1:1. To achieve a coverage ratio of 1:1, the Company must generate additional earnings of the amounts shown in the table below.</w:t>
      </w:r>
    </w:p>
    <w:p>
      <w:pPr>
        <w:spacing w:after="0" w:line="32"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year ended December 31,2008, the Company repurchased $82.5 million and repaid the remaining $117.5 million of its convertible senior subordinate notes. As of December 31, 2008, the Company therefore did not have any registered debt outstanding.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Six Months</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Ended</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9"/>
              </w:rPr>
              <w:t>Year Ended December 31,</w:t>
            </w: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840" w:type="dxa"/>
            <w:vAlign w:val="bottom"/>
          </w:tcPr>
          <w:p>
            <w:pPr>
              <w:spacing w:after="0"/>
              <w:rPr>
                <w:sz w:val="13"/>
                <w:szCs w:val="13"/>
                <w:color w:val="auto"/>
              </w:rPr>
            </w:pPr>
          </w:p>
        </w:tc>
        <w:tc>
          <w:tcPr>
            <w:tcW w:w="158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88"/>
              </w:rPr>
              <w:t>June 30</w:t>
            </w:r>
          </w:p>
        </w:tc>
        <w:tc>
          <w:tcPr>
            <w:tcW w:w="10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vMerge w:val="continue"/>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40" w:type="dxa"/>
            <w:vAlign w:val="bottom"/>
            <w:vMerge w:val="restart"/>
          </w:tcPr>
          <w:p>
            <w:pPr>
              <w:spacing w:after="0"/>
              <w:rPr>
                <w:sz w:val="20"/>
                <w:szCs w:val="20"/>
                <w:color w:val="auto"/>
              </w:rPr>
            </w:pPr>
            <w:r>
              <w:rPr>
                <w:rFonts w:ascii="Arial" w:cs="Arial" w:eastAsia="Arial" w:hAnsi="Arial"/>
                <w:sz w:val="18"/>
                <w:szCs w:val="18"/>
                <w:color w:val="auto"/>
              </w:rPr>
              <w:t>Coverage deficiency</w:t>
            </w:r>
          </w:p>
        </w:tc>
        <w:tc>
          <w:tcPr>
            <w:tcW w:w="11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2010</w:t>
            </w:r>
          </w:p>
        </w:tc>
        <w:tc>
          <w:tcPr>
            <w:tcW w:w="400" w:type="dxa"/>
            <w:vAlign w:val="bottom"/>
          </w:tcPr>
          <w:p>
            <w:pPr>
              <w:spacing w:after="0"/>
              <w:rPr>
                <w:sz w:val="12"/>
                <w:szCs w:val="12"/>
                <w:color w:val="auto"/>
              </w:rPr>
            </w:pPr>
          </w:p>
        </w:tc>
        <w:tc>
          <w:tcPr>
            <w:tcW w:w="1040" w:type="dxa"/>
            <w:vAlign w:val="bottom"/>
          </w:tcPr>
          <w:p>
            <w:pPr>
              <w:jc w:val="right"/>
              <w:ind w:right="299"/>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104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2008 (B)</w:t>
            </w:r>
          </w:p>
        </w:tc>
        <w:tc>
          <w:tcPr>
            <w:tcW w:w="1540" w:type="dxa"/>
            <w:vAlign w:val="bottom"/>
            <w:gridSpan w:val="2"/>
          </w:tcPr>
          <w:p>
            <w:pPr>
              <w:jc w:val="right"/>
              <w:ind w:right="330"/>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1120" w:type="dxa"/>
            <w:vAlign w:val="bottom"/>
          </w:tcPr>
          <w:p>
            <w:pPr>
              <w:jc w:val="right"/>
              <w:ind w:right="339"/>
              <w:spacing w:after="0" w:line="142" w:lineRule="exact"/>
              <w:rPr>
                <w:sz w:val="20"/>
                <w:szCs w:val="20"/>
                <w:color w:val="auto"/>
              </w:rPr>
            </w:pPr>
            <w:r>
              <w:rPr>
                <w:rFonts w:ascii="Arial" w:cs="Arial" w:eastAsia="Arial" w:hAnsi="Arial"/>
                <w:sz w:val="14"/>
                <w:szCs w:val="14"/>
                <w:b w:val="1"/>
                <w:bCs w:val="1"/>
                <w:color w:val="auto"/>
              </w:rPr>
              <w:t>2006</w:t>
            </w:r>
          </w:p>
        </w:tc>
        <w:tc>
          <w:tcPr>
            <w:tcW w:w="1440" w:type="dxa"/>
            <w:vAlign w:val="bottom"/>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24"/>
        </w:trPr>
        <w:tc>
          <w:tcPr>
            <w:tcW w:w="2840" w:type="dxa"/>
            <w:vAlign w:val="bottom"/>
            <w:vMerge w:val="continue"/>
          </w:tcPr>
          <w:p>
            <w:pPr>
              <w:spacing w:after="0"/>
              <w:rPr>
                <w:sz w:val="19"/>
                <w:szCs w:val="19"/>
                <w:color w:val="auto"/>
              </w:rPr>
            </w:pPr>
          </w:p>
        </w:tc>
        <w:tc>
          <w:tcPr>
            <w:tcW w:w="1180" w:type="dxa"/>
            <w:vAlign w:val="bottom"/>
            <w:tcBorders>
              <w:top w:val="single" w:sz="8" w:color="auto"/>
            </w:tcBorders>
          </w:tcPr>
          <w:p>
            <w:pPr>
              <w:jc w:val="right"/>
              <w:ind w:right="264"/>
              <w:spacing w:after="0"/>
              <w:rPr>
                <w:sz w:val="20"/>
                <w:szCs w:val="20"/>
                <w:color w:val="auto"/>
              </w:rPr>
            </w:pPr>
            <w:r>
              <w:rPr>
                <w:rFonts w:ascii="Arial" w:cs="Arial" w:eastAsia="Arial" w:hAnsi="Arial"/>
                <w:sz w:val="18"/>
                <w:szCs w:val="18"/>
                <w:color w:val="auto"/>
              </w:rPr>
              <w:t>$58,822</w:t>
            </w:r>
          </w:p>
        </w:tc>
        <w:tc>
          <w:tcPr>
            <w:tcW w:w="400" w:type="dxa"/>
            <w:vAlign w:val="bottom"/>
          </w:tcPr>
          <w:p>
            <w:pPr>
              <w:spacing w:after="0"/>
              <w:rPr>
                <w:sz w:val="19"/>
                <w:szCs w:val="19"/>
                <w:color w:val="auto"/>
              </w:rPr>
            </w:pPr>
          </w:p>
        </w:tc>
        <w:tc>
          <w:tcPr>
            <w:tcW w:w="1040" w:type="dxa"/>
            <w:vAlign w:val="bottom"/>
            <w:tcBorders>
              <w:top w:val="single" w:sz="8" w:color="auto"/>
            </w:tcBorders>
          </w:tcPr>
          <w:p>
            <w:pPr>
              <w:jc w:val="right"/>
              <w:ind w:right="179"/>
              <w:spacing w:after="0"/>
              <w:rPr>
                <w:sz w:val="20"/>
                <w:szCs w:val="20"/>
                <w:color w:val="auto"/>
              </w:rPr>
            </w:pPr>
            <w:r>
              <w:rPr>
                <w:rFonts w:ascii="Arial" w:cs="Arial" w:eastAsia="Arial" w:hAnsi="Arial"/>
                <w:sz w:val="18"/>
                <w:szCs w:val="18"/>
                <w:color w:val="auto"/>
              </w:rPr>
              <w:t>$72,448</w:t>
            </w:r>
          </w:p>
        </w:tc>
        <w:tc>
          <w:tcPr>
            <w:tcW w:w="400" w:type="dxa"/>
            <w:vAlign w:val="bottom"/>
          </w:tcPr>
          <w:p>
            <w:pPr>
              <w:spacing w:after="0"/>
              <w:rPr>
                <w:sz w:val="19"/>
                <w:szCs w:val="19"/>
                <w:color w:val="auto"/>
              </w:rPr>
            </w:pPr>
          </w:p>
        </w:tc>
        <w:tc>
          <w:tcPr>
            <w:tcW w:w="1040" w:type="dxa"/>
            <w:vAlign w:val="bottom"/>
            <w:tcBorders>
              <w:top w:val="single" w:sz="8" w:color="auto"/>
            </w:tcBorders>
          </w:tcPr>
          <w:p>
            <w:pPr>
              <w:jc w:val="right"/>
              <w:ind w:right="179"/>
              <w:spacing w:after="0"/>
              <w:rPr>
                <w:sz w:val="20"/>
                <w:szCs w:val="20"/>
                <w:color w:val="auto"/>
              </w:rPr>
            </w:pPr>
            <w:r>
              <w:rPr>
                <w:rFonts w:ascii="Arial" w:cs="Arial" w:eastAsia="Arial" w:hAnsi="Arial"/>
                <w:sz w:val="18"/>
                <w:szCs w:val="18"/>
                <w:color w:val="auto"/>
              </w:rPr>
              <w:t>$76,758</w:t>
            </w:r>
          </w:p>
        </w:tc>
        <w:tc>
          <w:tcPr>
            <w:tcW w:w="420" w:type="dxa"/>
            <w:vAlign w:val="bottom"/>
          </w:tcPr>
          <w:p>
            <w:pPr>
              <w:spacing w:after="0"/>
              <w:rPr>
                <w:sz w:val="19"/>
                <w:szCs w:val="19"/>
                <w:color w:val="auto"/>
              </w:rPr>
            </w:pPr>
          </w:p>
        </w:tc>
        <w:tc>
          <w:tcPr>
            <w:tcW w:w="11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$106,496</w:t>
            </w:r>
          </w:p>
        </w:tc>
        <w:tc>
          <w:tcPr>
            <w:tcW w:w="420" w:type="dxa"/>
            <w:vAlign w:val="bottom"/>
          </w:tcPr>
          <w:p>
            <w:pPr>
              <w:spacing w:after="0"/>
              <w:rPr>
                <w:sz w:val="19"/>
                <w:szCs w:val="19"/>
                <w:color w:val="auto"/>
              </w:rPr>
            </w:pPr>
          </w:p>
        </w:tc>
        <w:tc>
          <w:tcPr>
            <w:tcW w:w="1120" w:type="dxa"/>
            <w:vAlign w:val="bottom"/>
            <w:tcBorders>
              <w:top w:val="single" w:sz="8" w:color="auto"/>
            </w:tcBorders>
          </w:tcPr>
          <w:p>
            <w:pPr>
              <w:jc w:val="right"/>
              <w:ind w:right="179"/>
              <w:spacing w:after="0"/>
              <w:rPr>
                <w:sz w:val="20"/>
                <w:szCs w:val="20"/>
                <w:color w:val="auto"/>
              </w:rPr>
            </w:pPr>
            <w:r>
              <w:rPr>
                <w:rFonts w:ascii="Arial" w:cs="Arial" w:eastAsia="Arial" w:hAnsi="Arial"/>
                <w:sz w:val="18"/>
                <w:szCs w:val="18"/>
                <w:color w:val="auto"/>
              </w:rPr>
              <w:t>$103,077</w:t>
            </w:r>
          </w:p>
        </w:tc>
        <w:tc>
          <w:tcPr>
            <w:tcW w:w="420" w:type="dxa"/>
            <w:vAlign w:val="bottom"/>
          </w:tcPr>
          <w:p>
            <w:pPr>
              <w:spacing w:after="0"/>
              <w:rPr>
                <w:sz w:val="19"/>
                <w:szCs w:val="19"/>
                <w:color w:val="auto"/>
              </w:rPr>
            </w:pPr>
          </w:p>
        </w:tc>
        <w:tc>
          <w:tcPr>
            <w:tcW w:w="10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$95,378</w:t>
            </w:r>
          </w:p>
        </w:tc>
        <w:tc>
          <w:tcPr>
            <w:tcW w:w="0" w:type="dxa"/>
            <w:vAlign w:val="bottom"/>
          </w:tcPr>
          <w:p>
            <w:pPr>
              <w:spacing w:after="0"/>
              <w:rPr>
                <w:sz w:val="1"/>
                <w:szCs w:val="1"/>
                <w:color w:val="auto"/>
              </w:rPr>
            </w:pPr>
          </w:p>
        </w:tc>
      </w:tr>
    </w:tbl>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21" w:lineRule="exact"/>
        <w:rPr>
          <w:sz w:val="20"/>
          <w:szCs w:val="20"/>
          <w:color w:val="auto"/>
        </w:rPr>
      </w:pPr>
    </w:p>
    <w:p>
      <w:pPr>
        <w:jc w:val="both"/>
        <w:ind w:right="160" w:firstLine="222"/>
        <w:spacing w:after="0" w:line="264" w:lineRule="auto"/>
        <w:rPr>
          <w:sz w:val="20"/>
          <w:szCs w:val="20"/>
          <w:color w:val="auto"/>
        </w:rPr>
      </w:pPr>
      <w:r>
        <w:rPr>
          <w:rFonts w:ascii="Arial" w:cs="Arial" w:eastAsia="Arial" w:hAnsi="Arial"/>
          <w:sz w:val="18"/>
          <w:szCs w:val="18"/>
          <w:color w:val="auto"/>
        </w:rPr>
        <w:t>This prospectus contains summary descriptions of the Common Stock, preferred stock, debt securities, and warrants that we may offer and sell from time to time. These summary descriptions are not meant to be complete descriptions of each security. The particular terms of any security will be described in the applicable prospectus supplement.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Our authorized capital stock consists of 160,000,000 shares of Common Stock, par value $0.001 per share, of which 80,005,370 shares were issued and outstanding as of September 15, 2010, 40,000,000 shares of Class A Stock, par value $0.001 per share, of which 2,181,831 shares were issued and outstanding as of September 15, 2010, and 30,000,000 shares of preferred stock, par value $0.01 per share, none of which were issued and outstanding as of September 15, 2010.</w:t>
      </w:r>
    </w:p>
    <w:p>
      <w:pPr>
        <w:spacing w:after="0" w:line="79"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following is a description of our capital stock and certain provisions of our certificate of incorporation, by-laws, and certain provisions of applicable law. The following is only a summary and is qualified by applicable law and by the provisions of our certificate of incorporation and by-laws, copies of which are included as exhibits to the registration statement of which this prospectus forms a part.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and Class A Stock</w:t>
      </w:r>
    </w:p>
    <w:p>
      <w:pPr>
        <w:spacing w:after="0" w:line="121"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rights of holders of Common Stock and holders of Class A Stock are identical except for voting rights, conversion rights, and restrictions on</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transferability.</w:t>
      </w:r>
    </w:p>
    <w:p>
      <w:pPr>
        <w:spacing w:after="0" w:line="62"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The holders of Class A Stock are entitled to ten votes per share and the holders of Common Stock are entitled to one vote per share. Except</w:t>
      </w:r>
      <w:r>
        <w:rPr>
          <w:rFonts w:ascii="Arial" w:cs="Arial" w:eastAsia="Arial" w:hAnsi="Arial"/>
          <w:sz w:val="18"/>
          <w:szCs w:val="18"/>
          <w:i w:val="1"/>
          <w:iCs w:val="1"/>
          <w:color w:val="auto"/>
        </w:rPr>
        <w:t xml:space="preserve"> </w:t>
      </w:r>
      <w:r>
        <w:rPr>
          <w:rFonts w:ascii="Arial" w:cs="Arial" w:eastAsia="Arial" w:hAnsi="Arial"/>
          <w:sz w:val="18"/>
          <w:szCs w:val="18"/>
          <w:color w:val="auto"/>
        </w:rPr>
        <w:t>as otherwise expressly provided by law, and subject to any voting rights provided to holders of preferred stock, holders of common shares have exclusive voting rights on all matters requiring a vote of shareholders. Except as provided by law, the holders of Class A Stock and the holders of shares of Common Stock will vote together as a single class on all matters presented to the shareholders for their vote or approval, including the election of directors. Shareholders are not entitled to vote cumulatively for the election of directors and no class of outstanding common shares acting alone is entitled to elect any directors.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Class A Stock is subject to certain limitations on transfer that do not apply to the Common Stock.</w:t>
      </w:r>
    </w:p>
    <w:p>
      <w:pPr>
        <w:spacing w:after="0" w:line="117"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i w:val="1"/>
          <w:iCs w:val="1"/>
          <w:color w:val="auto"/>
        </w:rPr>
        <w:t xml:space="preserve">Dividends and Liquidation. </w:t>
      </w:r>
      <w:r>
        <w:rPr>
          <w:rFonts w:ascii="Arial" w:cs="Arial" w:eastAsia="Arial" w:hAnsi="Arial"/>
          <w:sz w:val="17"/>
          <w:szCs w:val="17"/>
          <w:color w:val="auto"/>
        </w:rPr>
        <w:t>Except as described in this paragraph, holders of Class A Stock and holders of our Common Stock have an equal right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dividends when and if declared by our board of directors out of funds legally available therefor. If a dividend or distribution payable in Class A Stock is made on the Class A Stock, we must also make a pro rata and simultaneous dividend or distribution on the Common Stock payable in shares of Common Stock. Conversely, if a dividend or distribution payable in Common Stock is made on the Common Stock, we must also make a pro rata and simultaneous dividend or distribution on the Class A Stock payable in shares of Class A Stock. In the event of our liquidation, dissolution or winding up, holders of the shares of Class A Stock and Common Stock are entitled to share equally, share-for-share, in the assets available for distribution after payment of all creditors and the liquidation preferences of our preferred stock.</w:t>
      </w:r>
    </w:p>
    <w:p>
      <w:pPr>
        <w:spacing w:after="0" w:line="70"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i w:val="1"/>
          <w:iCs w:val="1"/>
          <w:color w:val="auto"/>
        </w:rPr>
        <w:t xml:space="preserve">Optional Conversion Rights. </w:t>
      </w:r>
      <w:r>
        <w:rPr>
          <w:rFonts w:ascii="Arial" w:cs="Arial" w:eastAsia="Arial" w:hAnsi="Arial"/>
          <w:sz w:val="17"/>
          <w:szCs w:val="17"/>
          <w:color w:val="auto"/>
        </w:rPr>
        <w:t>Each share of Class A Stock may, at any time and at the option of the holder, be converted into one fully paid and</w:t>
      </w:r>
      <w:r>
        <w:rPr>
          <w:rFonts w:ascii="Arial" w:cs="Arial" w:eastAsia="Arial" w:hAnsi="Arial"/>
          <w:sz w:val="17"/>
          <w:szCs w:val="17"/>
          <w:i w:val="1"/>
          <w:iCs w:val="1"/>
          <w:color w:val="auto"/>
        </w:rPr>
        <w:t xml:space="preserve"> </w:t>
      </w:r>
      <w:r>
        <w:rPr>
          <w:rFonts w:ascii="Arial" w:cs="Arial" w:eastAsia="Arial" w:hAnsi="Arial"/>
          <w:sz w:val="17"/>
          <w:szCs w:val="17"/>
          <w:color w:val="auto"/>
        </w:rPr>
        <w:t>nonassessable share of Common Stock. Upon conversion, such shares of Common Stock would not be subject to restrictions on transfer that applied to the shares of Class A Stock prior to conversion except to the extent such restrictions are imposed under applicable securities laws. The shares of Common Stock are not convertible into or exchangeable for shares of Class A Stock or any other of our shares or securities.</w:t>
      </w:r>
    </w:p>
    <w:p>
      <w:pPr>
        <w:spacing w:after="0" w:line="63"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Holders of Class A Stock and Common Stock have no preemptive rights to subscribe for any additional securities of any class which we</w:t>
      </w:r>
      <w:r>
        <w:rPr>
          <w:rFonts w:ascii="Arial" w:cs="Arial" w:eastAsia="Arial" w:hAnsi="Arial"/>
          <w:sz w:val="18"/>
          <w:szCs w:val="18"/>
          <w:i w:val="1"/>
          <w:iCs w:val="1"/>
          <w:color w:val="auto"/>
        </w:rPr>
        <w:t xml:space="preserve"> </w:t>
      </w:r>
      <w:r>
        <w:rPr>
          <w:rFonts w:ascii="Arial" w:cs="Arial" w:eastAsia="Arial" w:hAnsi="Arial"/>
          <w:sz w:val="18"/>
          <w:szCs w:val="18"/>
          <w:color w:val="auto"/>
        </w:rPr>
        <w:t>may issue and there are no redemption provisions or sinking fund provisions applicable to either such class, nor are our shares of Class A Stock or the Common Stock subject to calls or assessments.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NASDAQ Global Select Market under the symbol “REGN.”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our Common Stock is American Stock Transfer &amp; Trust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following is a description of certain general terms and provisions of our preferred stock. The particular terms of any series of preferred stock will be described in a prospectus supplement and the extent, if any, to which the general provisions set forth below may apply to the series of preferred stock so offered will be described in the prospectus supplement. The following description of the preferred stock does not purport to be complete. You should refer to the provisions of our Restated Certificate of Incorporation dated January 25, 2008.</w:t>
      </w:r>
    </w:p>
    <w:p>
      <w:pPr>
        <w:spacing w:after="0" w:line="79"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Our Restated Certificate of Incorporation allows us to issue up to 30,000,000 shares of preferred stock in one or more series and as may be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by our board of directors. As of September 15, 2010, no shares of our preferred stock were outstanding. Our board of directors has the authority, without shareholder consent, to establish from time to time the number of shares to be included in any series of our preferred stock, to fix the designation, powers, preference, and rights of the shares of any such series and any qualifications, limitations or restrictions thereof and to increase or decrease the number of shares of any such series without any further vote or action by the shareholders. The rights, preferences, and restrictions of the preferred stock of any series of preferred stock will be fixed by a Certificate of Amendment to our Restated Certificate of Incorporation relating to such series. A prospectus supplement relating to such series will describe the terms of the preferred stock of the series, including the following:</w:t>
      </w:r>
    </w:p>
    <w:p>
      <w:pPr>
        <w:spacing w:after="0" w:line="70"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number of shares in that series;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designation for that series by number, letter or title that shall distinguish the series from any other series of preferred stock;</w:t>
      </w:r>
    </w:p>
    <w:p>
      <w:pPr>
        <w:spacing w:after="0" w:line="130" w:lineRule="exact"/>
        <w:rPr>
          <w:rFonts w:ascii="Arial" w:cs="Arial" w:eastAsia="Arial" w:hAnsi="Arial"/>
          <w:sz w:val="18"/>
          <w:szCs w:val="18"/>
          <w:b w:val="1"/>
          <w:bCs w:val="1"/>
          <w:color w:val="auto"/>
        </w:rPr>
      </w:pPr>
    </w:p>
    <w:p>
      <w:pPr>
        <w:ind w:left="900" w:right="200" w:hanging="446"/>
        <w:spacing w:after="0" w:line="277" w:lineRule="auto"/>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dividend rate (or method for determining the rate) for that series and whether dividends on that series of preferred stock will be cumulative, noncumulative or partially cumulative;</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any liquidation preference per share of that series of preferred stock;</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any conversion or exchange provisions applicable to that series of preferred stock;</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any redemption or sinking fund provisions applicable to that series of preferred stock;</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any voting rights of that series of preferred stock; and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terms of any other preferences or rights applicable to that series of preferred stock.</w:t>
      </w:r>
    </w:p>
    <w:p>
      <w:pPr>
        <w:spacing w:after="0" w:line="117"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i w:val="1"/>
          <w:iCs w:val="1"/>
          <w:color w:val="auto"/>
        </w:rPr>
        <w:t xml:space="preserve">Permanent Global Preferred Securities. </w:t>
      </w:r>
      <w:r>
        <w:rPr>
          <w:rFonts w:ascii="Arial" w:cs="Arial" w:eastAsia="Arial" w:hAnsi="Arial"/>
          <w:sz w:val="18"/>
          <w:szCs w:val="18"/>
          <w:color w:val="auto"/>
        </w:rPr>
        <w:t>A series of preferred stock may be issued in whole or in part in the form of one or more global securities that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deposited with a depositary or its nominee identified in the prospectus supplement relating to such series of preferred stock. The terms of the depositary arrangement with respect to any series of preferred stock and the rights of and limitations on owners of beneficial interests in a global security representing a series of preferred stock will be described in the related prospectus supplement.</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 xml:space="preserve">Transfer Agent and Registrar. </w:t>
      </w:r>
      <w:r>
        <w:rPr>
          <w:rFonts w:ascii="Arial" w:cs="Arial" w:eastAsia="Arial" w:hAnsi="Arial"/>
          <w:sz w:val="17"/>
          <w:szCs w:val="17"/>
          <w:color w:val="auto"/>
        </w:rPr>
        <w:t>The transfer agent and registrar for each series of preferred stock will be set forth in the prospectus supplement.</w:t>
      </w:r>
    </w:p>
    <w:p>
      <w:pPr>
        <w:spacing w:after="0" w:line="129"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i w:val="1"/>
          <w:iCs w:val="1"/>
          <w:color w:val="auto"/>
        </w:rPr>
        <w:t xml:space="preserve">Anti-Take-Over Effects. </w:t>
      </w:r>
      <w:r>
        <w:rPr>
          <w:rFonts w:ascii="Arial" w:cs="Arial" w:eastAsia="Arial" w:hAnsi="Arial"/>
          <w:sz w:val="18"/>
          <w:szCs w:val="18"/>
          <w:color w:val="auto"/>
        </w:rPr>
        <w:t>Our board of directors may authorize, without shareholder approval, the issuance of preferred stock with voting and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that could adversely affect the voting power and other rights of holders of our Common Stock. Preferred stock could thus be issued quickly with terms designed to delay or prevent a change in control or to make the removal of management more difficult. In certain circumstances, this could have the effect of decreasing the market price of our Common Stock.</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of One of Our Shareholders</w:t>
      </w:r>
    </w:p>
    <w:p>
      <w:pPr>
        <w:spacing w:after="0" w:line="121"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One of our shareholders has registration rights. Under the registration rights agreement between us and such shareholder, after December 20, 2017, such shareholder (and certain of its transferees) may request that we file registration statements under the Securities Act and, upon such request and subject to minimum size and other conditions, we will be required to use our best efforts to effect any such registration. We are not required to effect more than three such registrations. We are generally obligated to bear the expenses, other than underwriting discounts and sales commissions, of all of these registrations.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the Charter and By-Laws and New York corporate law</w:t>
      </w:r>
    </w:p>
    <w:p>
      <w:pPr>
        <w:spacing w:after="0" w:line="121"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 xml:space="preserve">For a description of anti-takeover effects of various provisions of our charter, by-laws, and the New York Business Corporation Law, please see “RISK FACTORS — Risks Related To Our Common Stock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‘The anti-takeover effects of provisions of our charter, by-laws, and of New York corporate law and</w:t>
      </w:r>
      <w:r>
        <w:rPr>
          <w:rFonts w:ascii="Arial" w:cs="Arial" w:eastAsia="Arial" w:hAnsi="Arial"/>
          <w:sz w:val="18"/>
          <w:szCs w:val="18"/>
          <w:color w:val="auto"/>
        </w:rPr>
        <w:t xml:space="preserve"> </w:t>
      </w:r>
      <w:r>
        <w:rPr>
          <w:rFonts w:ascii="Arial" w:cs="Arial" w:eastAsia="Arial" w:hAnsi="Arial"/>
          <w:sz w:val="18"/>
          <w:szCs w:val="18"/>
          <w:i w:val="1"/>
          <w:iCs w:val="1"/>
          <w:color w:val="auto"/>
        </w:rPr>
        <w:t>the contractual “standstill” provisions in our investor agreement with sanofi-aventis, could deter, delay, or prevent an acquisition or other “change in control” of us and could adversely affect the price of our Common Stock’</w:t>
      </w:r>
      <w:r>
        <w:rPr>
          <w:rFonts w:ascii="Arial" w:cs="Arial" w:eastAsia="Arial" w:hAnsi="Arial"/>
          <w:sz w:val="18"/>
          <w:szCs w:val="18"/>
          <w:color w:val="auto"/>
        </w:rPr>
        <w:t>” in our Annual Report on Form 10-K for the year ended December 31, 2009 and</w:t>
      </w:r>
      <w:r>
        <w:rPr>
          <w:rFonts w:ascii="Arial" w:cs="Arial" w:eastAsia="Arial" w:hAnsi="Arial"/>
          <w:sz w:val="18"/>
          <w:szCs w:val="18"/>
          <w:i w:val="1"/>
          <w:iCs w:val="1"/>
          <w:color w:val="auto"/>
        </w:rPr>
        <w:t xml:space="preserve"> </w:t>
      </w:r>
      <w:r>
        <w:rPr>
          <w:rFonts w:ascii="Arial" w:cs="Arial" w:eastAsia="Arial" w:hAnsi="Arial"/>
          <w:sz w:val="18"/>
          <w:szCs w:val="18"/>
          <w:color w:val="auto"/>
        </w:rPr>
        <w:t>our Quarterly Report on Form 10-Q for the quarter ended June 30, 2010.</w:t>
      </w: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DEBT SECURITIES</w:t>
      </w:r>
    </w:p>
    <w:p>
      <w:pPr>
        <w:spacing w:after="0" w:line="121" w:lineRule="exact"/>
        <w:rPr>
          <w:sz w:val="20"/>
          <w:szCs w:val="20"/>
          <w:color w:val="auto"/>
        </w:rPr>
      </w:pPr>
    </w:p>
    <w:p>
      <w:pPr>
        <w:ind w:right="360" w:firstLine="222"/>
        <w:spacing w:after="0" w:line="302" w:lineRule="auto"/>
        <w:rPr>
          <w:sz w:val="20"/>
          <w:szCs w:val="20"/>
          <w:color w:val="auto"/>
        </w:rPr>
      </w:pPr>
      <w:r>
        <w:rPr>
          <w:rFonts w:ascii="Arial" w:cs="Arial" w:eastAsia="Arial" w:hAnsi="Arial"/>
          <w:sz w:val="16"/>
          <w:szCs w:val="16"/>
          <w:color w:val="auto"/>
        </w:rPr>
        <w:t>The following descriptions of the debt securities do not purport to be complete and are subject to and qualified in their entirety by reference to the indenture, a form of which is included as an exhibit to the registration statement of which this prospectus is a part. Any future supplemental indenture or similar document also will be so filed. You should read the indenture and any supplemental indenture or similar document because they, and not this description, define your rights as holder of our debt securities. All capitalized terms have the meanings specified in the indenture.</w:t>
      </w:r>
    </w:p>
    <w:p>
      <w:pPr>
        <w:spacing w:after="0" w:line="46" w:lineRule="exact"/>
        <w:rPr>
          <w:sz w:val="20"/>
          <w:szCs w:val="20"/>
          <w:color w:val="auto"/>
        </w:rPr>
      </w:pPr>
    </w:p>
    <w:p>
      <w:pPr>
        <w:ind w:right="180" w:firstLine="222"/>
        <w:spacing w:after="0" w:line="273" w:lineRule="auto"/>
        <w:rPr>
          <w:sz w:val="20"/>
          <w:szCs w:val="20"/>
          <w:color w:val="auto"/>
        </w:rPr>
      </w:pPr>
      <w:r>
        <w:rPr>
          <w:rFonts w:ascii="Arial" w:cs="Arial" w:eastAsia="Arial" w:hAnsi="Arial"/>
          <w:sz w:val="17"/>
          <w:szCs w:val="17"/>
          <w:color w:val="auto"/>
        </w:rPr>
        <w:t>We may issue, from time to time, debt securities, in one or more series, that will consist of either our senior debt, our senior subordinated debt, our subordinated debt, or our junior subordinated debt. The debt securities we offer will be issued under an indenture between us and one or more financial institutions qualified under the Trust Indenture Act to act as trustee. We may appoint more than one trustee under the indenture, each with respect to one or more series of debt securities. Each such trustee shall be a corporation or banking association organized and doing business in the United States that has a combined capital and surplus of at least $50,000,000. Debt securities, whether senior, senior subordinated, subordinated, or junior subordinated, may be issued as convertible debt securities or exchangeable debt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the Indenture</w:t>
      </w:r>
    </w:p>
    <w:p>
      <w:pPr>
        <w:spacing w:after="0" w:line="121" w:lineRule="exact"/>
        <w:rPr>
          <w:sz w:val="20"/>
          <w:szCs w:val="20"/>
          <w:color w:val="auto"/>
        </w:rPr>
      </w:pPr>
    </w:p>
    <w:p>
      <w:pPr>
        <w:ind w:right="80" w:firstLine="222"/>
        <w:spacing w:after="0" w:line="279" w:lineRule="auto"/>
        <w:rPr>
          <w:sz w:val="20"/>
          <w:szCs w:val="20"/>
          <w:color w:val="auto"/>
        </w:rPr>
      </w:pPr>
      <w:r>
        <w:rPr>
          <w:rFonts w:ascii="Arial" w:cs="Arial" w:eastAsia="Arial" w:hAnsi="Arial"/>
          <w:sz w:val="17"/>
          <w:szCs w:val="17"/>
          <w:color w:val="auto"/>
        </w:rPr>
        <w:t>The indenture does not limit the amount of debt securities that we may issue. It provides that we may issue debt securities up to the principal amount that we may authorize and may be in any currency or currency unit designated by us. Except for the limitations on consolidation, merger, and sale of all or substantially all of our assets contained in the indenture, the terms of the indenture do not contain any covenants or other provisions designed to afford holders of any debt securities protection with respect to our operations, financial condition or transactions involving us.</w:t>
      </w:r>
    </w:p>
    <w:p>
      <w:pPr>
        <w:spacing w:after="0" w:line="63"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U.S. federal income tax purposes, be treated as if they were issued with “original issue discount,” or “OID,” because of interest payment and other characteristics. Special U.S. federal income tax considerations applicable to debt securities issued with original issue discount will be described in more detail in any applicable prospectus supplement.</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applicable prospectus supplement for a series of debt securities that we issue will describe, among other things, the following terms of the offered debt securities:</w:t>
      </w:r>
    </w:p>
    <w:p>
      <w:pPr>
        <w:spacing w:after="0" w:line="62"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title;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principal amount being offered, and, if a series, the total amount authorized and the total amount outstanding;</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any limit on the amount that may be issued;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whether or not we will issue the series of debt securities in global form and, if so, the terms and who the depositary will be;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maturity date;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principal amount due at maturity, and whether the debt securities will be issued with any original issue discount;</w:t>
      </w:r>
    </w:p>
    <w:p>
      <w:pPr>
        <w:spacing w:after="0" w:line="130" w:lineRule="exact"/>
        <w:rPr>
          <w:rFonts w:ascii="Arial" w:cs="Arial" w:eastAsia="Arial" w:hAnsi="Arial"/>
          <w:sz w:val="18"/>
          <w:szCs w:val="18"/>
          <w:b w:val="1"/>
          <w:bCs w:val="1"/>
          <w:color w:val="auto"/>
        </w:rPr>
      </w:pPr>
    </w:p>
    <w:p>
      <w:pPr>
        <w:ind w:left="900" w:right="80" w:hanging="446"/>
        <w:spacing w:after="0" w:line="277"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whether and under what circumstances, if any, we will pay additional amounts on any debt securities held by a person who is not a United States person for tax purposes, and whether we can redeem the debt securities if we have to pay such additional amounts;</w:t>
      </w:r>
    </w:p>
    <w:p>
      <w:pPr>
        <w:spacing w:after="0" w:line="75" w:lineRule="exact"/>
        <w:rPr>
          <w:rFonts w:ascii="Arial" w:cs="Arial" w:eastAsia="Arial" w:hAnsi="Arial"/>
          <w:sz w:val="18"/>
          <w:szCs w:val="18"/>
          <w:b w:val="1"/>
          <w:bCs w:val="1"/>
          <w:color w:val="auto"/>
        </w:rPr>
      </w:pPr>
    </w:p>
    <w:p>
      <w:pPr>
        <w:ind w:left="900" w:right="260" w:hanging="446"/>
        <w:spacing w:after="0" w:line="308" w:lineRule="auto"/>
        <w:tabs>
          <w:tab w:leader="none" w:pos="90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the annual interest rate, which may be fixed or variable, or the method for determining the rate, the date interest will begin to accrue, the dates interest will be payable and the regular record dates for interest payment dates or the method for determining such dates;</w:t>
      </w:r>
    </w:p>
    <w:p>
      <w:pPr>
        <w:spacing w:after="0" w:line="51" w:lineRule="exact"/>
        <w:rPr>
          <w:rFonts w:ascii="Arial" w:cs="Arial" w:eastAsia="Arial" w:hAnsi="Arial"/>
          <w:sz w:val="17"/>
          <w:szCs w:val="17"/>
          <w:b w:val="1"/>
          <w:bCs w:val="1"/>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whether or not the debt securities will be secured or unsecured, and the terms of any secured debt;</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terms of the subordination of any series of subordinated debt;</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form and terms of any guarantee of any debt securities;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place where payments will be payable;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restrictions on transfer, sale or other assignment, if any;</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right, if any, to defer payment of interest and the maximum length of any such deferral period;</w:t>
      </w:r>
    </w:p>
    <w:p>
      <w:pPr>
        <w:spacing w:after="0" w:line="130" w:lineRule="exact"/>
        <w:rPr>
          <w:rFonts w:ascii="Arial" w:cs="Arial" w:eastAsia="Arial" w:hAnsi="Arial"/>
          <w:sz w:val="18"/>
          <w:szCs w:val="18"/>
          <w:b w:val="1"/>
          <w:bCs w:val="1"/>
          <w:color w:val="auto"/>
        </w:rPr>
      </w:pPr>
    </w:p>
    <w:p>
      <w:pPr>
        <w:ind w:left="900" w:right="640" w:hanging="446"/>
        <w:spacing w:after="0" w:line="342" w:lineRule="auto"/>
        <w:tabs>
          <w:tab w:leader="none" w:pos="90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the date, if any, after which, the conditions upon which, and the price at which we may, at our option, redeem the series of debt securities pursuant to any optional or provisional redemption provisions, and any other applicable terms of those redemption provisions;</w:t>
      </w:r>
    </w:p>
    <w:p>
      <w:pPr>
        <w:spacing w:after="0" w:line="29" w:lineRule="exact"/>
        <w:rPr>
          <w:rFonts w:ascii="Arial" w:cs="Arial" w:eastAsia="Arial" w:hAnsi="Arial"/>
          <w:sz w:val="16"/>
          <w:szCs w:val="16"/>
          <w:b w:val="1"/>
          <w:bCs w:val="1"/>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b w:val="1"/>
          <w:bCs w:val="1"/>
          <w:color w:val="auto"/>
        </w:rPr>
      </w:pPr>
    </w:p>
    <w:p>
      <w:pPr>
        <w:ind w:left="900" w:right="480" w:hanging="446"/>
        <w:spacing w:after="0" w:line="277"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date, if any, on which, and the price at which we are obligated, pursuant to any mandatory sinking fund or analogous fund provisions or otherwise, to redeem, or at the holder’s option to purchase, the series of debt securities;</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whether the indenture will restrict our ability and/or the ability of our subsidiaries to:</w:t>
      </w:r>
    </w:p>
    <w:p>
      <w:pPr>
        <w:spacing w:after="0" w:line="117" w:lineRule="exact"/>
        <w:rPr>
          <w:sz w:val="20"/>
          <w:szCs w:val="20"/>
          <w:color w:val="auto"/>
        </w:rPr>
      </w:pPr>
    </w:p>
    <w:p>
      <w:pPr>
        <w:ind w:left="1820" w:hanging="448"/>
        <w:spacing w:after="0"/>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30" w:lineRule="exact"/>
        <w:rPr>
          <w:rFonts w:ascii="Arial" w:cs="Arial" w:eastAsia="Arial" w:hAnsi="Arial"/>
          <w:sz w:val="18"/>
          <w:szCs w:val="18"/>
          <w:color w:val="auto"/>
        </w:rPr>
      </w:pPr>
    </w:p>
    <w:p>
      <w:pPr>
        <w:ind w:left="1820" w:hanging="448"/>
        <w:spacing w:after="0"/>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issue additional securities;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820" w:hanging="448"/>
        <w:spacing w:after="0"/>
        <w:tabs>
          <w:tab w:leader="none" w:pos="1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1820" w:hanging="448"/>
        <w:spacing w:after="0"/>
        <w:tabs>
          <w:tab w:leader="none" w:pos="1820" w:val="left"/>
        </w:tabs>
        <w:numPr>
          <w:ilvl w:val="1"/>
          <w:numId w:val="8"/>
        </w:numPr>
        <w:rPr>
          <w:rFonts w:ascii="Arial" w:cs="Arial" w:eastAsia="Arial" w:hAnsi="Arial"/>
          <w:sz w:val="17"/>
          <w:szCs w:val="17"/>
          <w:color w:val="auto"/>
        </w:rPr>
      </w:pPr>
      <w:r>
        <w:rPr>
          <w:rFonts w:ascii="Arial" w:cs="Arial" w:eastAsia="Arial" w:hAnsi="Arial"/>
          <w:sz w:val="17"/>
          <w:szCs w:val="17"/>
          <w:color w:val="auto"/>
        </w:rPr>
        <w:t>pay dividends, make distributions in respect of our capital stock and the capital stock of our subsidiaries or transfer assets;</w:t>
      </w:r>
    </w:p>
    <w:p>
      <w:pPr>
        <w:spacing w:after="0" w:line="142" w:lineRule="exact"/>
        <w:rPr>
          <w:rFonts w:ascii="Arial" w:cs="Arial" w:eastAsia="Arial" w:hAnsi="Arial"/>
          <w:sz w:val="17"/>
          <w:szCs w:val="17"/>
          <w:color w:val="auto"/>
        </w:rPr>
      </w:pPr>
    </w:p>
    <w:p>
      <w:pPr>
        <w:ind w:left="1820" w:hanging="448"/>
        <w:spacing w:after="0"/>
        <w:tabs>
          <w:tab w:leader="none" w:pos="1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redeem capital stock;</w:t>
      </w:r>
    </w:p>
    <w:p>
      <w:pPr>
        <w:spacing w:after="0" w:line="130" w:lineRule="exact"/>
        <w:rPr>
          <w:rFonts w:ascii="Arial" w:cs="Arial" w:eastAsia="Arial" w:hAnsi="Arial"/>
          <w:sz w:val="18"/>
          <w:szCs w:val="18"/>
          <w:color w:val="auto"/>
        </w:rPr>
      </w:pPr>
    </w:p>
    <w:p>
      <w:pPr>
        <w:ind w:left="1820" w:hanging="448"/>
        <w:spacing w:after="0"/>
        <w:tabs>
          <w:tab w:leader="none" w:pos="1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make investments or other restricted payments;</w:t>
      </w:r>
    </w:p>
    <w:p>
      <w:pPr>
        <w:spacing w:after="0" w:line="130" w:lineRule="exact"/>
        <w:rPr>
          <w:rFonts w:ascii="Arial" w:cs="Arial" w:eastAsia="Arial" w:hAnsi="Arial"/>
          <w:sz w:val="18"/>
          <w:szCs w:val="18"/>
          <w:color w:val="auto"/>
        </w:rPr>
      </w:pPr>
    </w:p>
    <w:p>
      <w:pPr>
        <w:ind w:left="1820" w:hanging="448"/>
        <w:spacing w:after="0"/>
        <w:tabs>
          <w:tab w:leader="none" w:pos="1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130" w:lineRule="exact"/>
        <w:rPr>
          <w:rFonts w:ascii="Arial" w:cs="Arial" w:eastAsia="Arial" w:hAnsi="Arial"/>
          <w:sz w:val="18"/>
          <w:szCs w:val="18"/>
          <w:color w:val="auto"/>
        </w:rPr>
      </w:pPr>
    </w:p>
    <w:p>
      <w:pPr>
        <w:ind w:left="1820" w:hanging="448"/>
        <w:spacing w:after="0"/>
        <w:tabs>
          <w:tab w:leader="none" w:pos="1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30" w:lineRule="exact"/>
        <w:rPr>
          <w:rFonts w:ascii="Arial" w:cs="Arial" w:eastAsia="Arial" w:hAnsi="Arial"/>
          <w:sz w:val="18"/>
          <w:szCs w:val="18"/>
          <w:color w:val="auto"/>
        </w:rPr>
      </w:pPr>
    </w:p>
    <w:p>
      <w:pPr>
        <w:ind w:left="1820" w:hanging="448"/>
        <w:spacing w:after="0"/>
        <w:tabs>
          <w:tab w:leader="none" w:pos="1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engage in transactions with stockholders and affiliates;</w:t>
      </w:r>
    </w:p>
    <w:p>
      <w:pPr>
        <w:spacing w:after="0" w:line="130" w:lineRule="exact"/>
        <w:rPr>
          <w:rFonts w:ascii="Arial" w:cs="Arial" w:eastAsia="Arial" w:hAnsi="Arial"/>
          <w:sz w:val="18"/>
          <w:szCs w:val="18"/>
          <w:color w:val="auto"/>
        </w:rPr>
      </w:pPr>
    </w:p>
    <w:p>
      <w:pPr>
        <w:ind w:left="1820" w:hanging="448"/>
        <w:spacing w:after="0"/>
        <w:tabs>
          <w:tab w:leader="none" w:pos="1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issue or sell stock of our subsidiaries; or</w:t>
      </w:r>
    </w:p>
    <w:p>
      <w:pPr>
        <w:spacing w:after="0" w:line="130" w:lineRule="exact"/>
        <w:rPr>
          <w:rFonts w:ascii="Arial" w:cs="Arial" w:eastAsia="Arial" w:hAnsi="Arial"/>
          <w:sz w:val="18"/>
          <w:szCs w:val="18"/>
          <w:color w:val="auto"/>
        </w:rPr>
      </w:pPr>
    </w:p>
    <w:p>
      <w:pPr>
        <w:ind w:left="1820" w:hanging="448"/>
        <w:spacing w:after="0"/>
        <w:tabs>
          <w:tab w:leader="none" w:pos="1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effect a consolidation or merger;</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whether the indenture will require us to maintain any interest coverage, fixed charge, cash flow-based, asset-based or other financial ratios;</w:t>
      </w:r>
    </w:p>
    <w:p>
      <w:pPr>
        <w:spacing w:after="0" w:line="153" w:lineRule="exact"/>
        <w:rPr>
          <w:rFonts w:ascii="Arial" w:cs="Arial" w:eastAsia="Arial" w:hAnsi="Arial"/>
          <w:sz w:val="16"/>
          <w:szCs w:val="16"/>
          <w:b w:val="1"/>
          <w:bCs w:val="1"/>
          <w:color w:val="auto"/>
        </w:rPr>
      </w:pPr>
    </w:p>
    <w:p>
      <w:pPr>
        <w:ind w:left="900" w:hanging="446"/>
        <w:spacing w:after="0"/>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information describing any book-entry features;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procedures for any auction and remarketing, if any;</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the denominations in which we will issue the series of debt securities, if other than denominations of $1,000 and any integral multiple thereof;</w:t>
      </w:r>
    </w:p>
    <w:p>
      <w:pPr>
        <w:spacing w:after="0" w:line="153" w:lineRule="exact"/>
        <w:rPr>
          <w:rFonts w:ascii="Arial" w:cs="Arial" w:eastAsia="Arial" w:hAnsi="Arial"/>
          <w:sz w:val="16"/>
          <w:szCs w:val="16"/>
          <w:b w:val="1"/>
          <w:bCs w:val="1"/>
          <w:color w:val="auto"/>
        </w:rPr>
      </w:pPr>
    </w:p>
    <w:p>
      <w:pPr>
        <w:ind w:left="900" w:hanging="446"/>
        <w:spacing w:after="0"/>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if other than dollars, the currency in which the series of debt securities will be denominated; and</w:t>
      </w:r>
    </w:p>
    <w:p>
      <w:pPr>
        <w:spacing w:after="0" w:line="130" w:lineRule="exact"/>
        <w:rPr>
          <w:rFonts w:ascii="Arial" w:cs="Arial" w:eastAsia="Arial" w:hAnsi="Arial"/>
          <w:sz w:val="18"/>
          <w:szCs w:val="18"/>
          <w:b w:val="1"/>
          <w:bCs w:val="1"/>
          <w:color w:val="auto"/>
        </w:rPr>
      </w:pPr>
    </w:p>
    <w:p>
      <w:pPr>
        <w:ind w:left="900" w:right="20" w:hanging="446"/>
        <w:spacing w:after="0" w:line="259" w:lineRule="auto"/>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any other specific terms, preferences, rights or limitations of, or restrictions on, the debt securities, including any events of default that are in addition to those described in this prospectus or any covenants provided with respect to the debt securities that are in addition to those described above, and any terms which may be required by us or advisable under applicable laws or regulations or advisable in connection with the marketing of the debt securities.</w:t>
      </w:r>
    </w:p>
    <w:p>
      <w:pPr>
        <w:spacing w:after="0" w:line="79"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 applicable prospectus supplement will set forth certain U.S. federal income tax considerations for holders of any debt securities and the securities exchange or quotation system on which any debt securities are listed or quoted, if any.</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Unless otherwise provided in the applicable prospectus supplement, all securities of any one series need not be issued at the same time and may be issued from time to time without consent of any holder.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Debt Securities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Payment of the principal of, premium, if any, and interest on senior debt securities will rank on a parity with all of our other existing and future unsecured and unsubordinated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Subordinated Debt Securities</w:t>
      </w:r>
    </w:p>
    <w:p>
      <w:pPr>
        <w:spacing w:after="0" w:line="121"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Payment of the principal of, premium, if any, and interest on senior subordinated debt securities will be junior in right of payment to the prior payment in full of all of our existing and future unsecured and unsubordinated debt. We will set forth in the applicable prospectus supplement relating to any senior subordinated debt securities the subordination terms of such securities as well as the aggregate amount of outstanding debt, as of the most recent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practicable date, that by its terms would be senior to the senior subordinated debt securities. We will also set forth in such prospectus supplement limitations, if any, on issuance of additional senior debt securities or additional senior subordinated debt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 Securities</w:t>
      </w:r>
    </w:p>
    <w:p>
      <w:pPr>
        <w:spacing w:after="0" w:line="121" w:lineRule="exact"/>
        <w:rPr>
          <w:sz w:val="20"/>
          <w:szCs w:val="20"/>
          <w:color w:val="auto"/>
        </w:rPr>
      </w:pPr>
    </w:p>
    <w:p>
      <w:pPr>
        <w:ind w:right="120" w:firstLine="225"/>
        <w:spacing w:after="0" w:line="297" w:lineRule="auto"/>
        <w:rPr>
          <w:sz w:val="20"/>
          <w:szCs w:val="20"/>
          <w:color w:val="auto"/>
        </w:rPr>
      </w:pPr>
      <w:r>
        <w:rPr>
          <w:rFonts w:ascii="Arial" w:cs="Arial" w:eastAsia="Arial" w:hAnsi="Arial"/>
          <w:sz w:val="16"/>
          <w:szCs w:val="16"/>
          <w:color w:val="auto"/>
        </w:rPr>
        <w:t>Payment of the principal of, premium, if any, and interest on subordinated debt securities will be subordinated and junior in right of payment to the prior payment in full of all of our senior and senior subordinated debt. We will set forth in the applicable prospectus supplement relating to any subordinated debt securities the subordination terms of such securities as well as the aggregate amount of outstanding indebtedness, as of the most recent practicable date, that by its terms would be senior to the subordinated debt securities. We will also set forth in such prospectus supplement limitations, if any, on issuance of additional senior debt securities, additional senior subordinated debt securities, or additional subordinated debt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Junior Subordinated Debt Securities</w:t>
      </w:r>
    </w:p>
    <w:p>
      <w:pPr>
        <w:spacing w:after="0" w:line="12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Payment of the principal of, premium, if any, and interest on junior subordinated debt securities will be subordinated and junior in right of payment to the prior payment in full of all of our senior, senior subordinated, and subordinated debt. We will set forth in the applicable prospectus supplement relating to any junior subordinated debt securities the subordination terms of such securities as well as the aggregate amount of outstanding debt, as of the most recent practicable date, that by its terms would be senior to the junior subordinated debt securities. We will also set forth in such prospectus supplement limitations, if any, on issuance of additional debt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Debt securities may be convertible into or exchangeable for our other securities or property. The terms and conditions of conversion or exchange will be set forth in the applicable prospectus supplement. The terms will include, among others, the following:</w:t>
      </w:r>
    </w:p>
    <w:p>
      <w:pPr>
        <w:spacing w:after="0" w:line="62"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conversion or exchange price;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conversion or exchange period;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provisions regarding the ability of us or the holder to convert or exchange the debt securities;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events requiring adjustment to the conversion or exchange price; and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provisions affecting conversion or exchange in the event of our redemption of the debt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right="200" w:firstLine="222"/>
        <w:spacing w:after="0" w:line="286" w:lineRule="auto"/>
        <w:rPr>
          <w:sz w:val="20"/>
          <w:szCs w:val="20"/>
          <w:color w:val="auto"/>
        </w:rPr>
      </w:pPr>
      <w:r>
        <w:rPr>
          <w:rFonts w:ascii="Arial" w:cs="Arial" w:eastAsia="Arial" w:hAnsi="Arial"/>
          <w:sz w:val="17"/>
          <w:szCs w:val="17"/>
          <w:color w:val="auto"/>
        </w:rPr>
        <w:t>The indenture in the form initially filed as an exhibit to the registration statement of which this prospectus is a part does not contain any covenant that restricts our ability to merge or consolidate, or sell, convey, transfer or otherwise dispose of all or substantially all of our assets. However, any successor of ours or acquiror of such assets must assume all of our obligations under the indenture and the debt securities.</w:t>
      </w:r>
    </w:p>
    <w:p>
      <w:pPr>
        <w:spacing w:after="0" w:line="5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If the debt securities are convertible for our other securities, the person with whom we consolidate or merge or to whom we sell all of our property must make provisions for the conversion of the debt securities into securities which the holders of the debt securities would have received if they had converted the debt securities before the consolidation, merger or sale.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Unless otherwise indicated, the term “Event of Default,” when used in the indenture in respect of a series of debt securities, means any of the following:</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if we fail to pay interest when due and payable and our failure continues for 90 days and the time for payment has not been extended or deferred;</w:t>
      </w:r>
    </w:p>
    <w:p>
      <w:pPr>
        <w:spacing w:after="0" w:line="153" w:lineRule="exact"/>
        <w:rPr>
          <w:rFonts w:ascii="Arial" w:cs="Arial" w:eastAsia="Arial" w:hAnsi="Arial"/>
          <w:sz w:val="16"/>
          <w:szCs w:val="16"/>
          <w:b w:val="1"/>
          <w:bCs w:val="1"/>
          <w:color w:val="auto"/>
        </w:rPr>
      </w:pPr>
    </w:p>
    <w:p>
      <w:pPr>
        <w:ind w:left="900" w:hanging="446"/>
        <w:spacing w:after="0"/>
        <w:tabs>
          <w:tab w:leader="none" w:pos="90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if we fail to pay the principal, or premium, if any, when due and payable and the time for payment has not been extended or delayed;</w:t>
      </w:r>
    </w:p>
    <w:p>
      <w:pPr>
        <w:spacing w:after="0" w:line="142" w:lineRule="exact"/>
        <w:rPr>
          <w:rFonts w:ascii="Arial" w:cs="Arial" w:eastAsia="Arial" w:hAnsi="Arial"/>
          <w:sz w:val="17"/>
          <w:szCs w:val="17"/>
          <w:b w:val="1"/>
          <w:bCs w:val="1"/>
          <w:color w:val="auto"/>
        </w:rPr>
      </w:pPr>
    </w:p>
    <w:p>
      <w:pPr>
        <w:ind w:left="900" w:right="80" w:hanging="446"/>
        <w:spacing w:after="0" w:line="264" w:lineRule="auto"/>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if we fail to observe or perform any other covenant contained in the debt securities or the indenture, other than a covenant specifically relating to another series of debt securities, and our failure continues for 90 days after we receive notice from the trustee or holders of at least 25% in aggregate principal amount of the outstanding debt securities of the applicable series;</w:t>
      </w:r>
    </w:p>
    <w:p>
      <w:pPr>
        <w:spacing w:after="0" w:line="86" w:lineRule="exact"/>
        <w:rPr>
          <w:rFonts w:ascii="Arial" w:cs="Arial" w:eastAsia="Arial" w:hAnsi="Arial"/>
          <w:sz w:val="18"/>
          <w:szCs w:val="18"/>
          <w:b w:val="1"/>
          <w:bCs w:val="1"/>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events in bankruptcy, insolvency or reorganization of our company; or</w:t>
      </w:r>
    </w:p>
    <w:p>
      <w:pPr>
        <w:spacing w:after="0" w:line="130" w:lineRule="exact"/>
        <w:rPr>
          <w:rFonts w:ascii="Arial" w:cs="Arial" w:eastAsia="Arial" w:hAnsi="Arial"/>
          <w:sz w:val="18"/>
          <w:szCs w:val="18"/>
          <w:b w:val="1"/>
          <w:bCs w:val="1"/>
          <w:color w:val="auto"/>
        </w:rPr>
      </w:pPr>
    </w:p>
    <w:p>
      <w:pPr>
        <w:ind w:left="900" w:right="300" w:hanging="446"/>
        <w:spacing w:after="0" w:line="277" w:lineRule="auto"/>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any other Event of Default provided in the applicable resolution of our board of directors or the supplemental indenture under which we issue such series of debt securities.</w:t>
      </w:r>
    </w:p>
    <w:p>
      <w:pPr>
        <w:spacing w:after="0" w:line="62"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will be due and payable without any notice or other action on the part of the trustee or any holder.</w:t>
      </w:r>
    </w:p>
    <w:p>
      <w:pPr>
        <w:spacing w:after="0" w:line="50"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w:t>
      </w:r>
    </w:p>
    <w:p>
      <w:pPr>
        <w:spacing w:after="0" w:line="73"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Subject to the terms of the indenture, if an Event of Default under the indenture occurs and is continuing, the trustee will be under no obligation to exercise any of its rights or powers under the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64"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direction so given by the holder is not in conflict with any law or the indenture; and</w:t>
      </w:r>
    </w:p>
    <w:p>
      <w:pPr>
        <w:spacing w:after="0" w:line="130" w:lineRule="exact"/>
        <w:rPr>
          <w:rFonts w:ascii="Arial" w:cs="Arial" w:eastAsia="Arial" w:hAnsi="Arial"/>
          <w:sz w:val="18"/>
          <w:szCs w:val="18"/>
          <w:b w:val="1"/>
          <w:bCs w:val="1"/>
          <w:color w:val="auto"/>
        </w:rPr>
      </w:pPr>
    </w:p>
    <w:p>
      <w:pPr>
        <w:ind w:left="900" w:right="100" w:hanging="446"/>
        <w:spacing w:after="0" w:line="277" w:lineRule="auto"/>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subject to its duties under the Trust Indenture Act of 1939, the trustee need not take any action that might involve it in personal liability or might be unduly prejudicial to the holders not involved in the proceeding.</w:t>
      </w:r>
    </w:p>
    <w:p>
      <w:pPr>
        <w:spacing w:after="0" w:line="62" w:lineRule="exact"/>
        <w:rPr>
          <w:sz w:val="20"/>
          <w:szCs w:val="20"/>
          <w:color w:val="auto"/>
        </w:rPr>
      </w:pPr>
    </w:p>
    <w:p>
      <w:pPr>
        <w:ind w:right="240" w:firstLine="215"/>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 or to appoint a receiver or trustee, or to seek other remedies if:</w:t>
      </w:r>
    </w:p>
    <w:p>
      <w:pPr>
        <w:spacing w:after="0" w:line="62"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130" w:lineRule="exact"/>
        <w:rPr>
          <w:rFonts w:ascii="Arial" w:cs="Arial" w:eastAsia="Arial" w:hAnsi="Arial"/>
          <w:sz w:val="18"/>
          <w:szCs w:val="18"/>
          <w:b w:val="1"/>
          <w:bCs w:val="1"/>
          <w:color w:val="auto"/>
        </w:rPr>
      </w:pPr>
    </w:p>
    <w:p>
      <w:pPr>
        <w:ind w:left="900" w:right="280" w:hanging="446"/>
        <w:spacing w:after="0" w:line="277" w:lineRule="auto"/>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holders of at least 25% in aggregate principal amount of the outstanding debt securities of that series have made written request, and those holders have offered reasonable indemnity to the trustee to institute the proceeding as trustee;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77" w:lineRule="auto"/>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62"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280" w:firstLine="225"/>
        <w:spacing w:after="0" w:line="291" w:lineRule="auto"/>
        <w:rPr>
          <w:sz w:val="20"/>
          <w:szCs w:val="20"/>
          <w:color w:val="auto"/>
        </w:rPr>
      </w:pPr>
      <w:r>
        <w:rPr>
          <w:rFonts w:ascii="Arial" w:cs="Arial" w:eastAsia="Arial" w:hAnsi="Arial"/>
          <w:sz w:val="16"/>
          <w:szCs w:val="16"/>
          <w:color w:val="auto"/>
        </w:rPr>
        <w:t>Unless we inform you otherwise in the applicable prospectus supplement, the debt securities of a series may be issued in whole or in part in the form of one or more global securities that will be deposited with, or on behalf of, a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21" w:lineRule="exact"/>
        <w:rPr>
          <w:sz w:val="20"/>
          <w:szCs w:val="20"/>
          <w:color w:val="auto"/>
        </w:rPr>
      </w:pPr>
    </w:p>
    <w:p>
      <w:pPr>
        <w:jc w:val="both"/>
        <w:ind w:right="60" w:firstLine="222"/>
        <w:spacing w:after="0" w:line="342" w:lineRule="auto"/>
        <w:rPr>
          <w:sz w:val="20"/>
          <w:szCs w:val="20"/>
          <w:color w:val="auto"/>
        </w:rPr>
      </w:pPr>
      <w:r>
        <w:rPr>
          <w:rFonts w:ascii="Arial" w:cs="Arial" w:eastAsia="Arial" w:hAnsi="Arial"/>
          <w:sz w:val="16"/>
          <w:szCs w:val="16"/>
          <w:color w:val="auto"/>
        </w:rPr>
        <w:t>We can discharge or defease our obligations under the indenture as set forth below. Unless otherwise set forth in the applicable prospectus supplement, the subordination provisions applicable to any subordinated securities will be expressly made subject to the discharge and defeasance provisions of the indenture.</w:t>
      </w:r>
    </w:p>
    <w:p>
      <w:pPr>
        <w:spacing w:after="0" w:line="16"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We may discharge some of our obligations to holders of any series of debt securities that have not already been delivered to the trustee for cancellation and that have either become due and payable or are by their terms to become due and payable within one year (or are scheduled for redemption within one year). We may effect a discharge by irrevocably depositing with the trustee cash or U.S. government obligations, as trust funds, in an amount certified to be sufficient to pay when due, whether at maturity, upon redemption or otherwise, the principal of, premium, if any, and interest on the debt securities, and any mandatory sinking fund payments.</w:t>
      </w:r>
    </w:p>
    <w:p>
      <w:pPr>
        <w:spacing w:after="0" w:line="80"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Unless otherwise provided in the applicable prospectus supplement, we may also discharge any and all of our obligations to holders of any series of debt securities at any time (“defeasance”). We also may be released from the obligations imposed by any covenants of any outstanding series of debt securities and provisions of the indenture, and we may omit to comply with those covenants without creating an Event of Default (“covenant defeasance”). We may effect defeasance and covenant defeasance only if, among other things:</w:t>
      </w:r>
    </w:p>
    <w:p>
      <w:pPr>
        <w:spacing w:after="0" w:line="79" w:lineRule="exact"/>
        <w:rPr>
          <w:sz w:val="20"/>
          <w:szCs w:val="20"/>
          <w:color w:val="auto"/>
        </w:rPr>
      </w:pPr>
    </w:p>
    <w:p>
      <w:pPr>
        <w:ind w:left="900" w:right="540" w:hanging="446"/>
        <w:spacing w:after="0" w:line="308" w:lineRule="auto"/>
        <w:tabs>
          <w:tab w:leader="none" w:pos="90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we irrevocably deposit with the trustee cash or U.S. government obligations, as trust funds, in an amount certified to be sufficient to pay at maturity (or upon redemption) the principal, premium, if any, and interest on all outstanding debt securities of the series; and</w:t>
      </w:r>
    </w:p>
    <w:p>
      <w:pPr>
        <w:spacing w:after="0" w:line="51" w:lineRule="exact"/>
        <w:rPr>
          <w:rFonts w:ascii="Arial" w:cs="Arial" w:eastAsia="Arial" w:hAnsi="Arial"/>
          <w:sz w:val="17"/>
          <w:szCs w:val="17"/>
          <w:b w:val="1"/>
          <w:bCs w:val="1"/>
          <w:color w:val="auto"/>
        </w:rPr>
      </w:pPr>
    </w:p>
    <w:p>
      <w:pPr>
        <w:ind w:left="900" w:right="260" w:hanging="446"/>
        <w:spacing w:after="0" w:line="257" w:lineRule="auto"/>
        <w:tabs>
          <w:tab w:leader="none" w:pos="9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we deliver to the trustee an opinion of counsel from a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premium, if any, and interest payments on the series of debt securities, which opinion, in the case of legal defeasance, must be based on a ruling of the Internal Revenue Service issued or a change in U.S. federal income tax law.</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firstLine="215"/>
        <w:spacing w:after="0" w:line="264" w:lineRule="auto"/>
        <w:rPr>
          <w:sz w:val="20"/>
          <w:szCs w:val="20"/>
          <w:color w:val="auto"/>
        </w:rPr>
      </w:pPr>
      <w:r>
        <w:rPr>
          <w:rFonts w:ascii="Arial" w:cs="Arial" w:eastAsia="Arial" w:hAnsi="Arial"/>
          <w:sz w:val="18"/>
          <w:szCs w:val="18"/>
          <w:color w:val="auto"/>
        </w:rPr>
        <w:t>Although we may discharge or defease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 Waiver</w:t>
      </w:r>
    </w:p>
    <w:p>
      <w:pPr>
        <w:spacing w:after="0" w:line="121"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of a series with respect to certain specific matters, including:</w:t>
      </w:r>
    </w:p>
    <w:p>
      <w:pPr>
        <w:spacing w:after="0" w:line="62"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to cure any ambiguity, defect or inconsistency in the indenture;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to comply with the provisions described above under “— Consolidation, Merger or Sale”;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to comply with any requirements of the SEC in connection with the qualification of the indenture under the Trust Indenture Act of 1939;</w:t>
      </w:r>
    </w:p>
    <w:p>
      <w:pPr>
        <w:spacing w:after="0" w:line="142" w:lineRule="exact"/>
        <w:rPr>
          <w:rFonts w:ascii="Arial" w:cs="Arial" w:eastAsia="Arial" w:hAnsi="Arial"/>
          <w:sz w:val="17"/>
          <w:szCs w:val="17"/>
          <w:b w:val="1"/>
          <w:bCs w:val="1"/>
          <w:color w:val="auto"/>
        </w:rPr>
      </w:pPr>
    </w:p>
    <w:p>
      <w:pPr>
        <w:ind w:left="900" w:hanging="446"/>
        <w:spacing w:after="0"/>
        <w:tabs>
          <w:tab w:leader="none" w:pos="9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to evidence and provide for the acceptance of appointment under the indenture by a successor trustee;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to provide for uncertificated debt securities and to make all appropriate changes for that purpose;</w:t>
      </w:r>
    </w:p>
    <w:p>
      <w:pPr>
        <w:spacing w:after="0" w:line="130" w:lineRule="exact"/>
        <w:rPr>
          <w:rFonts w:ascii="Arial" w:cs="Arial" w:eastAsia="Arial" w:hAnsi="Arial"/>
          <w:sz w:val="18"/>
          <w:szCs w:val="18"/>
          <w:b w:val="1"/>
          <w:bCs w:val="1"/>
          <w:color w:val="auto"/>
        </w:rPr>
      </w:pPr>
    </w:p>
    <w:p>
      <w:pPr>
        <w:ind w:left="900" w:right="20" w:hanging="446"/>
        <w:spacing w:after="0" w:line="277" w:lineRule="auto"/>
        <w:tabs>
          <w:tab w:leader="none" w:pos="9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to add to, delete from, or revise the conditions, limitations and restrictions on the authorized amount, terms or purposes of issuance, authorization and delivery of debt securities or any series;</w:t>
      </w:r>
    </w:p>
    <w:p>
      <w:pPr>
        <w:spacing w:after="0" w:line="75" w:lineRule="exact"/>
        <w:rPr>
          <w:rFonts w:ascii="Arial" w:cs="Arial" w:eastAsia="Arial" w:hAnsi="Arial"/>
          <w:sz w:val="18"/>
          <w:szCs w:val="18"/>
          <w:b w:val="1"/>
          <w:bCs w:val="1"/>
          <w:color w:val="auto"/>
        </w:rPr>
      </w:pPr>
    </w:p>
    <w:p>
      <w:pPr>
        <w:ind w:left="900" w:hanging="446"/>
        <w:spacing w:after="0" w:line="264" w:lineRule="auto"/>
        <w:tabs>
          <w:tab w:leader="none" w:pos="9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to add to our covenants such new covenants, restrictions, conditions or provisions for the protection of the holders, to make the occurrence, or the occurrence and the continuance, of a default in any such additional covenants, restrictions, conditions or provisions an Event of Default, or to surrender any of our rights or powers under the indenture; or</w:t>
      </w:r>
    </w:p>
    <w:p>
      <w:pPr>
        <w:spacing w:after="0" w:line="86" w:lineRule="exact"/>
        <w:rPr>
          <w:rFonts w:ascii="Arial" w:cs="Arial" w:eastAsia="Arial" w:hAnsi="Arial"/>
          <w:sz w:val="18"/>
          <w:szCs w:val="18"/>
          <w:b w:val="1"/>
          <w:bCs w:val="1"/>
          <w:color w:val="auto"/>
        </w:rPr>
      </w:pPr>
    </w:p>
    <w:p>
      <w:pPr>
        <w:ind w:left="900" w:hanging="446"/>
        <w:spacing w:after="0"/>
        <w:tabs>
          <w:tab w:leader="none" w:pos="9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to change anything that does not materially adversely affect the interests of any holder of debt securities of any series.</w:t>
      </w:r>
    </w:p>
    <w:p>
      <w:pPr>
        <w:spacing w:after="0" w:line="117" w:lineRule="exact"/>
        <w:rPr>
          <w:sz w:val="20"/>
          <w:szCs w:val="20"/>
          <w:color w:val="auto"/>
        </w:rPr>
      </w:pPr>
    </w:p>
    <w:p>
      <w:pPr>
        <w:ind w:right="80" w:firstLine="225"/>
        <w:spacing w:after="0" w:line="286" w:lineRule="auto"/>
        <w:rPr>
          <w:sz w:val="20"/>
          <w:szCs w:val="20"/>
          <w:color w:val="auto"/>
        </w:rPr>
      </w:pPr>
      <w:r>
        <w:rPr>
          <w:rFonts w:ascii="Arial" w:cs="Arial" w:eastAsia="Arial" w:hAnsi="Arial"/>
          <w:sz w:val="17"/>
          <w:szCs w:val="17"/>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we and the trustee may make the following changes only with the consent of each holder of any outstanding debt securities affected:</w:t>
      </w:r>
    </w:p>
    <w:p>
      <w:pPr>
        <w:spacing w:after="0" w:line="57"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extending the fixed maturity of the series of debt securities;</w:t>
      </w:r>
    </w:p>
    <w:p>
      <w:pPr>
        <w:spacing w:after="0" w:line="130" w:lineRule="exact"/>
        <w:rPr>
          <w:rFonts w:ascii="Arial" w:cs="Arial" w:eastAsia="Arial" w:hAnsi="Arial"/>
          <w:sz w:val="18"/>
          <w:szCs w:val="18"/>
          <w:b w:val="1"/>
          <w:bCs w:val="1"/>
          <w:color w:val="auto"/>
        </w:rPr>
      </w:pPr>
    </w:p>
    <w:p>
      <w:pPr>
        <w:ind w:left="900" w:right="420" w:hanging="446"/>
        <w:spacing w:after="0" w:line="277" w:lineRule="auto"/>
        <w:tabs>
          <w:tab w:leader="none" w:pos="9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debt securities; or</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reducing the percentage of debt securities, the holders of which are required to consent to any supplemental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indenture provides that there may be more than one trustee under the indenture, each with respect to one or more series of debt securities. If there are different trustees for different series of debt securities, each trustee will be a trustee of a trust under the indenture separate and apart from the trust administered by any other trustee under the indenture. Except as otherwise indicated in this prospectus or any prospectus supplement, any action permitted to be taken by a trustee may be taken by such trustee only with respect to the one or more series of debt securities for which it is the trustee under the indenture. Any trustee under the indenture may resign or be removed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with respect to one or more series of debt securities. All payments of principal of, premium, if any, and interest on, and all registration, transfer, exchange, authentication, and delivery of (including authentication and delivery on original issuance of the debt securities), the debt securities of a series (other than debt securities issued in bearer form) will be effected by the trustee with respect to that series at an office designated by the trustee in New York, New York.</w:t>
      </w:r>
    </w:p>
    <w:p>
      <w:pPr>
        <w:spacing w:after="0" w:line="39" w:lineRule="exact"/>
        <w:rPr>
          <w:sz w:val="20"/>
          <w:szCs w:val="20"/>
          <w:color w:val="auto"/>
        </w:rPr>
      </w:pPr>
    </w:p>
    <w:p>
      <w:pPr>
        <w:ind w:right="80" w:firstLine="222"/>
        <w:spacing w:after="0" w:line="286" w:lineRule="auto"/>
        <w:rPr>
          <w:sz w:val="20"/>
          <w:szCs w:val="20"/>
          <w:color w:val="auto"/>
        </w:rPr>
      </w:pPr>
      <w:r>
        <w:rPr>
          <w:rFonts w:ascii="Arial" w:cs="Arial" w:eastAsia="Arial" w:hAnsi="Arial"/>
          <w:sz w:val="17"/>
          <w:szCs w:val="17"/>
          <w:color w:val="auto"/>
        </w:rPr>
        <w:t>The indenture contains limitations on the right of the trustee, should it become a creditor of our company, to obtain payment of claims in some cases or to realize on certain property received in respect of any such claim as security or otherwise. The trustee may engage in other transactions. If it acquires any conflicting interest relating to any duties with respect to the debt securities, however, it must eliminate the conflict or resign as trustee.</w:t>
      </w:r>
    </w:p>
    <w:p>
      <w:pPr>
        <w:spacing w:after="0" w:line="57" w:lineRule="exact"/>
        <w:rPr>
          <w:sz w:val="20"/>
          <w:szCs w:val="20"/>
          <w:color w:val="auto"/>
        </w:rPr>
      </w:pPr>
    </w:p>
    <w:p>
      <w:pPr>
        <w:ind w:firstLine="222"/>
        <w:spacing w:after="0" w:line="291" w:lineRule="auto"/>
        <w:rPr>
          <w:sz w:val="20"/>
          <w:szCs w:val="20"/>
          <w:color w:val="auto"/>
        </w:rPr>
      </w:pPr>
      <w:r>
        <w:rPr>
          <w:rFonts w:ascii="Arial" w:cs="Arial" w:eastAsia="Arial" w:hAnsi="Arial"/>
          <w:sz w:val="16"/>
          <w:szCs w:val="16"/>
          <w:color w:val="auto"/>
        </w:rPr>
        <w:t>The holders of a majority in aggregate principal amount of any series of debt securities then outstanding will have the right to direct the time, method, and place of conducting any proceeding for exercising any remedy available to the trustee with respect to such series of debt securities, provided that the direction would not conflict with any rule of law or with the indenture, would not be unduly prejudicial to the rights of another holder of the debt securities, and would not involve any trustee in personal liability. The indenture provides that if an Event of Default shall occur and be known to any trustee and not be cured, the trustee must use the same degree of care as a prudent person would use in the conduct of his or her own affairs in the exercise of the trustee’s power. Subject to these provisions, the trustee will be under no obligation to exercise any of its rights or powers under the indenture at the request of any of the holders of the debt securities, unless they shall have offered to the trustee security and indemnity satisfactory to the trustee.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Individual Liability of Incorporators, Shareholders, Officers or Directors</w:t>
      </w:r>
    </w:p>
    <w:p>
      <w:pPr>
        <w:spacing w:after="0" w:line="121"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indenture provides that neither our incorporator nor any of our past, present or future shareholders, officers or directors of our company or any successor corporation in their capacity as such shall have any individual liability for any of our obligations, covenants or agreements under the debt securities or the indenture.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 without regard to conflict of law principles thereof.</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WARRANTS</w:t>
      </w:r>
    </w:p>
    <w:p>
      <w:pPr>
        <w:spacing w:after="0" w:line="121"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We may issue warrants for the purchase of Common Stock, preferred stock, or debt securities. We may issue warrants independently or together with any offered securities. The warrants may be attached to or separate from those offered securities. We will issue the warrants under one or more warrant agreements to be entered into between us and a warrant agent to be named in the applicable prospectus supplement. The warrant agent will act solely as our agent in connection with the warrants and will not assume any obligation or relationship of agency or trust for or with any holders or beneficial owners of warrants.</w:t>
      </w:r>
    </w:p>
    <w:p>
      <w:pPr>
        <w:spacing w:after="0" w:line="80" w:lineRule="exact"/>
        <w:rPr>
          <w:sz w:val="20"/>
          <w:szCs w:val="20"/>
          <w:color w:val="auto"/>
        </w:rPr>
      </w:pPr>
    </w:p>
    <w:p>
      <w:pPr>
        <w:ind w:right="620" w:firstLine="222"/>
        <w:spacing w:after="0" w:line="277" w:lineRule="auto"/>
        <w:rPr>
          <w:sz w:val="20"/>
          <w:szCs w:val="20"/>
          <w:color w:val="auto"/>
        </w:rPr>
      </w:pPr>
      <w:r>
        <w:rPr>
          <w:rFonts w:ascii="Arial" w:cs="Arial" w:eastAsia="Arial" w:hAnsi="Arial"/>
          <w:sz w:val="18"/>
          <w:szCs w:val="18"/>
          <w:color w:val="auto"/>
        </w:rPr>
        <w:t>The prospectus supplement relating to any warrants that we may offer will contain the specific terms of the warrants. These terms may include the following:</w:t>
      </w:r>
    </w:p>
    <w:p>
      <w:pPr>
        <w:spacing w:after="0" w:line="62"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price or prices at which the warrants will be issued;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designation, amount and terms of the securities for which the warrants are exercisable;</w:t>
      </w:r>
    </w:p>
    <w:p>
      <w:pPr>
        <w:spacing w:after="0" w:line="130" w:lineRule="exact"/>
        <w:rPr>
          <w:rFonts w:ascii="Arial" w:cs="Arial" w:eastAsia="Arial" w:hAnsi="Arial"/>
          <w:sz w:val="18"/>
          <w:szCs w:val="18"/>
          <w:b w:val="1"/>
          <w:bCs w:val="1"/>
          <w:color w:val="auto"/>
        </w:rPr>
      </w:pPr>
    </w:p>
    <w:p>
      <w:pPr>
        <w:ind w:left="900" w:right="300" w:hanging="446"/>
        <w:spacing w:after="0" w:line="277" w:lineRule="auto"/>
        <w:tabs>
          <w:tab w:leader="none" w:pos="9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designation and terms of the other securities, if any, with which the warrants are to be issued and the number of warrants issued with each other security;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b w:val="1"/>
          <w:bCs w:val="1"/>
          <w:color w:val="auto"/>
        </w:rPr>
      </w:pPr>
    </w:p>
    <w:p>
      <w:pPr>
        <w:ind w:left="900" w:right="700" w:hanging="446"/>
        <w:spacing w:after="0" w:line="277" w:lineRule="auto"/>
        <w:tabs>
          <w:tab w:leader="none" w:pos="90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any provisions for adjustment of the number or amount of securities receivable upon exercise of the warrants or the exercise price of the warrants;</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price or prices at which the securities purchasable upon exercise of the warrants may be purchased;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if applicable, the date on and after which the warrants and the securities purchasable upon exercise of the warrants will be separately transferable;</w:t>
      </w:r>
    </w:p>
    <w:p>
      <w:pPr>
        <w:spacing w:after="0" w:line="153" w:lineRule="exact"/>
        <w:rPr>
          <w:rFonts w:ascii="Arial" w:cs="Arial" w:eastAsia="Arial" w:hAnsi="Arial"/>
          <w:sz w:val="16"/>
          <w:szCs w:val="16"/>
          <w:b w:val="1"/>
          <w:bCs w:val="1"/>
          <w:color w:val="auto"/>
        </w:rPr>
      </w:pPr>
    </w:p>
    <w:p>
      <w:pPr>
        <w:ind w:left="900" w:hanging="446"/>
        <w:spacing w:after="0"/>
        <w:tabs>
          <w:tab w:leader="none" w:pos="90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 discussion of any material U.S. federal income tax considerations applicable to the exercise of the warrants;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maximum or minimum number of warrants that may be exercised at any time;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information with respect to book-entry procedures, if any; and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any other terms of the warrants, including terms, procedures and limitations relating to the exchange and exercise of the warrants.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right="160" w:firstLine="225"/>
        <w:spacing w:after="0" w:line="271" w:lineRule="auto"/>
        <w:rPr>
          <w:sz w:val="20"/>
          <w:szCs w:val="20"/>
          <w:color w:val="auto"/>
        </w:rPr>
      </w:pPr>
      <w:r>
        <w:rPr>
          <w:rFonts w:ascii="Arial" w:cs="Arial" w:eastAsia="Arial" w:hAnsi="Arial"/>
          <w:sz w:val="17"/>
          <w:szCs w:val="17"/>
          <w:color w:val="auto"/>
        </w:rPr>
        <w:t>Each warrant will entitle the holder of the warrant to purchase for cash the amount of Common Stock, preferred stock or debt securities at the exercise price stated or determinable in the applicable prospectus supplement for the warrants. Warrants may be exercised at any time up to the close of business on the expiration date shown in the applicable prospectus supplement, unless otherwise specified in such prospectus supplement. After the close of business on the expiration date, unexercised warrants will become void. Warrants may be exercised as described in the applicable prospectus supplement. When the warrant holder makes the payment and properly completes and signs the warrant certificate at the corporate trust office of the warrant agent or any other office indicated in the prospectus supplement, we will, as soon as possible, forward the Common Stock, preferred stock or debt securities that the warrant holder has purchased. If the warrant holder exercises the warrant for less than all of the warrants represented by the warrant certificate, we will issue a new warrant certificate for the remaining warrants.</w:t>
      </w:r>
    </w:p>
    <w:p>
      <w:pPr>
        <w:spacing w:after="0" w:line="71"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The description in the applicable prospectus supplement of any warrants we offer will not necessarily be complete and will be qualified in its entirety by reference to the applicable warrant agreement and warrant certificate, which will be filed with the SEC if we offer warrants. For more information on how you can obtain copies of any warrant certificate or warrant agreement if we offer warrants, see “Where You Can Find More Information” beginning on page 18 of this prospectus. We urge you to read the applicable warrant certificate, the applicable warrant agreement, and any applicable prospectus supplement in their entirety.</w:t>
      </w:r>
    </w:p>
    <w:p>
      <w:pPr>
        <w:spacing w:after="0" w:line="292"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may sell the securities offered by this prospectus from time to time in one or more transactions, including without limitation:</w:t>
      </w:r>
    </w:p>
    <w:p>
      <w:pPr>
        <w:spacing w:after="0" w:line="117"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directly to one or more purchasers;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through agents;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to or through underwriters, brokers or dealers; or</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through a combination of any of these methods.</w:t>
      </w:r>
    </w:p>
    <w:p>
      <w:pPr>
        <w:spacing w:after="0" w:line="117" w:lineRule="exact"/>
        <w:rPr>
          <w:sz w:val="20"/>
          <w:szCs w:val="20"/>
          <w:color w:val="auto"/>
        </w:rPr>
      </w:pPr>
    </w:p>
    <w:p>
      <w:pPr>
        <w:ind w:right="200" w:firstLine="215"/>
        <w:spacing w:after="0" w:line="277" w:lineRule="auto"/>
        <w:rPr>
          <w:sz w:val="20"/>
          <w:szCs w:val="20"/>
          <w:color w:val="auto"/>
        </w:rPr>
      </w:pPr>
      <w:r>
        <w:rPr>
          <w:rFonts w:ascii="Arial" w:cs="Arial" w:eastAsia="Arial" w:hAnsi="Arial"/>
          <w:sz w:val="18"/>
          <w:szCs w:val="18"/>
          <w:color w:val="auto"/>
        </w:rPr>
        <w:t>A distribution of the securities offered by this prospectus may also be effected through the issuance of derivative securities, including without limitation, warrants, subscriptions, exchangeable securities, forward delivery contracts, and the writing of options.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addition, the manner in which we may sell some or all of the securities covered by this prospectus includes, without limitation, through:</w:t>
      </w:r>
    </w:p>
    <w:p>
      <w:pPr>
        <w:spacing w:after="0" w:line="117" w:lineRule="exact"/>
        <w:rPr>
          <w:sz w:val="20"/>
          <w:szCs w:val="20"/>
          <w:color w:val="auto"/>
        </w:rPr>
      </w:pPr>
    </w:p>
    <w:p>
      <w:pPr>
        <w:ind w:left="900" w:right="460" w:hanging="446"/>
        <w:spacing w:after="0" w:line="277" w:lineRule="auto"/>
        <w:tabs>
          <w:tab w:leader="none" w:pos="90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 block trade in which a broker-dealer will attempt to sell as agent, but may position or resell a portion of the block, as principal, in order to facilitate the transaction;</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purchases by a broker-dealer, as principal, and resale by the broker-dealer for its account;</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ordinary brokerage transactions and transactions in which a broker solicits purchasers; or</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privately negotiated transactions.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may also enter into hedging transactions. For example, we may:</w:t>
      </w:r>
    </w:p>
    <w:p>
      <w:pPr>
        <w:spacing w:after="0" w:line="117" w:lineRule="exact"/>
        <w:rPr>
          <w:sz w:val="20"/>
          <w:szCs w:val="20"/>
          <w:color w:val="auto"/>
        </w:rPr>
      </w:pPr>
    </w:p>
    <w:p>
      <w:pPr>
        <w:jc w:val="both"/>
        <w:ind w:left="900" w:right="140" w:hanging="446"/>
        <w:spacing w:after="0" w:line="264" w:lineRule="auto"/>
        <w:tabs>
          <w:tab w:leader="none" w:pos="90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enter into transactions with a broker-dealer or affiliate thereof in connection with which such broker-dealer or affiliate will engage in short sales of the Common Stock pursuant to this prospectus, in which case such broker-dealer or affiliate may use shares of Common Stock received from us to close out its short positions;</w:t>
      </w:r>
    </w:p>
    <w:p>
      <w:pPr>
        <w:spacing w:after="0" w:line="86" w:lineRule="exact"/>
        <w:rPr>
          <w:rFonts w:ascii="Arial" w:cs="Arial" w:eastAsia="Arial" w:hAnsi="Arial"/>
          <w:sz w:val="18"/>
          <w:szCs w:val="18"/>
          <w:b w:val="1"/>
          <w:bCs w:val="1"/>
          <w:color w:val="auto"/>
        </w:rPr>
      </w:pPr>
    </w:p>
    <w:p>
      <w:pPr>
        <w:ind w:left="900" w:hanging="446"/>
        <w:spacing w:after="0"/>
        <w:tabs>
          <w:tab w:leader="none" w:pos="90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sell securities short and redeliver such shares to close out our short positions;</w:t>
      </w:r>
    </w:p>
    <w:p>
      <w:pPr>
        <w:spacing w:after="0" w:line="130" w:lineRule="exact"/>
        <w:rPr>
          <w:rFonts w:ascii="Arial" w:cs="Arial" w:eastAsia="Arial" w:hAnsi="Arial"/>
          <w:sz w:val="18"/>
          <w:szCs w:val="18"/>
          <w:b w:val="1"/>
          <w:bCs w:val="1"/>
          <w:color w:val="auto"/>
        </w:rPr>
      </w:pPr>
    </w:p>
    <w:p>
      <w:pPr>
        <w:ind w:left="900" w:right="240" w:hanging="446"/>
        <w:spacing w:after="0" w:line="277" w:lineRule="auto"/>
        <w:tabs>
          <w:tab w:leader="none" w:pos="90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enter into option or other types of transactions that require us to deliver Common Stock to a broker-dealer or an affiliate thereof, who will then resell or transfer the Common Stock under this prospectus; or</w:t>
      </w:r>
    </w:p>
    <w:p>
      <w:pPr>
        <w:spacing w:after="0" w:line="75" w:lineRule="exact"/>
        <w:rPr>
          <w:rFonts w:ascii="Arial" w:cs="Arial" w:eastAsia="Arial" w:hAnsi="Arial"/>
          <w:sz w:val="18"/>
          <w:szCs w:val="18"/>
          <w:b w:val="1"/>
          <w:bCs w:val="1"/>
          <w:color w:val="auto"/>
        </w:rPr>
      </w:pPr>
    </w:p>
    <w:p>
      <w:pPr>
        <w:ind w:left="900" w:right="140" w:hanging="446"/>
        <w:spacing w:after="0" w:line="277" w:lineRule="auto"/>
        <w:tabs>
          <w:tab w:leader="none" w:pos="90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loan or pledge the Common Stock to a broker-dealer or an affiliate thereof, who may sell the loaned shares or, in an Event of Default in the case of a pledge, sell the pledged shares pursuant to this prospectus.</w:t>
      </w:r>
    </w:p>
    <w:p>
      <w:pPr>
        <w:spacing w:after="0" w:line="62"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 applicable prospectus supplement or pricing supplement, as the case may be. If so, the third party may use securities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 or pricing supplement, as the case may be.</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prospectus supplement with respect to each offering of securities will state the terms of the offering of the securities, including:</w:t>
      </w:r>
    </w:p>
    <w:p>
      <w:pPr>
        <w:spacing w:after="0" w:line="117"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name or names of any underwriters or agents and the amounts of securities underwritten or purchased by each of them, if any;</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public offering price or purchase price of the securities and the net proceeds to be received by us from the sale;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any delayed delivery arrangements;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any securities exchange or markets on which the securities may be listed.</w:t>
      </w:r>
    </w:p>
    <w:p>
      <w:pPr>
        <w:spacing w:after="0" w:line="117"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offer and sale of the securities described in this prospectus by us, the underwriters or the third parties described above may be effected from time to time in one or more transactions, including privately negotiated transactions, either:</w:t>
      </w:r>
    </w:p>
    <w:p>
      <w:pPr>
        <w:spacing w:after="0" w:line="62"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at prices related to the prevailing market prices; or</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at negotiated prices.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firstLine="215"/>
        <w:spacing w:after="0" w:line="255" w:lineRule="auto"/>
        <w:rPr>
          <w:sz w:val="20"/>
          <w:szCs w:val="20"/>
          <w:color w:val="auto"/>
        </w:rPr>
      </w:pPr>
      <w:r>
        <w:rPr>
          <w:rFonts w:ascii="Arial" w:cs="Arial" w:eastAsia="Arial" w:hAnsi="Arial"/>
          <w:sz w:val="18"/>
          <w:szCs w:val="18"/>
          <w:color w:val="auto"/>
        </w:rPr>
        <w:t>Any public offering price and any discounts, commissions, concessions, or other items constituting compensation allowed or reallowed or paid to underwriters, dealers, agents, or remarketing firms may be changed from time to time. Underwriters, dealers, agents, and remarketing firms that participate in the distribution of the offered securities may be “underwriters” as defined in the Securities Act. Any discounts or commissions they receive from us and any profits they receive on the resale of the offered securities may be treated as underwriting discounts and commissions under the Securities Act. We will identify any underwriters, agents or dealers and describe their commissions, fees, or discounts in the applicable prospectus supplement or pricing supplement, as the case may be.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and Agents</w:t>
      </w:r>
    </w:p>
    <w:p>
      <w:pPr>
        <w:spacing w:after="0" w:line="121"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If underwriters are used in a sale, they will acquire the offered securities for their own account. The underwriters may resell the offered securities in one or more transactions, including negotiated transactions. These sales may be made at a fixed public offering price or prices, which may be changed, at market prices prevailing at the time of the sale, at prices related to such prevailing market price or at negotiated prices. We may offer the securities to the public through an underwriting syndicate or through a single underwriter. The underwriters in any particular offering will be mentioned in the applicable prospectus supplement or pricing supplement, as the case may be.</w:t>
      </w:r>
    </w:p>
    <w:p>
      <w:pPr>
        <w:spacing w:after="0" w:line="80"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Unless otherwise specified in connection with any particular offering of securities, the obligations of the underwriters to purchase the offered securities will be subject to certain conditions contained in an underwriting agreement that we will enter into with the underwriters at the time of the sale to them. The underwriters will be obligated to purchase all of the securities of the series offered if any of the securities are purchased, unless otherwise specified in connection with any particular offering of securities. Any initial offering price and any discounts or concessions allowed, reallowed, or paid to dealers may be changed from time to time.</w:t>
      </w:r>
    </w:p>
    <w:p>
      <w:pPr>
        <w:spacing w:after="0" w:line="80"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may designate agents to sell the offered securities. Unless otherwise specified in connection with any particular offering of securities, the agents will agree to use their best efforts to solicit purchases for the period of their appointment. We may also sell the offered securities to one or more remarketing firms, acting as principals for their own accounts or as agents for us. These firms will remarket the offered securities upon purchasing them in accordance with a redemption or repayment pursuant to the terms of the offered securities. A prospectus supplement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or pricing supplement, as the case may be will identify any remarketing firm and will describe the terms of its agreement, if any, with us and its compensation.</w:t>
      </w:r>
    </w:p>
    <w:p>
      <w:pPr>
        <w:spacing w:after="0" w:line="62" w:lineRule="exact"/>
        <w:rPr>
          <w:sz w:val="20"/>
          <w:szCs w:val="20"/>
          <w:color w:val="auto"/>
        </w:rPr>
      </w:pPr>
    </w:p>
    <w:p>
      <w:pPr>
        <w:ind w:right="200" w:firstLine="225"/>
        <w:spacing w:after="0" w:line="257" w:lineRule="auto"/>
        <w:rPr>
          <w:sz w:val="20"/>
          <w:szCs w:val="20"/>
          <w:color w:val="auto"/>
        </w:rPr>
      </w:pPr>
      <w:r>
        <w:rPr>
          <w:rFonts w:ascii="Arial" w:cs="Arial" w:eastAsia="Arial" w:hAnsi="Arial"/>
          <w:sz w:val="18"/>
          <w:szCs w:val="18"/>
          <w:color w:val="auto"/>
        </w:rPr>
        <w:t>In connection with offerings made through underwriters or agents, we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under these arrangements to close out any related open borrowings of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Dealers</w:t>
      </w:r>
    </w:p>
    <w:p>
      <w:pPr>
        <w:spacing w:after="0" w:line="121"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We may sell the offered securities to dealers as principals. We may negotiate and pay dealers’ commissions, discounts, or concessions for their services. The dealer may then resell such securities to the public either at varying prices to be determined by the dealer or at a fixed offering price agreed to with us at the time of resale. Dealers engaged by us may allow other dealers to participate in resales.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may choose to sell the offered securities directly. In this case, no underwriters or agents would be involved.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Institutional Purchasers</w:t>
      </w:r>
    </w:p>
    <w:p>
      <w:pPr>
        <w:spacing w:after="0" w:line="121" w:lineRule="exact"/>
        <w:rPr>
          <w:sz w:val="20"/>
          <w:szCs w:val="20"/>
          <w:color w:val="auto"/>
        </w:rPr>
      </w:pPr>
    </w:p>
    <w:p>
      <w:pPr>
        <w:ind w:firstLine="222"/>
        <w:spacing w:after="0" w:line="312" w:lineRule="auto"/>
        <w:rPr>
          <w:sz w:val="20"/>
          <w:szCs w:val="20"/>
          <w:color w:val="auto"/>
        </w:rPr>
      </w:pPr>
      <w:r>
        <w:rPr>
          <w:rFonts w:ascii="Arial" w:cs="Arial" w:eastAsia="Arial" w:hAnsi="Arial"/>
          <w:sz w:val="16"/>
          <w:szCs w:val="16"/>
          <w:color w:val="auto"/>
        </w:rPr>
        <w:t>We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or pricing supplement, as the case may be will provide the details of any such arrangement, including the offering price and commissions payable on the solicitations.</w:t>
      </w:r>
    </w:p>
    <w:p>
      <w:pPr>
        <w:spacing w:after="0" w:line="39"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We will enter into such delayed contracts only with institutional purchasers that we approve. These institutions may include commercial and savings banks, insurance companies, pension funds, investment companies, and educational and charitable institutions.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Other Relationships</w:t>
      </w:r>
    </w:p>
    <w:p>
      <w:pPr>
        <w:spacing w:after="0" w:line="121" w:lineRule="exact"/>
        <w:rPr>
          <w:sz w:val="20"/>
          <w:szCs w:val="20"/>
          <w:color w:val="auto"/>
        </w:rPr>
      </w:pPr>
    </w:p>
    <w:p>
      <w:pPr>
        <w:ind w:right="20" w:firstLine="222"/>
        <w:spacing w:after="0" w:line="286" w:lineRule="auto"/>
        <w:rPr>
          <w:sz w:val="20"/>
          <w:szCs w:val="20"/>
          <w:color w:val="auto"/>
        </w:rPr>
      </w:pPr>
      <w:r>
        <w:rPr>
          <w:rFonts w:ascii="Arial" w:cs="Arial" w:eastAsia="Arial" w:hAnsi="Arial"/>
          <w:sz w:val="17"/>
          <w:szCs w:val="17"/>
          <w:color w:val="auto"/>
        </w:rPr>
        <w:t>We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Market-Making, Stabilization and Other Transactions</w:t>
      </w:r>
    </w:p>
    <w:p>
      <w:pPr>
        <w:spacing w:after="0" w:line="121" w:lineRule="exact"/>
        <w:rPr>
          <w:sz w:val="20"/>
          <w:szCs w:val="20"/>
          <w:color w:val="auto"/>
        </w:rPr>
      </w:pPr>
    </w:p>
    <w:p>
      <w:pPr>
        <w:ind w:right="100" w:firstLine="222"/>
        <w:spacing w:after="0" w:line="254" w:lineRule="auto"/>
        <w:rPr>
          <w:sz w:val="20"/>
          <w:szCs w:val="20"/>
          <w:color w:val="auto"/>
        </w:rPr>
      </w:pPr>
      <w:r>
        <w:rPr>
          <w:rFonts w:ascii="Arial" w:cs="Arial" w:eastAsia="Arial" w:hAnsi="Arial"/>
          <w:sz w:val="18"/>
          <w:szCs w:val="18"/>
          <w:color w:val="auto"/>
        </w:rPr>
        <w:t>There is currently no market for any of the offered securities, other than the Common Stock which is listed on the NASDAQ Global Select Market. If the offered securities are traded after their initial issuance, they may trade at a discount from their initial offering price, depending upon prevailing interest rates, the market for similar securities and other factors. While it is possible that an underwriter could inform us that it intends to make a market in the offered securities, such underwriter would not be obligated to do so, and any such market-making could be discontinued at any time without notice. Therefore, no assurance can be given as to whether an active trading market will develop for the offered securities. We have no current plans for listing of the debt securities, preferred stock, or warrants on any securities exchange or on the National Association of Securities Dealers, Inc. automated quotation system; any such listing with respect to any particular debt securities, preferred stock, or warrants will be described in the applicable prospectus supplement or pricing supplement, as the case may be.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In connection with any offering of Common Stock, the underwriters may purchase and sell shares of Common Stock in the open market. These transactions may include short sales, syndicate covering transactions, and stabilizing transactions. Short sales involve syndicate sales of Common Stock in excess of the number of shares to be purchased by the underwriters in the offering, which creates a syndicate short position. “Covered” short sales are sales of shares made in an amount up to the number of shares represented by the underwriters’ over-allotment option. In determining the source of shares to close out the covered syndicate short position, the underwriters will consider, among other things, the price of shares available for purchase in the open market as compared to the price at which they may purchase shares through the over-allotment option. Transactions to close out the covered syndicate short involve either purchases of the Common Stock in the open market after the distribution has been completed or the exercise of the over-allotment option. The underwriters may also make “naked” short sales of shares in excess of the over-allotment option. The underwriters must close out any naked short position by purchasing shares of Common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bids for or purchases of shares in the open market while the offering is in progress for the purpose of pegging, fixing, or maintaining the price of the securities.</w:t>
      </w:r>
    </w:p>
    <w:p>
      <w:pPr>
        <w:spacing w:after="0" w:line="72"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In connection with any offering, the underwriters may also engage in penalty bids. 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Commissions</w:t>
      </w:r>
    </w:p>
    <w:p>
      <w:pPr>
        <w:spacing w:after="0" w:line="121"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In compliance with the guidelines of the Financial Industry Regulatory Authority (the “FINRA”), the aggregate maximum discount, commission, or agency fees or other items constituting underwriting compensation to be received by any FINRA member or independent broker-dealer will not exceed 8% of any offering pursuant to this prospectus and any applicable prospectus supplement or pricing supplement, as the case may be; however, it is anticipated that the maximum commission or discount to be received in any particular offering of securities will be significantly less than this amount.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180" w:firstLine="225"/>
        <w:spacing w:after="0" w:line="312" w:lineRule="auto"/>
        <w:rPr>
          <w:sz w:val="20"/>
          <w:szCs w:val="20"/>
          <w:color w:val="auto"/>
        </w:rPr>
      </w:pPr>
      <w:r>
        <w:rPr>
          <w:rFonts w:ascii="Arial" w:cs="Arial" w:eastAsia="Arial" w:hAnsi="Arial"/>
          <w:sz w:val="16"/>
          <w:szCs w:val="16"/>
          <w:color w:val="auto"/>
        </w:rPr>
        <w:t>Unless otherwise indicated in the applicable prospectus supplement, Skadden, Arps, Slate, Meagher &amp; Flom LLP, New York, New York will provide opinions regarding the authorization and validity of the securities. Skadden, Arps, Slate, Meagher &amp; Flom LLP may also provide opinions regarding certain other matters. Any underwriters will also be advised about legal matters by their own counsel, which will be named in the prospectus supplement.</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2009 have been so incorporated in reliance on the report of PricewaterhouseCoopers LLP, an independent registered public accounting firm, given on the authority of said firm as experts in auditing and accounting.</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20" w:firstLine="222"/>
        <w:spacing w:after="0" w:line="290" w:lineRule="auto"/>
        <w:rPr>
          <w:sz w:val="20"/>
          <w:szCs w:val="20"/>
          <w:color w:val="auto"/>
        </w:rPr>
      </w:pPr>
      <w:r>
        <w:rPr>
          <w:rFonts w:ascii="Arial" w:cs="Arial" w:eastAsia="Arial" w:hAnsi="Arial"/>
          <w:sz w:val="16"/>
          <w:szCs w:val="16"/>
          <w:color w:val="auto"/>
        </w:rPr>
        <w:t>This prospectus, any accompanying prospectus supplements, and the documents incorporated by reference contain forward-looking statements that involve risks and uncertainties relating to future events and the future financial performance of Regeneron Pharmaceuticals, Inc., and actual events or results may differ materially. These statements concern, among other things, the possible success and therapeutic applications of our product candidates and research programs, the commercial success of our marketed product, the timing and nature of the clinical and research programs now underway or planned, and the future sources and uses of capital and our financial needs. These statements are made by us based on management’s current beliefs and judgment. In evaluating such statements, shareholders and potential investors should specifically consider the various factors identified under the caption “Risk Factors”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280" w:firstLine="222"/>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under the Exchange Act. You may inspect without charge any documents filed by us at the SEC’s Public Reference Room at 100 F Street, N.E., Room 1580, Washington, D.C. 20549. You may obtain information on the operation of the Public Reference Room by calling the SEC at 1-800-SEC-0330. The SEC also maintains an Internet site, </w:t>
      </w:r>
      <w:r>
        <w:rPr>
          <w:rFonts w:ascii="Arial" w:cs="Arial" w:eastAsia="Arial" w:hAnsi="Arial"/>
          <w:sz w:val="18"/>
          <w:szCs w:val="18"/>
          <w:i w:val="1"/>
          <w:iCs w:val="1"/>
          <w:color w:val="auto"/>
        </w:rPr>
        <w:t>www.sec.gov</w:t>
      </w:r>
      <w:r>
        <w:rPr>
          <w:rFonts w:ascii="Arial" w:cs="Arial" w:eastAsia="Arial" w:hAnsi="Arial"/>
          <w:sz w:val="18"/>
          <w:szCs w:val="18"/>
          <w:color w:val="auto"/>
        </w:rPr>
        <w:t>, that contains reports, proxy and information statements, and other information regarding issuers that file electronically with the SEC, including Regeneron Pharmaceuticals, Inc.</w:t>
      </w:r>
    </w:p>
    <w:p>
      <w:pPr>
        <w:spacing w:after="0" w:line="80"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 SEC allows us to “incorporate by reference” information into this prospectus and any accompanying prospectus supplement, which means that we can disclose important information to you by referring you to other documents filed separately with the SEC. The information incorporated by reference is considered part of this prospectus, and information filed with the SEC subsequent to this prospectus and prior to the termination of the particular offering referred to in such prospectus supplement will automatically be deemed to update and supersede this information. We incorporate by reference into this prospectus and any accompanying prospectus supplement the documents listed below (excluding any portions of such documents that have been “furnished” but not “filed” for purposes of the Exchange Act):</w:t>
      </w:r>
    </w:p>
    <w:p>
      <w:pPr>
        <w:spacing w:after="0" w:line="85" w:lineRule="exact"/>
        <w:rPr>
          <w:sz w:val="20"/>
          <w:szCs w:val="20"/>
          <w:color w:val="auto"/>
        </w:rPr>
      </w:pPr>
    </w:p>
    <w:p>
      <w:pPr>
        <w:ind w:left="5620" w:right="2760" w:hanging="5166"/>
        <w:spacing w:after="0" w:line="496" w:lineRule="auto"/>
        <w:tabs>
          <w:tab w:leader="none" w:pos="896"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Our Annual Report on Form 10-K for the fiscal year ended December 31, 2009, filed on February 18, 2010.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900" w:right="140" w:hanging="446"/>
        <w:spacing w:after="0" w:line="277" w:lineRule="auto"/>
        <w:tabs>
          <w:tab w:leader="none" w:pos="90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Our Quarterly Reports on Form 10-Q for the quarterly period ended March 31, 2010, filed on April 29, 2010, and for the quarterly period ended June 30, 2010, filed on July 28, 2010.</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Our Current Reports on Form 8-K, filed on February 16, 2010, May 13, 2010, June 10, 2010, June 14, 2010 and July 29, 2010.</w:t>
      </w:r>
    </w:p>
    <w:p>
      <w:pPr>
        <w:spacing w:after="0" w:line="130" w:lineRule="exact"/>
        <w:rPr>
          <w:rFonts w:ascii="Arial" w:cs="Arial" w:eastAsia="Arial" w:hAnsi="Arial"/>
          <w:sz w:val="18"/>
          <w:szCs w:val="18"/>
          <w:b w:val="1"/>
          <w:bCs w:val="1"/>
          <w:color w:val="auto"/>
        </w:rPr>
      </w:pPr>
    </w:p>
    <w:p>
      <w:pPr>
        <w:ind w:left="900" w:right="40" w:hanging="446"/>
        <w:spacing w:after="0" w:line="277" w:lineRule="auto"/>
        <w:tabs>
          <w:tab w:leader="none" w:pos="90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The description of our common stock set forth in a Registration Statement on Form 8-A, including any amendment or report filed for the purpose of updating such description (filing date October 15, 1996: Commission File No. 000-19034).</w:t>
      </w:r>
    </w:p>
    <w:p>
      <w:pPr>
        <w:spacing w:after="0" w:line="62"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We also incorporate by reference any future filings made with the SEC pursuant to Sections 13(a), 13(c), 14 or 15(d) of the Exchange Act between the date of this prospectus and the date all of the securities offered hereby are sold or the offering is otherwise terminated, with the exception of any information furnished under Item 2.02 and Item 7.01 of Form 8-K, which is not deemed filed and which is not incorporated by reference herein. Any such filings shall be deemed to be incorporated by reference and to be a part of this prospectus from the respective dates of filing of those documents.</w:t>
      </w:r>
    </w:p>
    <w:p>
      <w:pPr>
        <w:spacing w:after="0" w:line="63" w:lineRule="exact"/>
        <w:rPr>
          <w:sz w:val="20"/>
          <w:szCs w:val="20"/>
          <w:color w:val="auto"/>
        </w:rPr>
      </w:pPr>
    </w:p>
    <w:p>
      <w:pPr>
        <w:jc w:val="both"/>
        <w:ind w:right="140" w:firstLine="222"/>
        <w:spacing w:after="0" w:line="264" w:lineRule="auto"/>
        <w:rPr>
          <w:sz w:val="20"/>
          <w:szCs w:val="20"/>
          <w:color w:val="auto"/>
        </w:rPr>
      </w:pPr>
      <w:r>
        <w:rPr>
          <w:rFonts w:ascii="Arial" w:cs="Arial" w:eastAsia="Arial" w:hAnsi="Arial"/>
          <w:sz w:val="18"/>
          <w:szCs w:val="18"/>
          <w:color w:val="auto"/>
        </w:rPr>
        <w:t>We will provide without charge upon written or oral request to each person, including any beneficial owner, to whom a prospectus is delivered, a copy of any and all of the documents which are incorporated by reference into this prospectus but not delivered with this prospectus (other than exhibits unless such exhibits are specifically incorporated by reference in such documents).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You may request a copy of these documents by writing or telephoning us at:</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Investor Relations Department</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Regeneron Pharmaceuticals, Inc.</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Tarrytown, New York 10591</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40" w:type="dxa"/>
            <w:vAlign w:val="bottom"/>
          </w:tcPr>
          <w:p>
            <w:pPr>
              <w:ind w:left="5380"/>
              <w:spacing w:after="0"/>
              <w:rPr>
                <w:sz w:val="20"/>
                <w:szCs w:val="20"/>
                <w:color w:val="auto"/>
              </w:rPr>
            </w:pPr>
            <w:r>
              <w:rPr>
                <w:rFonts w:ascii="Arial" w:cs="Arial" w:eastAsia="Arial" w:hAnsi="Arial"/>
                <w:sz w:val="18"/>
                <w:szCs w:val="18"/>
                <w:b w:val="1"/>
                <w:bCs w:val="1"/>
                <w:color w:val="auto"/>
              </w:rPr>
              <w:t>PART II</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24"/>
        </w:trPr>
        <w:tc>
          <w:tcPr>
            <w:tcW w:w="10440" w:type="dxa"/>
            <w:vAlign w:val="bottom"/>
          </w:tcPr>
          <w:p>
            <w:pPr>
              <w:ind w:left="3580"/>
              <w:spacing w:after="0"/>
              <w:rPr>
                <w:sz w:val="20"/>
                <w:szCs w:val="20"/>
                <w:color w:val="auto"/>
              </w:rPr>
            </w:pPr>
            <w:r>
              <w:rPr>
                <w:rFonts w:ascii="Arial" w:cs="Arial" w:eastAsia="Arial" w:hAnsi="Arial"/>
                <w:sz w:val="18"/>
                <w:szCs w:val="18"/>
                <w:b w:val="1"/>
                <w:bCs w:val="1"/>
                <w:color w:val="auto"/>
              </w:rPr>
              <w:t>INFORMATION NOT REQUIRED IN PROSPECTUS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32"/>
        </w:trPr>
        <w:tc>
          <w:tcPr>
            <w:tcW w:w="10440" w:type="dxa"/>
            <w:vAlign w:val="bottom"/>
          </w:tcPr>
          <w:p>
            <w:pPr>
              <w:spacing w:after="0"/>
              <w:rPr>
                <w:sz w:val="20"/>
                <w:szCs w:val="20"/>
                <w:color w:val="auto"/>
              </w:rPr>
            </w:pPr>
            <w:r>
              <w:rPr>
                <w:rFonts w:ascii="Arial" w:cs="Arial" w:eastAsia="Arial" w:hAnsi="Arial"/>
                <w:sz w:val="18"/>
                <w:szCs w:val="18"/>
                <w:b w:val="1"/>
                <w:bCs w:val="1"/>
                <w:color w:val="auto"/>
              </w:rPr>
              <w:t>Item 14. Other Expenses of Issuance and Distribution.</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4"/>
        </w:trPr>
        <w:tc>
          <w:tcPr>
            <w:tcW w:w="10440" w:type="dxa"/>
            <w:vAlign w:val="bottom"/>
          </w:tcPr>
          <w:p>
            <w:pPr>
              <w:ind w:left="220"/>
              <w:spacing w:after="0"/>
              <w:rPr>
                <w:sz w:val="20"/>
                <w:szCs w:val="20"/>
                <w:color w:val="auto"/>
              </w:rPr>
            </w:pPr>
            <w:r>
              <w:rPr>
                <w:rFonts w:ascii="Arial" w:cs="Arial" w:eastAsia="Arial" w:hAnsi="Arial"/>
                <w:sz w:val="18"/>
                <w:szCs w:val="18"/>
                <w:color w:val="auto"/>
                <w:w w:val="95"/>
              </w:rPr>
              <w:t>The expenses relating to the registration of the securities will be borne by the registrant. Such expenses are estimated to be as follows: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42"/>
        </w:trPr>
        <w:tc>
          <w:tcPr>
            <w:tcW w:w="10440" w:type="dxa"/>
            <w:vAlign w:val="bottom"/>
          </w:tcPr>
          <w:p>
            <w:pPr>
              <w:spacing w:after="0"/>
              <w:rPr>
                <w:sz w:val="24"/>
                <w:szCs w:val="2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to</w:t>
            </w:r>
          </w:p>
        </w:tc>
      </w:tr>
      <w:tr>
        <w:trPr>
          <w:trHeight w:val="171"/>
        </w:trPr>
        <w:tc>
          <w:tcPr>
            <w:tcW w:w="10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be paid*</w:t>
            </w:r>
          </w:p>
        </w:tc>
        <w:tc>
          <w:tcPr>
            <w:tcW w:w="280" w:type="dxa"/>
            <w:vAlign w:val="bottom"/>
          </w:tcPr>
          <w:p>
            <w:pPr>
              <w:spacing w:after="0"/>
              <w:rPr>
                <w:sz w:val="14"/>
                <w:szCs w:val="14"/>
                <w:color w:val="auto"/>
              </w:rPr>
            </w:pPr>
          </w:p>
        </w:tc>
      </w:tr>
      <w:tr>
        <w:trPr>
          <w:trHeight w:val="210"/>
        </w:trPr>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100,000</w:t>
            </w:r>
          </w:p>
        </w:tc>
      </w:tr>
      <w:tr>
        <w:trPr>
          <w:trHeight w:val="216"/>
        </w:trPr>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100,000</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Printing Expenses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r>
      <w:tr>
        <w:trPr>
          <w:trHeight w:val="216"/>
        </w:trPr>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Trustees’ Fees and Expenses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Stock Exchange Listing Fee</w:t>
            </w:r>
          </w:p>
        </w:tc>
        <w:tc>
          <w:tcPr>
            <w:tcW w:w="100" w:type="dxa"/>
            <w:vAlign w:val="bottom"/>
          </w:tcPr>
          <w:p>
            <w:pPr>
              <w:spacing w:after="0"/>
              <w:rPr>
                <w:sz w:val="18"/>
                <w:szCs w:val="18"/>
                <w:color w:val="auto"/>
              </w:rPr>
            </w:pPr>
          </w:p>
        </w:tc>
        <w:tc>
          <w:tcPr>
            <w:tcW w:w="88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Rating Agency Fees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200,000</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Miscellaneous Expenses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80,000</w:t>
            </w:r>
          </w:p>
        </w:tc>
      </w:tr>
      <w:tr>
        <w:trPr>
          <w:trHeight w:val="223"/>
        </w:trPr>
        <w:tc>
          <w:tcPr>
            <w:tcW w:w="10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r>
      <w:tr>
        <w:trPr>
          <w:trHeight w:val="216"/>
        </w:trPr>
        <w:tc>
          <w:tcPr>
            <w:tcW w:w="10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580,000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20" w:hanging="452"/>
        <w:spacing w:after="0" w:line="286"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Since an indeterminate amount of securities is covered by this registration statement, the expenses in connection with the issuance and distribution of the securities are not currently determinable. The amounts shown are estimates of expenses payable by us in connection with the filing of this registration statement and one offering of securities hereunder, but do not limit the amount of securities that may be offered.</w:t>
      </w:r>
    </w:p>
    <w:p>
      <w:pPr>
        <w:spacing w:after="0" w:line="17"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Deferred in accordance with Rule 456(b) and Rule 457(r) of the Securities Act.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listing fee is based upon the principal amount of securities listed, if any, and is therefore not currently determinable.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right="40" w:firstLine="215"/>
        <w:spacing w:after="0" w:line="264" w:lineRule="auto"/>
        <w:rPr>
          <w:sz w:val="20"/>
          <w:szCs w:val="20"/>
          <w:color w:val="auto"/>
        </w:rPr>
      </w:pPr>
      <w:r>
        <w:rPr>
          <w:rFonts w:ascii="Arial" w:cs="Arial" w:eastAsia="Arial" w:hAnsi="Arial"/>
          <w:sz w:val="18"/>
          <w:szCs w:val="18"/>
          <w:color w:val="auto"/>
        </w:rPr>
        <w:t>Article VII of our Restated Certificate of Incorporation provides that, to the fullest extent permitted under the New York Business Corporation Law, no director or officer of our company shall be personally liable to the company or its shareholders for monetary damages for any breach of fiduciary duty in such capacity.</w:t>
      </w:r>
    </w:p>
    <w:p>
      <w:pPr>
        <w:spacing w:after="0" w:line="73"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Section 722 of the New York Business Corporation Law permits a corporation to provide for the indemnification of the members of its board of directors and its officers against actions or proceedings, or the threat thereof, by or in the right of the corporation. In order to receive indemnification, such director or officer must have (i) acted in good faith for a purpose which he reasonably believed was in the best interest of the corporation, and (ii) in the case of a criminal proceeding, also had no reasonable belief that such conduct was unlawful.</w:t>
      </w:r>
    </w:p>
    <w:p>
      <w:pPr>
        <w:spacing w:after="0" w:line="79" w:lineRule="exact"/>
        <w:rPr>
          <w:sz w:val="20"/>
          <w:szCs w:val="20"/>
          <w:color w:val="auto"/>
        </w:rPr>
      </w:pPr>
    </w:p>
    <w:p>
      <w:pPr>
        <w:ind w:right="160" w:firstLine="215"/>
        <w:spacing w:after="0" w:line="286" w:lineRule="auto"/>
        <w:rPr>
          <w:sz w:val="20"/>
          <w:szCs w:val="20"/>
          <w:color w:val="auto"/>
        </w:rPr>
      </w:pPr>
      <w:r>
        <w:rPr>
          <w:rFonts w:ascii="Arial" w:cs="Arial" w:eastAsia="Arial" w:hAnsi="Arial"/>
          <w:sz w:val="17"/>
          <w:szCs w:val="17"/>
          <w:color w:val="auto"/>
        </w:rPr>
        <w:t>Article IV of our By-Laws provides that the directors and certain other personnel of our company shall be indemnified against expenses and certain other liabilities arising out of legal actions brought or threatened against them for their conduct on behalf of our company, subject to certain qualifications and provided that each such person acted in good faith and in a manner that they reasonably believed was in our best interest.</w:t>
      </w:r>
    </w:p>
    <w:p>
      <w:pPr>
        <w:spacing w:after="0" w:line="57"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or otherwise, we have been informed that in the opinion of the SEC such indemnification is against public policy as expressed in the Securities Act and is therefore unenforceable.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20" w:firstLine="222"/>
        <w:spacing w:after="0" w:line="264" w:lineRule="auto"/>
        <w:rPr>
          <w:sz w:val="20"/>
          <w:szCs w:val="20"/>
          <w:color w:val="auto"/>
        </w:rPr>
      </w:pPr>
      <w:r>
        <w:rPr>
          <w:rFonts w:ascii="Arial" w:cs="Arial" w:eastAsia="Arial" w:hAnsi="Arial"/>
          <w:sz w:val="18"/>
          <w:szCs w:val="18"/>
          <w:color w:val="auto"/>
        </w:rPr>
        <w:t>We have agreements with some of our directors which provide that we will indemnify them to the fullest extent permitted by the New York Business Corporation Law. We maintain directors’ and officers’ liability insurance which insures against liabilities that our directors or officers may incur in such capacities.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Exhibits to this registration statement are listed in the Index to Exhibits on page II-6 and are incorporated by reference herein.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(A)(1) To file, during any period in which offers or sales are being made, a post-effective amendment to this registration statement:</w:t>
      </w:r>
    </w:p>
    <w:p>
      <w:pPr>
        <w:spacing w:after="0" w:line="117" w:lineRule="exact"/>
        <w:rPr>
          <w:sz w:val="20"/>
          <w:szCs w:val="20"/>
          <w:color w:val="auto"/>
        </w:rPr>
      </w:pPr>
    </w:p>
    <w:p>
      <w:pPr>
        <w:ind w:left="220" w:hanging="212"/>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firstLine="8"/>
        <w:spacing w:after="0" w:line="273" w:lineRule="auto"/>
        <w:tabs>
          <w:tab w:leader="none" w:pos="262"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(iii)To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(A)(1)(ii) and (A)(1)(iii)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79" w:lineRule="exact"/>
        <w:rPr>
          <w:sz w:val="20"/>
          <w:szCs w:val="20"/>
          <w:color w:val="auto"/>
        </w:rPr>
      </w:pPr>
    </w:p>
    <w:p>
      <w:pPr>
        <w:jc w:val="both"/>
        <w:ind w:right="140" w:firstLine="8"/>
        <w:spacing w:after="0" w:line="342" w:lineRule="auto"/>
        <w:tabs>
          <w:tab w:leader="none" w:pos="252"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5" w:lineRule="exact"/>
        <w:rPr>
          <w:rFonts w:ascii="Arial" w:cs="Arial" w:eastAsia="Arial" w:hAnsi="Arial"/>
          <w:sz w:val="16"/>
          <w:szCs w:val="16"/>
          <w:color w:val="auto"/>
        </w:rPr>
      </w:pPr>
    </w:p>
    <w:p>
      <w:pPr>
        <w:ind w:right="100" w:firstLine="8"/>
        <w:spacing w:after="0" w:line="277" w:lineRule="auto"/>
        <w:tabs>
          <w:tab w:leader="none" w:pos="2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17" w:lineRule="exact"/>
        <w:rPr>
          <w:rFonts w:ascii="Arial" w:cs="Arial" w:eastAsia="Arial" w:hAnsi="Arial"/>
          <w:sz w:val="18"/>
          <w:szCs w:val="18"/>
          <w:color w:val="auto"/>
        </w:rPr>
      </w:pPr>
    </w:p>
    <w:p>
      <w:pPr>
        <w:ind w:left="240" w:right="600" w:hanging="4"/>
        <w:spacing w:after="0" w:line="277" w:lineRule="auto"/>
        <w:tabs>
          <w:tab w:leader="none" w:pos="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jc w:val="both"/>
        <w:ind w:left="240" w:right="100" w:hanging="4"/>
        <w:spacing w:after="0" w:line="276" w:lineRule="auto"/>
        <w:tabs>
          <w:tab w:leader="none" w:pos="45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20"/>
        <w:spacing w:after="0" w:line="255" w:lineRule="auto"/>
        <w:rPr>
          <w:sz w:val="20"/>
          <w:szCs w:val="20"/>
          <w:color w:val="auto"/>
        </w:rPr>
      </w:pPr>
      <w:r>
        <w:rPr>
          <w:rFonts w:ascii="Arial" w:cs="Arial" w:eastAsia="Arial" w:hAnsi="Arial"/>
          <w:sz w:val="18"/>
          <w:szCs w:val="18"/>
          <w:color w:val="auto"/>
        </w:rPr>
        <w:t>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85" w:lineRule="exact"/>
        <w:rPr>
          <w:sz w:val="20"/>
          <w:szCs w:val="20"/>
          <w:color w:val="auto"/>
        </w:rPr>
      </w:pPr>
    </w:p>
    <w:p>
      <w:pPr>
        <w:ind w:right="40" w:firstLine="8"/>
        <w:spacing w:after="0" w:line="302" w:lineRule="auto"/>
        <w:tabs>
          <w:tab w:leader="none" w:pos="252"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46" w:lineRule="exact"/>
        <w:rPr>
          <w:rFonts w:ascii="Arial" w:cs="Arial" w:eastAsia="Arial" w:hAnsi="Arial"/>
          <w:sz w:val="16"/>
          <w:szCs w:val="16"/>
          <w:color w:val="auto"/>
        </w:rPr>
      </w:pPr>
    </w:p>
    <w:p>
      <w:pPr>
        <w:ind w:left="440" w:hanging="204"/>
        <w:spacing w:after="0"/>
        <w:tabs>
          <w:tab w:leader="none" w:pos="4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17" w:lineRule="exact"/>
        <w:rPr>
          <w:rFonts w:ascii="Arial" w:cs="Arial" w:eastAsia="Arial" w:hAnsi="Arial"/>
          <w:sz w:val="18"/>
          <w:szCs w:val="18"/>
          <w:color w:val="auto"/>
        </w:rPr>
      </w:pPr>
    </w:p>
    <w:p>
      <w:pPr>
        <w:ind w:left="240" w:right="320" w:hanging="4"/>
        <w:spacing w:after="0" w:line="277" w:lineRule="auto"/>
        <w:tabs>
          <w:tab w:leader="none" w:pos="495"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240" w:right="620" w:hanging="4"/>
        <w:spacing w:after="0" w:line="277" w:lineRule="auto"/>
        <w:tabs>
          <w:tab w:leader="none" w:pos="552"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540" w:hanging="304"/>
        <w:spacing w:after="0"/>
        <w:tabs>
          <w:tab w:leader="none" w:pos="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sz w:val="20"/>
          <w:szCs w:val="20"/>
          <w:color w:val="auto"/>
        </w:rPr>
      </w:pPr>
    </w:p>
    <w:p>
      <w:pPr>
        <w:jc w:val="both"/>
        <w:ind w:firstLine="8"/>
        <w:spacing w:after="0" w:line="302" w:lineRule="auto"/>
        <w:tabs>
          <w:tab w:leader="none" w:pos="282"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46" w:lineRule="exact"/>
        <w:rPr>
          <w:rFonts w:ascii="Arial" w:cs="Arial" w:eastAsia="Arial" w:hAnsi="Arial"/>
          <w:sz w:val="16"/>
          <w:szCs w:val="16"/>
          <w:color w:val="auto"/>
        </w:rPr>
      </w:pPr>
    </w:p>
    <w:p>
      <w:pPr>
        <w:ind w:right="40" w:firstLine="8"/>
        <w:spacing w:after="0" w:line="272" w:lineRule="auto"/>
        <w:tabs>
          <w:tab w:leader="none" w:pos="285"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69" w:lineRule="exact"/>
        <w:rPr>
          <w:rFonts w:ascii="Arial" w:cs="Arial" w:eastAsia="Arial" w:hAnsi="Arial"/>
          <w:sz w:val="17"/>
          <w:szCs w:val="17"/>
          <w:color w:val="auto"/>
        </w:rPr>
      </w:pPr>
    </w:p>
    <w:p>
      <w:pPr>
        <w:ind w:right="60" w:firstLine="8"/>
        <w:spacing w:after="0" w:line="264" w:lineRule="auto"/>
        <w:tabs>
          <w:tab w:leader="none" w:pos="29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the requirements for filing on Form S-3 and has duly caused this registration statement to be signed on its behalf by the undersigned, thereunto duly authorized, in the Town of Greenburgh, State of New York, on the 6</w:t>
      </w:r>
      <w:r>
        <w:rPr>
          <w:rFonts w:ascii="Arial" w:cs="Arial" w:eastAsia="Arial" w:hAnsi="Arial"/>
          <w:sz w:val="15"/>
          <w:szCs w:val="15"/>
          <w:color w:val="auto"/>
        </w:rPr>
        <w:t>th</w:t>
      </w:r>
      <w:r>
        <w:rPr>
          <w:rFonts w:ascii="Arial" w:cs="Arial" w:eastAsia="Arial" w:hAnsi="Arial"/>
          <w:sz w:val="18"/>
          <w:szCs w:val="18"/>
          <w:color w:val="auto"/>
        </w:rPr>
        <w:t xml:space="preserve"> day of October, 2010.</w:t>
      </w:r>
    </w:p>
    <w:p>
      <w:pPr>
        <w:spacing w:after="0" w:line="18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Murray A. Goldberg</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787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Senior Vice President, Finance and</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Administration, Chief Financial Officer,</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Treasurer and Assistant Secretary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In accordance with the requirements of the Securities Act of 1933, as amended, this Registration Statement has been signed by the following persons in the capacities and on the dates stated. Each person whose signature appears below constitutes and appoints Murray A. Goldberg, as his or her true and lawful attorney-in-fact and agent, each acting along with full power of substitution and resubstitution, for him or her and in his or her name, place and stead, in any and all capacities, to sign any or all amendments (including post-effective amendments) and exhibits to the Registration Statement on Form S-3, and to any registration statement filed under SEC Rule 462, and to file the same, with all exhibits thereto, and all documents in connection therewith, with the SEC,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58"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dated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560" w:type="dxa"/>
            <w:vAlign w:val="bottom"/>
          </w:tcPr>
          <w:p>
            <w:pPr>
              <w:spacing w:after="0"/>
              <w:rPr>
                <w:sz w:val="14"/>
                <w:szCs w:val="1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10"/>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Leonard S. Schleifer</w:t>
            </w:r>
          </w:p>
        </w:tc>
        <w:tc>
          <w:tcPr>
            <w:tcW w:w="5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56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October 6, 2010</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Leonard S. Schleifer, M.D., Ph.D</w:t>
            </w:r>
          </w:p>
        </w:tc>
        <w:tc>
          <w:tcPr>
            <w:tcW w:w="56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Murray A. Goldberg</w:t>
            </w:r>
          </w:p>
        </w:tc>
        <w:tc>
          <w:tcPr>
            <w:tcW w:w="56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Senior Vice President, Finance and Administration, Chief</w:t>
            </w:r>
          </w:p>
        </w:tc>
        <w:tc>
          <w:tcPr>
            <w:tcW w:w="5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October 6, 2010</w:t>
            </w:r>
          </w:p>
        </w:tc>
      </w:tr>
      <w:tr>
        <w:trPr>
          <w:trHeight w:val="182"/>
        </w:trPr>
        <w:tc>
          <w:tcPr>
            <w:tcW w:w="3440" w:type="dxa"/>
            <w:vAlign w:val="bottom"/>
          </w:tcPr>
          <w:p>
            <w:pPr>
              <w:spacing w:after="0" w:line="182" w:lineRule="exact"/>
              <w:rPr>
                <w:sz w:val="20"/>
                <w:szCs w:val="20"/>
                <w:color w:val="auto"/>
              </w:rPr>
            </w:pPr>
            <w:r>
              <w:rPr>
                <w:rFonts w:ascii="Arial" w:cs="Arial" w:eastAsia="Arial" w:hAnsi="Arial"/>
                <w:sz w:val="18"/>
                <w:szCs w:val="18"/>
                <w:color w:val="auto"/>
              </w:rPr>
              <w:t>Murray A. Goldberg</w:t>
            </w:r>
          </w:p>
        </w:tc>
        <w:tc>
          <w:tcPr>
            <w:tcW w:w="560" w:type="dxa"/>
            <w:vAlign w:val="bottom"/>
          </w:tcPr>
          <w:p>
            <w:pPr>
              <w:spacing w:after="0"/>
              <w:rPr>
                <w:sz w:val="15"/>
                <w:szCs w:val="15"/>
                <w:color w:val="auto"/>
              </w:rPr>
            </w:pPr>
          </w:p>
        </w:tc>
        <w:tc>
          <w:tcPr>
            <w:tcW w:w="4580" w:type="dxa"/>
            <w:vAlign w:val="bottom"/>
          </w:tcPr>
          <w:p>
            <w:pPr>
              <w:spacing w:after="0" w:line="182" w:lineRule="exact"/>
              <w:rPr>
                <w:sz w:val="20"/>
                <w:szCs w:val="20"/>
                <w:color w:val="auto"/>
              </w:rPr>
            </w:pPr>
            <w:r>
              <w:rPr>
                <w:rFonts w:ascii="Arial" w:cs="Arial" w:eastAsia="Arial" w:hAnsi="Arial"/>
                <w:sz w:val="18"/>
                <w:szCs w:val="18"/>
                <w:color w:val="auto"/>
                <w:w w:val="92"/>
              </w:rPr>
              <w:t>Financial Officer, Treasurer and Assistant Secretary (Principal</w:t>
            </w:r>
          </w:p>
        </w:tc>
        <w:tc>
          <w:tcPr>
            <w:tcW w:w="56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230"/>
        </w:trPr>
        <w:tc>
          <w:tcPr>
            <w:tcW w:w="3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Financial Officer)</w:t>
            </w:r>
          </w:p>
        </w:tc>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32"/>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S. McCorkle</w:t>
            </w:r>
          </w:p>
        </w:tc>
        <w:tc>
          <w:tcPr>
            <w:tcW w:w="56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4"/>
              </w:rPr>
              <w:t>Vice President, Controller and Assistant Treasurer (Principal</w:t>
            </w:r>
          </w:p>
        </w:tc>
        <w:tc>
          <w:tcPr>
            <w:tcW w:w="5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October 6, 2010</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Douglas S. McCorkle</w:t>
            </w:r>
          </w:p>
        </w:tc>
        <w:tc>
          <w:tcPr>
            <w:tcW w:w="56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Accounting Officer)</w:t>
            </w: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04"/>
        </w:trPr>
        <w:tc>
          <w:tcPr>
            <w:tcW w:w="3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80" w:type="dxa"/>
            <w:vAlign w:val="bottom"/>
          </w:tcPr>
          <w:p>
            <w:pPr>
              <w:ind w:left="1580"/>
              <w:spacing w:after="0"/>
              <w:rPr>
                <w:sz w:val="20"/>
                <w:szCs w:val="20"/>
                <w:color w:val="auto"/>
              </w:rPr>
            </w:pPr>
            <w:r>
              <w:rPr>
                <w:rFonts w:ascii="Arial" w:cs="Arial" w:eastAsia="Arial" w:hAnsi="Arial"/>
                <w:sz w:val="18"/>
                <w:szCs w:val="18"/>
                <w:color w:val="auto"/>
              </w:rPr>
              <w:t>II-4</w:t>
            </w:r>
          </w:p>
        </w:tc>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6"/>
        </w:trPr>
        <w:tc>
          <w:tcPr>
            <w:tcW w:w="34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560" w:type="dxa"/>
            <w:vAlign w:val="bottom"/>
          </w:tcPr>
          <w:p>
            <w:pPr>
              <w:spacing w:after="0"/>
              <w:rPr>
                <w:sz w:val="14"/>
                <w:szCs w:val="1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10"/>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D. Yancopoulos</w:t>
            </w:r>
          </w:p>
        </w:tc>
        <w:tc>
          <w:tcPr>
            <w:tcW w:w="5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5"/>
              </w:rPr>
              <w:t>Executive Vice President, Chief Scientific Officer, President,</w:t>
            </w:r>
          </w:p>
        </w:tc>
        <w:tc>
          <w:tcPr>
            <w:tcW w:w="56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October 6, 2010</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George D. Yancopoulos, M.D., Ph.D.</w:t>
            </w:r>
          </w:p>
        </w:tc>
        <w:tc>
          <w:tcPr>
            <w:tcW w:w="56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Regeneron Research Laboratories, and Director</w:t>
            </w: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 Roy Vagelos, M.D.</w:t>
            </w:r>
          </w:p>
        </w:tc>
        <w:tc>
          <w:tcPr>
            <w:tcW w:w="56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Chairman of the Board</w:t>
            </w:r>
          </w:p>
        </w:tc>
        <w:tc>
          <w:tcPr>
            <w:tcW w:w="5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October 6, 2010</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P. Roy Vagelos, M.D.</w:t>
            </w:r>
          </w:p>
        </w:tc>
        <w:tc>
          <w:tcPr>
            <w:tcW w:w="5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A. Baker</w:t>
            </w:r>
          </w:p>
        </w:tc>
        <w:tc>
          <w:tcPr>
            <w:tcW w:w="56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October 6, 2010</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Charles A. Baker</w:t>
            </w:r>
          </w:p>
        </w:tc>
        <w:tc>
          <w:tcPr>
            <w:tcW w:w="5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Brown, M.D.</w:t>
            </w:r>
          </w:p>
        </w:tc>
        <w:tc>
          <w:tcPr>
            <w:tcW w:w="56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October 6, 2010</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Michael S. Brown, M.D.</w:t>
            </w:r>
          </w:p>
        </w:tc>
        <w:tc>
          <w:tcPr>
            <w:tcW w:w="5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G. Gilman, M.D.</w:t>
            </w:r>
          </w:p>
        </w:tc>
        <w:tc>
          <w:tcPr>
            <w:tcW w:w="56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October 6, 2010</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Alfred G. Gilman, M.D.</w:t>
            </w:r>
          </w:p>
        </w:tc>
        <w:tc>
          <w:tcPr>
            <w:tcW w:w="5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L. Goldstein, M.D.</w:t>
            </w:r>
          </w:p>
        </w:tc>
        <w:tc>
          <w:tcPr>
            <w:tcW w:w="56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October 6, 2010</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Joseph L. Goldstein, M.D.</w:t>
            </w:r>
          </w:p>
        </w:tc>
        <w:tc>
          <w:tcPr>
            <w:tcW w:w="5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F. Ryan</w:t>
            </w:r>
          </w:p>
        </w:tc>
        <w:tc>
          <w:tcPr>
            <w:tcW w:w="56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October 6, 2010</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Arthur F. Ryan</w:t>
            </w:r>
          </w:p>
        </w:tc>
        <w:tc>
          <w:tcPr>
            <w:tcW w:w="5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M. Shooter, Ph.D.</w:t>
            </w:r>
          </w:p>
        </w:tc>
        <w:tc>
          <w:tcPr>
            <w:tcW w:w="56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October 6, 2010</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Eric M. Shooter, Ph.D.</w:t>
            </w:r>
          </w:p>
        </w:tc>
        <w:tc>
          <w:tcPr>
            <w:tcW w:w="5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L. Sing</w:t>
            </w:r>
          </w:p>
        </w:tc>
        <w:tc>
          <w:tcPr>
            <w:tcW w:w="56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October 6, 2010</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George L. Sing</w:t>
            </w:r>
          </w:p>
        </w:tc>
        <w:tc>
          <w:tcPr>
            <w:tcW w:w="5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04"/>
        </w:trPr>
        <w:tc>
          <w:tcPr>
            <w:tcW w:w="3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80" w:type="dxa"/>
            <w:vAlign w:val="bottom"/>
          </w:tcPr>
          <w:p>
            <w:pPr>
              <w:ind w:left="1580"/>
              <w:spacing w:after="0"/>
              <w:rPr>
                <w:sz w:val="20"/>
                <w:szCs w:val="20"/>
                <w:color w:val="auto"/>
              </w:rPr>
            </w:pPr>
            <w:r>
              <w:rPr>
                <w:rFonts w:ascii="Arial" w:cs="Arial" w:eastAsia="Arial" w:hAnsi="Arial"/>
                <w:sz w:val="18"/>
                <w:szCs w:val="18"/>
                <w:color w:val="auto"/>
              </w:rPr>
              <w:t>II-5</w:t>
            </w:r>
          </w:p>
        </w:tc>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6"/>
        </w:trPr>
        <w:tc>
          <w:tcPr>
            <w:tcW w:w="34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460" w:type="dxa"/>
            <w:vAlign w:val="bottom"/>
          </w:tcPr>
          <w:p>
            <w:pPr>
              <w:ind w:left="41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6"/>
        </w:trPr>
        <w:tc>
          <w:tcPr>
            <w:tcW w:w="920" w:type="dxa"/>
            <w:vAlign w:val="bottom"/>
          </w:tcPr>
          <w:p>
            <w:pPr>
              <w:spacing w:after="0"/>
              <w:rPr>
                <w:sz w:val="20"/>
                <w:szCs w:val="20"/>
                <w:color w:val="auto"/>
              </w:rPr>
            </w:pPr>
            <w:r>
              <w:rPr>
                <w:rFonts w:ascii="Arial" w:cs="Arial" w:eastAsia="Arial" w:hAnsi="Arial"/>
                <w:sz w:val="14"/>
                <w:szCs w:val="14"/>
                <w:color w:val="auto"/>
              </w:rPr>
              <w:t>Exhibit</w:t>
            </w:r>
          </w:p>
        </w:tc>
        <w:tc>
          <w:tcPr>
            <w:tcW w:w="10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10460" w:type="dxa"/>
            <w:vAlign w:val="bottom"/>
            <w:vMerge w:val="restart"/>
          </w:tcPr>
          <w:p>
            <w:pPr>
              <w:ind w:left="24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20"/>
                <w:szCs w:val="20"/>
                <w:color w:val="auto"/>
              </w:rPr>
            </w:pPr>
            <w:r>
              <w:rPr>
                <w:rFonts w:ascii="Arial" w:cs="Arial" w:eastAsia="Arial" w:hAnsi="Arial"/>
                <w:sz w:val="18"/>
                <w:szCs w:val="18"/>
                <w:color w:val="auto"/>
              </w:rPr>
              <w:t>1.1*</w:t>
            </w:r>
          </w:p>
        </w:tc>
        <w:tc>
          <w:tcPr>
            <w:tcW w:w="10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10460" w:type="dxa"/>
            <w:vAlign w:val="bottom"/>
          </w:tcPr>
          <w:p>
            <w:pPr>
              <w:ind w:left="240"/>
              <w:spacing w:after="0"/>
              <w:rPr>
                <w:sz w:val="20"/>
                <w:szCs w:val="20"/>
                <w:color w:val="auto"/>
              </w:rPr>
            </w:pPr>
            <w:r>
              <w:rPr>
                <w:rFonts w:ascii="Arial" w:cs="Arial" w:eastAsia="Arial" w:hAnsi="Arial"/>
                <w:sz w:val="18"/>
                <w:szCs w:val="18"/>
                <w:color w:val="auto"/>
                <w:w w:val="96"/>
              </w:rPr>
              <w:t>Restated Certificate of Incorporation of Regeneron Pharmaceuticals, Inc. (incorporated by reference to the Form 10-K for Regeneron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Pharmaceuticals, Inc. for the year ended December 31, 2007 filed on February 27, 2008).</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0460" w:type="dxa"/>
            <w:vAlign w:val="bottom"/>
          </w:tcPr>
          <w:p>
            <w:pPr>
              <w:ind w:left="240"/>
              <w:spacing w:after="0"/>
              <w:rPr>
                <w:sz w:val="20"/>
                <w:szCs w:val="20"/>
                <w:color w:val="auto"/>
              </w:rPr>
            </w:pPr>
            <w:r>
              <w:rPr>
                <w:rFonts w:ascii="Arial" w:cs="Arial" w:eastAsia="Arial" w:hAnsi="Arial"/>
                <w:sz w:val="18"/>
                <w:szCs w:val="18"/>
                <w:color w:val="auto"/>
                <w:w w:val="95"/>
              </w:rPr>
              <w:t>By-Laws of Regeneron Pharmaceuticals, Inc. (incorporated by reference to the Form 8-K for Regeneron Pharmaceuticals, Inc. filed on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November 13, 2007).</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0460" w:type="dxa"/>
            <w:vAlign w:val="bottom"/>
          </w:tcPr>
          <w:p>
            <w:pPr>
              <w:ind w:left="240"/>
              <w:spacing w:after="0"/>
              <w:rPr>
                <w:sz w:val="20"/>
                <w:szCs w:val="20"/>
                <w:color w:val="auto"/>
              </w:rPr>
            </w:pPr>
            <w:r>
              <w:rPr>
                <w:rFonts w:ascii="Arial" w:cs="Arial" w:eastAsia="Arial" w:hAnsi="Arial"/>
                <w:sz w:val="18"/>
                <w:szCs w:val="18"/>
                <w:color w:val="auto"/>
                <w:w w:val="92"/>
              </w:rPr>
              <w:t>Specimen Common Stock Certificate (incorporated by reference to the Form S-3 for Regeneron Pharmaceuticals, Inc. filed on February 9,</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10460" w:type="dxa"/>
            <w:vAlign w:val="bottom"/>
          </w:tcPr>
          <w:p>
            <w:pPr>
              <w:ind w:left="240"/>
              <w:spacing w:after="0"/>
              <w:rPr>
                <w:sz w:val="20"/>
                <w:szCs w:val="20"/>
                <w:color w:val="auto"/>
              </w:rPr>
            </w:pPr>
            <w:r>
              <w:rPr>
                <w:rFonts w:ascii="Arial" w:cs="Arial" w:eastAsia="Arial" w:hAnsi="Arial"/>
                <w:sz w:val="18"/>
                <w:szCs w:val="18"/>
                <w:color w:val="auto"/>
                <w:w w:val="91"/>
              </w:rPr>
              <w:t>Specimen Preferred Stock Certificate and Form of Certificate of Designation, Preferences and Rights with respect to any series of Preferred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Stock issued hereunder.</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10460" w:type="dxa"/>
            <w:vAlign w:val="bottom"/>
          </w:tcPr>
          <w:p>
            <w:pPr>
              <w:ind w:left="240"/>
              <w:spacing w:after="0"/>
              <w:rPr>
                <w:sz w:val="20"/>
                <w:szCs w:val="20"/>
                <w:color w:val="auto"/>
              </w:rPr>
            </w:pPr>
            <w:r>
              <w:rPr>
                <w:rFonts w:ascii="Arial" w:cs="Arial" w:eastAsia="Arial" w:hAnsi="Arial"/>
                <w:sz w:val="18"/>
                <w:szCs w:val="18"/>
                <w:color w:val="auto"/>
              </w:rPr>
              <w:t>Form of Indenture.</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4.4*</w:t>
            </w:r>
          </w:p>
        </w:tc>
        <w:tc>
          <w:tcPr>
            <w:tcW w:w="10460" w:type="dxa"/>
            <w:vAlign w:val="bottom"/>
          </w:tcPr>
          <w:p>
            <w:pPr>
              <w:ind w:left="240"/>
              <w:spacing w:after="0"/>
              <w:rPr>
                <w:sz w:val="20"/>
                <w:szCs w:val="20"/>
                <w:color w:val="auto"/>
              </w:rPr>
            </w:pPr>
            <w:r>
              <w:rPr>
                <w:rFonts w:ascii="Arial" w:cs="Arial" w:eastAsia="Arial" w:hAnsi="Arial"/>
                <w:sz w:val="18"/>
                <w:szCs w:val="18"/>
                <w:color w:val="auto"/>
              </w:rPr>
              <w:t>Form of any Debt Security.</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4.5*</w:t>
            </w:r>
          </w:p>
        </w:tc>
        <w:tc>
          <w:tcPr>
            <w:tcW w:w="10460" w:type="dxa"/>
            <w:vAlign w:val="bottom"/>
          </w:tcPr>
          <w:p>
            <w:pPr>
              <w:ind w:left="240"/>
              <w:spacing w:after="0"/>
              <w:rPr>
                <w:sz w:val="20"/>
                <w:szCs w:val="20"/>
                <w:color w:val="auto"/>
              </w:rPr>
            </w:pPr>
            <w:r>
              <w:rPr>
                <w:rFonts w:ascii="Arial" w:cs="Arial" w:eastAsia="Arial" w:hAnsi="Arial"/>
                <w:sz w:val="18"/>
                <w:szCs w:val="18"/>
                <w:color w:val="auto"/>
              </w:rPr>
              <w:t>Form of Warrant Agreement (including form of Warrant Certificate).</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10460" w:type="dxa"/>
            <w:vAlign w:val="bottom"/>
          </w:tcPr>
          <w:p>
            <w:pPr>
              <w:ind w:left="240"/>
              <w:spacing w:after="0"/>
              <w:rPr>
                <w:sz w:val="20"/>
                <w:szCs w:val="20"/>
                <w:color w:val="auto"/>
              </w:rPr>
            </w:pPr>
            <w:r>
              <w:rPr>
                <w:rFonts w:ascii="Arial" w:cs="Arial" w:eastAsia="Arial" w:hAnsi="Arial"/>
                <w:sz w:val="18"/>
                <w:szCs w:val="18"/>
                <w:color w:val="auto"/>
              </w:rPr>
              <w:t>Opinion of Skadden, Arps, Slate, Meagher &amp; Flom LLP.</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12.1</w:t>
            </w:r>
          </w:p>
        </w:tc>
        <w:tc>
          <w:tcPr>
            <w:tcW w:w="10460" w:type="dxa"/>
            <w:vAlign w:val="bottom"/>
          </w:tcPr>
          <w:p>
            <w:pPr>
              <w:ind w:left="240"/>
              <w:spacing w:after="0"/>
              <w:rPr>
                <w:sz w:val="20"/>
                <w:szCs w:val="20"/>
                <w:color w:val="auto"/>
              </w:rPr>
            </w:pPr>
            <w:r>
              <w:rPr>
                <w:rFonts w:ascii="Arial" w:cs="Arial" w:eastAsia="Arial" w:hAnsi="Arial"/>
                <w:sz w:val="18"/>
                <w:szCs w:val="18"/>
                <w:color w:val="auto"/>
              </w:rPr>
              <w:t>Statement re: Ratio of Earnings to Fixed Charges.</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0460" w:type="dxa"/>
            <w:vAlign w:val="bottom"/>
          </w:tcPr>
          <w:p>
            <w:pPr>
              <w:ind w:left="240"/>
              <w:spacing w:after="0"/>
              <w:rPr>
                <w:sz w:val="20"/>
                <w:szCs w:val="20"/>
                <w:color w:val="auto"/>
              </w:rPr>
            </w:pPr>
            <w:r>
              <w:rPr>
                <w:rFonts w:ascii="Arial" w:cs="Arial" w:eastAsia="Arial" w:hAnsi="Arial"/>
                <w:sz w:val="18"/>
                <w:szCs w:val="18"/>
                <w:color w:val="auto"/>
              </w:rPr>
              <w:t>Consent of PricewaterhouseCoopers LLP.</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10460" w:type="dxa"/>
            <w:vAlign w:val="bottom"/>
          </w:tcPr>
          <w:p>
            <w:pPr>
              <w:ind w:left="240"/>
              <w:spacing w:after="0"/>
              <w:rPr>
                <w:sz w:val="20"/>
                <w:szCs w:val="20"/>
                <w:color w:val="auto"/>
              </w:rPr>
            </w:pPr>
            <w:r>
              <w:rPr>
                <w:rFonts w:ascii="Arial" w:cs="Arial" w:eastAsia="Arial" w:hAnsi="Arial"/>
                <w:sz w:val="18"/>
                <w:szCs w:val="18"/>
                <w:color w:val="auto"/>
              </w:rPr>
              <w:t>Consent of Skadden, Arps, Slate, Meagher &amp; Flom LLP (included in Exhibit 5.1).</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10460" w:type="dxa"/>
            <w:vAlign w:val="bottom"/>
          </w:tcPr>
          <w:p>
            <w:pPr>
              <w:ind w:left="240"/>
              <w:spacing w:after="0"/>
              <w:rPr>
                <w:sz w:val="20"/>
                <w:szCs w:val="20"/>
                <w:color w:val="auto"/>
              </w:rPr>
            </w:pPr>
            <w:r>
              <w:rPr>
                <w:rFonts w:ascii="Arial" w:cs="Arial" w:eastAsia="Arial" w:hAnsi="Arial"/>
                <w:sz w:val="18"/>
                <w:szCs w:val="18"/>
                <w:color w:val="auto"/>
              </w:rPr>
              <w:t>Power of Attorney (included on signature page hereto).</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25.1*</w:t>
            </w:r>
          </w:p>
        </w:tc>
        <w:tc>
          <w:tcPr>
            <w:tcW w:w="10460" w:type="dxa"/>
            <w:vAlign w:val="bottom"/>
          </w:tcPr>
          <w:p>
            <w:pPr>
              <w:ind w:left="240"/>
              <w:spacing w:after="0"/>
              <w:rPr>
                <w:sz w:val="20"/>
                <w:szCs w:val="20"/>
                <w:color w:val="auto"/>
              </w:rPr>
            </w:pPr>
            <w:r>
              <w:rPr>
                <w:rFonts w:ascii="Arial" w:cs="Arial" w:eastAsia="Arial" w:hAnsi="Arial"/>
                <w:sz w:val="18"/>
                <w:szCs w:val="18"/>
                <w:color w:val="auto"/>
                <w:w w:val="91"/>
              </w:rPr>
              <w:t>Form T-1 Statement of Eligibility under the Trust Indenture Act of 1939 of trustee under the Senior Debt Indenture, Senior Subordinated Debt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w w:val="91"/>
              </w:rPr>
              <w:t>Indenture and Junior Subordinated Debt Indenture (to be filed in accordance with the Undertaking set forth in Section 512(j) of Regulation 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K under the Securities Act of 1933, as amended).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520" w:hanging="452"/>
        <w:spacing w:after="0" w:line="277"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be filed by amendment to the Registration Statement or incorporated by reference from documents filed or to be filed with the SEC under the Securities Exchange Act of 1934, as amended.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380"/>
          </w:cols>
          <w:pgMar w:left="240" w:top="419" w:right="2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4.3</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REGENERON PHARMACEUTICALS, INC.,</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ISSUER</w:t>
      </w:r>
    </w:p>
    <w:p>
      <w:pPr>
        <w:spacing w:after="0" w:line="31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AND</w:t>
      </w:r>
    </w:p>
    <w:p>
      <w:pPr>
        <w:spacing w:after="0" w:line="3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211455</wp:posOffset>
            </wp:positionV>
            <wp:extent cx="18783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220980</wp:posOffset>
            </wp:positionV>
            <wp:extent cx="18783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324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auto"/>
                <w:w w:val="98"/>
              </w:rPr>
              <w:t>DATED AS OF</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2010</w:t>
            </w:r>
          </w:p>
        </w:tc>
      </w:tr>
      <w:tr>
        <w:trPr>
          <w:trHeight w:val="20"/>
        </w:trPr>
        <w:tc>
          <w:tcPr>
            <w:tcW w:w="1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337"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398780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3" w:name="page34"/>
    <w:bookmarkEnd w:id="33"/>
    <w:p>
      <w:pPr>
        <w:jc w:val="center"/>
        <w:ind w:right="-99"/>
        <w:spacing w:after="0"/>
        <w:rPr>
          <w:sz w:val="20"/>
          <w:szCs w:val="20"/>
          <w:color w:val="auto"/>
        </w:rPr>
      </w:pPr>
      <w:r>
        <w:rPr>
          <w:rFonts w:ascii="Arial" w:cs="Arial" w:eastAsia="Arial" w:hAnsi="Arial"/>
          <w:sz w:val="18"/>
          <w:szCs w:val="18"/>
          <w:color w:val="auto"/>
        </w:rPr>
        <w:t>TABLE OF CONTENTS</w:t>
      </w:r>
      <w:r>
        <w:rPr>
          <w:rFonts w:ascii="Arial" w:cs="Arial" w:eastAsia="Arial" w:hAnsi="Arial"/>
          <w:sz w:val="15"/>
          <w:szCs w:val="15"/>
          <w:color w:val="auto"/>
        </w:rPr>
        <w:t>1</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1</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360" w:type="dxa"/>
            <w:vAlign w:val="bottom"/>
          </w:tcPr>
          <w:p>
            <w:pPr>
              <w:spacing w:after="0"/>
              <w:rPr>
                <w:sz w:val="20"/>
                <w:szCs w:val="20"/>
                <w:color w:val="auto"/>
              </w:rPr>
            </w:pPr>
            <w:r>
              <w:rPr>
                <w:rFonts w:ascii="Arial" w:cs="Arial" w:eastAsia="Arial" w:hAnsi="Arial"/>
                <w:sz w:val="18"/>
                <w:szCs w:val="18"/>
                <w:color w:val="auto"/>
              </w:rPr>
              <w:t>SECTION 1.01 DEFINITIONS OF TERMS</w:t>
            </w: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0360" w:type="dxa"/>
            <w:vAlign w:val="bottom"/>
          </w:tcPr>
          <w:p>
            <w:pPr>
              <w:jc w:val="center"/>
              <w:ind w:left="990"/>
              <w:spacing w:after="0"/>
              <w:rPr>
                <w:sz w:val="20"/>
                <w:szCs w:val="20"/>
                <w:color w:val="auto"/>
              </w:rPr>
            </w:pPr>
            <w:r>
              <w:rPr>
                <w:rFonts w:ascii="Arial" w:cs="Arial" w:eastAsia="Arial" w:hAnsi="Arial"/>
                <w:sz w:val="18"/>
                <w:szCs w:val="18"/>
                <w:color w:val="auto"/>
                <w:w w:val="96"/>
              </w:rPr>
              <w:t>ARTICLE 2</w:t>
            </w:r>
          </w:p>
        </w:tc>
        <w:tc>
          <w:tcPr>
            <w:tcW w:w="960" w:type="dxa"/>
            <w:vAlign w:val="bottom"/>
          </w:tcPr>
          <w:p>
            <w:pPr>
              <w:spacing w:after="0"/>
              <w:rPr>
                <w:sz w:val="24"/>
                <w:szCs w:val="24"/>
                <w:color w:val="auto"/>
              </w:rPr>
            </w:pPr>
          </w:p>
        </w:tc>
      </w:tr>
      <w:tr>
        <w:trPr>
          <w:trHeight w:val="432"/>
        </w:trPr>
        <w:tc>
          <w:tcPr>
            <w:tcW w:w="10360" w:type="dxa"/>
            <w:vAlign w:val="bottom"/>
          </w:tcPr>
          <w:p>
            <w:pPr>
              <w:jc w:val="center"/>
              <w:ind w:left="990"/>
              <w:spacing w:after="0"/>
              <w:rPr>
                <w:sz w:val="20"/>
                <w:szCs w:val="20"/>
                <w:color w:val="auto"/>
              </w:rPr>
            </w:pPr>
            <w:r>
              <w:rPr>
                <w:rFonts w:ascii="Arial" w:cs="Arial" w:eastAsia="Arial" w:hAnsi="Arial"/>
                <w:sz w:val="18"/>
                <w:szCs w:val="18"/>
                <w:color w:val="auto"/>
                <w:w w:val="95"/>
              </w:rPr>
              <w:t>ISSUE, DESCRIPTION, TERMS, EXECUTION, REGISTRATION AND EXCHANGE OF SECURITIES</w:t>
            </w:r>
          </w:p>
        </w:tc>
        <w:tc>
          <w:tcPr>
            <w:tcW w:w="960" w:type="dxa"/>
            <w:vAlign w:val="bottom"/>
          </w:tcPr>
          <w:p>
            <w:pPr>
              <w:spacing w:after="0"/>
              <w:rPr>
                <w:sz w:val="24"/>
                <w:szCs w:val="24"/>
                <w:color w:val="auto"/>
              </w:rPr>
            </w:pPr>
          </w:p>
        </w:tc>
      </w:tr>
      <w:tr>
        <w:trPr>
          <w:trHeight w:val="418"/>
        </w:trPr>
        <w:tc>
          <w:tcPr>
            <w:tcW w:w="10360" w:type="dxa"/>
            <w:vAlign w:val="bottom"/>
          </w:tcPr>
          <w:p>
            <w:pPr>
              <w:spacing w:after="0"/>
              <w:rPr>
                <w:sz w:val="20"/>
                <w:szCs w:val="20"/>
                <w:color w:val="auto"/>
              </w:rPr>
            </w:pPr>
            <w:r>
              <w:rPr>
                <w:rFonts w:ascii="Arial" w:cs="Arial" w:eastAsia="Arial" w:hAnsi="Arial"/>
                <w:sz w:val="18"/>
                <w:szCs w:val="18"/>
                <w:color w:val="auto"/>
              </w:rPr>
              <w:t>SECTION 2.01 DESIGNATION AND TERMS OF SECURITIES</w:t>
            </w: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SECTION 2.02 FORM OF SECURITIES AND TRUSTEE’S CERTIFICATE</w:t>
            </w: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SECTION 2.03 DENOMINATIONS: PROVISIONS FOR PAYMENT</w:t>
            </w: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SECTION 2.04 EXECUTION AND AUTHENTICATIONS</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SECTION 2.05 REGISTRATION OF TRANSFER AND EXCHANGE</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SECTION 2.06 TEMPORARY SECURITIES</w:t>
            </w: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SECTION 2.07 MUTILATED, DESTROYED, LOST OR STOLEN SECURITIES</w:t>
            </w: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SECTION 2.08 CANCELLATION</w:t>
            </w: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SECTION 2.09 BENEFITS OF INDENTURE</w:t>
            </w: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SECTION 2.10 AUTHENTICATING AGENT</w:t>
            </w: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0360" w:type="dxa"/>
            <w:vAlign w:val="bottom"/>
          </w:tcPr>
          <w:p>
            <w:pPr>
              <w:spacing w:after="0"/>
              <w:rPr>
                <w:sz w:val="20"/>
                <w:szCs w:val="20"/>
                <w:color w:val="auto"/>
              </w:rPr>
            </w:pPr>
            <w:r>
              <w:rPr>
                <w:rFonts w:ascii="Arial" w:cs="Arial" w:eastAsia="Arial" w:hAnsi="Arial"/>
                <w:sz w:val="18"/>
                <w:szCs w:val="18"/>
                <w:color w:val="auto"/>
              </w:rPr>
              <w:t>SECTION 2.11 GLOBAL SECURITIES</w:t>
            </w: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10360" w:type="dxa"/>
            <w:vAlign w:val="bottom"/>
          </w:tcPr>
          <w:p>
            <w:pPr>
              <w:jc w:val="center"/>
              <w:ind w:left="990"/>
              <w:spacing w:after="0"/>
              <w:rPr>
                <w:sz w:val="20"/>
                <w:szCs w:val="20"/>
                <w:color w:val="auto"/>
              </w:rPr>
            </w:pPr>
            <w:r>
              <w:rPr>
                <w:rFonts w:ascii="Arial" w:cs="Arial" w:eastAsia="Arial" w:hAnsi="Arial"/>
                <w:sz w:val="18"/>
                <w:szCs w:val="18"/>
                <w:color w:val="auto"/>
                <w:w w:val="96"/>
              </w:rPr>
              <w:t>ARTICLE 3</w:t>
            </w:r>
          </w:p>
        </w:tc>
        <w:tc>
          <w:tcPr>
            <w:tcW w:w="960" w:type="dxa"/>
            <w:vAlign w:val="bottom"/>
          </w:tcPr>
          <w:p>
            <w:pPr>
              <w:spacing w:after="0"/>
              <w:rPr>
                <w:sz w:val="24"/>
                <w:szCs w:val="24"/>
                <w:color w:val="auto"/>
              </w:rPr>
            </w:pPr>
          </w:p>
        </w:tc>
      </w:tr>
      <w:tr>
        <w:trPr>
          <w:trHeight w:val="432"/>
        </w:trPr>
        <w:tc>
          <w:tcPr>
            <w:tcW w:w="10360" w:type="dxa"/>
            <w:vAlign w:val="bottom"/>
          </w:tcPr>
          <w:p>
            <w:pPr>
              <w:jc w:val="center"/>
              <w:ind w:left="990"/>
              <w:spacing w:after="0"/>
              <w:rPr>
                <w:sz w:val="20"/>
                <w:szCs w:val="20"/>
                <w:color w:val="auto"/>
              </w:rPr>
            </w:pPr>
            <w:r>
              <w:rPr>
                <w:rFonts w:ascii="Arial" w:cs="Arial" w:eastAsia="Arial" w:hAnsi="Arial"/>
                <w:sz w:val="18"/>
                <w:szCs w:val="18"/>
                <w:color w:val="auto"/>
                <w:w w:val="96"/>
              </w:rPr>
              <w:t>REDEMPTION OF SECURITIES AND SINKING FUND PROVISIONS</w:t>
            </w:r>
          </w:p>
        </w:tc>
        <w:tc>
          <w:tcPr>
            <w:tcW w:w="960" w:type="dxa"/>
            <w:vAlign w:val="bottom"/>
          </w:tcPr>
          <w:p>
            <w:pPr>
              <w:spacing w:after="0"/>
              <w:rPr>
                <w:sz w:val="24"/>
                <w:szCs w:val="24"/>
                <w:color w:val="auto"/>
              </w:rPr>
            </w:pPr>
          </w:p>
        </w:tc>
      </w:tr>
      <w:tr>
        <w:trPr>
          <w:trHeight w:val="418"/>
        </w:trPr>
        <w:tc>
          <w:tcPr>
            <w:tcW w:w="10360" w:type="dxa"/>
            <w:vAlign w:val="bottom"/>
          </w:tcPr>
          <w:p>
            <w:pPr>
              <w:spacing w:after="0"/>
              <w:rPr>
                <w:sz w:val="20"/>
                <w:szCs w:val="20"/>
                <w:color w:val="auto"/>
              </w:rPr>
            </w:pPr>
            <w:r>
              <w:rPr>
                <w:rFonts w:ascii="Arial" w:cs="Arial" w:eastAsia="Arial" w:hAnsi="Arial"/>
                <w:sz w:val="18"/>
                <w:szCs w:val="18"/>
                <w:color w:val="auto"/>
              </w:rPr>
              <w:t>SECTION 3.01 REDEMPTION</w:t>
            </w: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SECTION 3.02 NOTICE OF REDEMPTION</w:t>
            </w: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SECTION 3.03 PAYMENT UPON REDEMPTION</w:t>
            </w: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SECTION 3.04 SINKING FUND</w:t>
            </w: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SECTION 3.05 SATISFACTION OF SINKING FUND PAYMENTS WITH SECURITIES</w:t>
            </w: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0360" w:type="dxa"/>
            <w:vAlign w:val="bottom"/>
          </w:tcPr>
          <w:p>
            <w:pPr>
              <w:spacing w:after="0"/>
              <w:rPr>
                <w:sz w:val="20"/>
                <w:szCs w:val="20"/>
                <w:color w:val="auto"/>
              </w:rPr>
            </w:pPr>
            <w:r>
              <w:rPr>
                <w:rFonts w:ascii="Arial" w:cs="Arial" w:eastAsia="Arial" w:hAnsi="Arial"/>
                <w:sz w:val="18"/>
                <w:szCs w:val="18"/>
                <w:color w:val="auto"/>
              </w:rPr>
              <w:t>SECTION 3.06 REDEMPTION OF SECURITIES FOR SINKING FUND</w:t>
            </w: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0360" w:type="dxa"/>
            <w:vAlign w:val="bottom"/>
          </w:tcPr>
          <w:p>
            <w:pPr>
              <w:jc w:val="center"/>
              <w:ind w:left="990"/>
              <w:spacing w:after="0"/>
              <w:rPr>
                <w:sz w:val="20"/>
                <w:szCs w:val="20"/>
                <w:color w:val="auto"/>
              </w:rPr>
            </w:pPr>
            <w:r>
              <w:rPr>
                <w:rFonts w:ascii="Arial" w:cs="Arial" w:eastAsia="Arial" w:hAnsi="Arial"/>
                <w:sz w:val="18"/>
                <w:szCs w:val="18"/>
                <w:color w:val="auto"/>
                <w:w w:val="96"/>
              </w:rPr>
              <w:t>ARTICLE 4</w:t>
            </w:r>
          </w:p>
        </w:tc>
        <w:tc>
          <w:tcPr>
            <w:tcW w:w="960" w:type="dxa"/>
            <w:vAlign w:val="bottom"/>
          </w:tcPr>
          <w:p>
            <w:pPr>
              <w:spacing w:after="0"/>
              <w:rPr>
                <w:sz w:val="24"/>
                <w:szCs w:val="24"/>
                <w:color w:val="auto"/>
              </w:rPr>
            </w:pPr>
          </w:p>
        </w:tc>
      </w:tr>
      <w:tr>
        <w:trPr>
          <w:trHeight w:val="432"/>
        </w:trPr>
        <w:tc>
          <w:tcPr>
            <w:tcW w:w="10360" w:type="dxa"/>
            <w:vAlign w:val="bottom"/>
          </w:tcPr>
          <w:p>
            <w:pPr>
              <w:jc w:val="center"/>
              <w:ind w:left="970"/>
              <w:spacing w:after="0"/>
              <w:rPr>
                <w:sz w:val="20"/>
                <w:szCs w:val="20"/>
                <w:color w:val="auto"/>
              </w:rPr>
            </w:pPr>
            <w:r>
              <w:rPr>
                <w:rFonts w:ascii="Arial" w:cs="Arial" w:eastAsia="Arial" w:hAnsi="Arial"/>
                <w:sz w:val="18"/>
                <w:szCs w:val="18"/>
                <w:color w:val="auto"/>
                <w:w w:val="98"/>
              </w:rPr>
              <w:t>COVENANTS</w:t>
            </w:r>
          </w:p>
        </w:tc>
        <w:tc>
          <w:tcPr>
            <w:tcW w:w="960" w:type="dxa"/>
            <w:vAlign w:val="bottom"/>
          </w:tcPr>
          <w:p>
            <w:pPr>
              <w:spacing w:after="0"/>
              <w:rPr>
                <w:sz w:val="24"/>
                <w:szCs w:val="24"/>
                <w:color w:val="auto"/>
              </w:rPr>
            </w:pPr>
          </w:p>
        </w:tc>
      </w:tr>
      <w:tr>
        <w:trPr>
          <w:trHeight w:val="418"/>
        </w:trPr>
        <w:tc>
          <w:tcPr>
            <w:tcW w:w="10360" w:type="dxa"/>
            <w:vAlign w:val="bottom"/>
          </w:tcPr>
          <w:p>
            <w:pPr>
              <w:spacing w:after="0"/>
              <w:rPr>
                <w:sz w:val="20"/>
                <w:szCs w:val="20"/>
                <w:color w:val="auto"/>
              </w:rPr>
            </w:pPr>
            <w:r>
              <w:rPr>
                <w:rFonts w:ascii="Arial" w:cs="Arial" w:eastAsia="Arial" w:hAnsi="Arial"/>
                <w:sz w:val="18"/>
                <w:szCs w:val="18"/>
                <w:color w:val="auto"/>
              </w:rPr>
              <w:t>SECTION 4.01 PAYMENT OF PRINCIPAL, PREMIUM AND INTEREST</w:t>
            </w: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SECTION 4.02 MAINTENANCE OF OFFICE OR AGENCY</w:t>
            </w: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SECTION 4.03 PAYING AGENTS</w:t>
            </w: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SECTION 4.04 APPOINTMENT TO FILL VACANCY IN OFFICE OF TRUSTEE</w:t>
            </w: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0360" w:type="dxa"/>
            <w:vAlign w:val="bottom"/>
          </w:tcPr>
          <w:p>
            <w:pPr>
              <w:spacing w:after="0"/>
              <w:rPr>
                <w:sz w:val="20"/>
                <w:szCs w:val="20"/>
                <w:color w:val="auto"/>
              </w:rPr>
            </w:pPr>
            <w:r>
              <w:rPr>
                <w:rFonts w:ascii="Arial" w:cs="Arial" w:eastAsia="Arial" w:hAnsi="Arial"/>
                <w:sz w:val="18"/>
                <w:szCs w:val="18"/>
                <w:color w:val="auto"/>
              </w:rPr>
              <w:t>SECTION 4.05 COMPLIANCE WITH CONSOLIDATION PROVISIONS</w:t>
            </w: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4"/>
          <w:szCs w:val="14"/>
          <w:color w:val="auto"/>
        </w:rPr>
      </w:pPr>
      <w:r>
        <w:rPr>
          <w:rFonts w:ascii="Arial" w:cs="Arial" w:eastAsia="Arial" w:hAnsi="Arial"/>
          <w:sz w:val="16"/>
          <w:szCs w:val="16"/>
          <w:color w:val="auto"/>
        </w:rPr>
        <w:t>This Table of Contents does not constitute part of the Indenture and shall not have any bearing on the interpretation of any of its terms or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413385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10140" w:type="dxa"/>
            <w:vAlign w:val="bottom"/>
          </w:tcPr>
          <w:p>
            <w:pPr>
              <w:spacing w:after="0"/>
              <w:rPr>
                <w:sz w:val="20"/>
                <w:szCs w:val="20"/>
                <w:color w:val="auto"/>
              </w:rPr>
            </w:pPr>
            <w:r>
              <w:rPr>
                <w:rFonts w:ascii="Arial" w:cs="Arial" w:eastAsia="Arial" w:hAnsi="Arial"/>
                <w:sz w:val="18"/>
                <w:szCs w:val="18"/>
                <w:color w:val="auto"/>
              </w:rPr>
              <w:t>SECTION 4.06 COMPLIANCE CERTIFICATE</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432"/>
        </w:trPr>
        <w:tc>
          <w:tcPr>
            <w:tcW w:w="10140" w:type="dxa"/>
            <w:vAlign w:val="bottom"/>
          </w:tcPr>
          <w:p>
            <w:pPr>
              <w:jc w:val="center"/>
              <w:ind w:left="1210"/>
              <w:spacing w:after="0"/>
              <w:rPr>
                <w:sz w:val="20"/>
                <w:szCs w:val="20"/>
                <w:color w:val="auto"/>
              </w:rPr>
            </w:pPr>
            <w:r>
              <w:rPr>
                <w:rFonts w:ascii="Arial" w:cs="Arial" w:eastAsia="Arial" w:hAnsi="Arial"/>
                <w:sz w:val="18"/>
                <w:szCs w:val="18"/>
                <w:color w:val="auto"/>
                <w:w w:val="96"/>
              </w:rPr>
              <w:t>ARTICLE 5</w:t>
            </w:r>
          </w:p>
        </w:tc>
        <w:tc>
          <w:tcPr>
            <w:tcW w:w="1280" w:type="dxa"/>
            <w:vAlign w:val="bottom"/>
          </w:tcPr>
          <w:p>
            <w:pPr>
              <w:spacing w:after="0"/>
              <w:rPr>
                <w:sz w:val="24"/>
                <w:szCs w:val="24"/>
                <w:color w:val="auto"/>
              </w:rPr>
            </w:pPr>
          </w:p>
        </w:tc>
      </w:tr>
      <w:tr>
        <w:trPr>
          <w:trHeight w:val="432"/>
        </w:trPr>
        <w:tc>
          <w:tcPr>
            <w:tcW w:w="10140" w:type="dxa"/>
            <w:vAlign w:val="bottom"/>
          </w:tcPr>
          <w:p>
            <w:pPr>
              <w:jc w:val="center"/>
              <w:ind w:left="1210"/>
              <w:spacing w:after="0"/>
              <w:rPr>
                <w:sz w:val="20"/>
                <w:szCs w:val="20"/>
                <w:color w:val="auto"/>
              </w:rPr>
            </w:pPr>
            <w:r>
              <w:rPr>
                <w:rFonts w:ascii="Arial" w:cs="Arial" w:eastAsia="Arial" w:hAnsi="Arial"/>
                <w:sz w:val="18"/>
                <w:szCs w:val="18"/>
                <w:color w:val="auto"/>
                <w:w w:val="96"/>
              </w:rPr>
              <w:t>SECURITYHOLDERS’ LISTS AND REPORTS BY THE COMPANY AND THE TRUSTEE</w:t>
            </w:r>
          </w:p>
        </w:tc>
        <w:tc>
          <w:tcPr>
            <w:tcW w:w="1280" w:type="dxa"/>
            <w:vAlign w:val="bottom"/>
          </w:tcPr>
          <w:p>
            <w:pPr>
              <w:spacing w:after="0"/>
              <w:rPr>
                <w:sz w:val="24"/>
                <w:szCs w:val="24"/>
                <w:color w:val="auto"/>
              </w:rPr>
            </w:pPr>
          </w:p>
        </w:tc>
      </w:tr>
      <w:tr>
        <w:trPr>
          <w:trHeight w:val="418"/>
        </w:trPr>
        <w:tc>
          <w:tcPr>
            <w:tcW w:w="10140" w:type="dxa"/>
            <w:vAlign w:val="bottom"/>
          </w:tcPr>
          <w:p>
            <w:pPr>
              <w:spacing w:after="0"/>
              <w:rPr>
                <w:sz w:val="20"/>
                <w:szCs w:val="20"/>
                <w:color w:val="auto"/>
              </w:rPr>
            </w:pPr>
            <w:r>
              <w:rPr>
                <w:rFonts w:ascii="Arial" w:cs="Arial" w:eastAsia="Arial" w:hAnsi="Arial"/>
                <w:sz w:val="18"/>
                <w:szCs w:val="18"/>
                <w:color w:val="auto"/>
              </w:rPr>
              <w:t>SECTION 5.01 COMPANY TO FURNISH TRUSTEE NAMES AND ADDRESSES OF SECURITYHOLDERS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SECTION 5.02 PRESERVATION OF INFORMATION; COMMUNICATIONS WITH SECURITYHOLDERS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SECTION 5.03 REPORTS BY THE COMPANY</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30"/>
        </w:trPr>
        <w:tc>
          <w:tcPr>
            <w:tcW w:w="10140" w:type="dxa"/>
            <w:vAlign w:val="bottom"/>
          </w:tcPr>
          <w:p>
            <w:pPr>
              <w:spacing w:after="0"/>
              <w:rPr>
                <w:sz w:val="20"/>
                <w:szCs w:val="20"/>
                <w:color w:val="auto"/>
              </w:rPr>
            </w:pPr>
            <w:r>
              <w:rPr>
                <w:rFonts w:ascii="Arial" w:cs="Arial" w:eastAsia="Arial" w:hAnsi="Arial"/>
                <w:sz w:val="18"/>
                <w:szCs w:val="18"/>
                <w:color w:val="auto"/>
              </w:rPr>
              <w:t>SECTION 5.04 REPORTS BY THE TRUSTEE</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432"/>
        </w:trPr>
        <w:tc>
          <w:tcPr>
            <w:tcW w:w="10140" w:type="dxa"/>
            <w:vAlign w:val="bottom"/>
          </w:tcPr>
          <w:p>
            <w:pPr>
              <w:jc w:val="center"/>
              <w:ind w:left="1210"/>
              <w:spacing w:after="0"/>
              <w:rPr>
                <w:sz w:val="20"/>
                <w:szCs w:val="20"/>
                <w:color w:val="auto"/>
              </w:rPr>
            </w:pPr>
            <w:r>
              <w:rPr>
                <w:rFonts w:ascii="Arial" w:cs="Arial" w:eastAsia="Arial" w:hAnsi="Arial"/>
                <w:sz w:val="18"/>
                <w:szCs w:val="18"/>
                <w:color w:val="auto"/>
                <w:w w:val="96"/>
              </w:rPr>
              <w:t>ARTICLE 6</w:t>
            </w:r>
          </w:p>
        </w:tc>
        <w:tc>
          <w:tcPr>
            <w:tcW w:w="1280" w:type="dxa"/>
            <w:vAlign w:val="bottom"/>
          </w:tcPr>
          <w:p>
            <w:pPr>
              <w:spacing w:after="0"/>
              <w:rPr>
                <w:sz w:val="24"/>
                <w:szCs w:val="24"/>
                <w:color w:val="auto"/>
              </w:rPr>
            </w:pPr>
          </w:p>
        </w:tc>
      </w:tr>
      <w:tr>
        <w:trPr>
          <w:trHeight w:val="432"/>
        </w:trPr>
        <w:tc>
          <w:tcPr>
            <w:tcW w:w="10140" w:type="dxa"/>
            <w:vAlign w:val="bottom"/>
          </w:tcPr>
          <w:p>
            <w:pPr>
              <w:jc w:val="center"/>
              <w:ind w:left="1210"/>
              <w:spacing w:after="0"/>
              <w:rPr>
                <w:sz w:val="20"/>
                <w:szCs w:val="20"/>
                <w:color w:val="auto"/>
              </w:rPr>
            </w:pPr>
            <w:r>
              <w:rPr>
                <w:rFonts w:ascii="Arial" w:cs="Arial" w:eastAsia="Arial" w:hAnsi="Arial"/>
                <w:sz w:val="18"/>
                <w:szCs w:val="18"/>
                <w:color w:val="auto"/>
                <w:w w:val="95"/>
              </w:rPr>
              <w:t>REMEDIES OF THE TRUSTEE AND SECURITYHOLDERS ON EVENT OF DEFAULT</w:t>
            </w:r>
          </w:p>
        </w:tc>
        <w:tc>
          <w:tcPr>
            <w:tcW w:w="1280" w:type="dxa"/>
            <w:vAlign w:val="bottom"/>
          </w:tcPr>
          <w:p>
            <w:pPr>
              <w:spacing w:after="0"/>
              <w:rPr>
                <w:sz w:val="24"/>
                <w:szCs w:val="24"/>
                <w:color w:val="auto"/>
              </w:rPr>
            </w:pPr>
          </w:p>
        </w:tc>
      </w:tr>
      <w:tr>
        <w:trPr>
          <w:trHeight w:val="418"/>
        </w:trPr>
        <w:tc>
          <w:tcPr>
            <w:tcW w:w="10140" w:type="dxa"/>
            <w:vAlign w:val="bottom"/>
          </w:tcPr>
          <w:p>
            <w:pPr>
              <w:spacing w:after="0"/>
              <w:rPr>
                <w:sz w:val="20"/>
                <w:szCs w:val="20"/>
                <w:color w:val="auto"/>
              </w:rPr>
            </w:pPr>
            <w:r>
              <w:rPr>
                <w:rFonts w:ascii="Arial" w:cs="Arial" w:eastAsia="Arial" w:hAnsi="Arial"/>
                <w:sz w:val="18"/>
                <w:szCs w:val="18"/>
                <w:color w:val="auto"/>
              </w:rPr>
              <w:t>SECTION 6.01 EVENTS OF DEFAULT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SECTION 6.02 COLLECTION OF INDEBTEDNESS AND SUITS FOR ENFORCEMENT BY TRUSTEE</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SECTION 6.03 APPLICATION OF MONEYS COLLECTED</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SECTION 6.04 LIMITATION ON SUITS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SECTION 6.05 RIGHTS AND REMEDIES CUMULATIVE; DELAY OR OMISSION NOT WAIVER</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SECTION 6.06 CONTROL BY SECURITYHOLDERS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30"/>
        </w:trPr>
        <w:tc>
          <w:tcPr>
            <w:tcW w:w="10140" w:type="dxa"/>
            <w:vAlign w:val="bottom"/>
          </w:tcPr>
          <w:p>
            <w:pPr>
              <w:spacing w:after="0"/>
              <w:rPr>
                <w:sz w:val="20"/>
                <w:szCs w:val="20"/>
                <w:color w:val="auto"/>
              </w:rPr>
            </w:pPr>
            <w:r>
              <w:rPr>
                <w:rFonts w:ascii="Arial" w:cs="Arial" w:eastAsia="Arial" w:hAnsi="Arial"/>
                <w:sz w:val="18"/>
                <w:szCs w:val="18"/>
                <w:color w:val="auto"/>
              </w:rPr>
              <w:t>SECTION 6.07 UNDERTAKING TO PAY COSTS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432"/>
        </w:trPr>
        <w:tc>
          <w:tcPr>
            <w:tcW w:w="10140" w:type="dxa"/>
            <w:vAlign w:val="bottom"/>
          </w:tcPr>
          <w:p>
            <w:pPr>
              <w:jc w:val="center"/>
              <w:ind w:left="1210"/>
              <w:spacing w:after="0"/>
              <w:rPr>
                <w:sz w:val="20"/>
                <w:szCs w:val="20"/>
                <w:color w:val="auto"/>
              </w:rPr>
            </w:pPr>
            <w:r>
              <w:rPr>
                <w:rFonts w:ascii="Arial" w:cs="Arial" w:eastAsia="Arial" w:hAnsi="Arial"/>
                <w:sz w:val="18"/>
                <w:szCs w:val="18"/>
                <w:color w:val="auto"/>
                <w:w w:val="96"/>
              </w:rPr>
              <w:t>ARTICLE 7</w:t>
            </w:r>
          </w:p>
        </w:tc>
        <w:tc>
          <w:tcPr>
            <w:tcW w:w="1280" w:type="dxa"/>
            <w:vAlign w:val="bottom"/>
          </w:tcPr>
          <w:p>
            <w:pPr>
              <w:spacing w:after="0"/>
              <w:rPr>
                <w:sz w:val="24"/>
                <w:szCs w:val="24"/>
                <w:color w:val="auto"/>
              </w:rPr>
            </w:pPr>
          </w:p>
        </w:tc>
      </w:tr>
      <w:tr>
        <w:trPr>
          <w:trHeight w:val="432"/>
        </w:trPr>
        <w:tc>
          <w:tcPr>
            <w:tcW w:w="10140" w:type="dxa"/>
            <w:vAlign w:val="bottom"/>
          </w:tcPr>
          <w:p>
            <w:pPr>
              <w:jc w:val="center"/>
              <w:ind w:left="1190"/>
              <w:spacing w:after="0"/>
              <w:rPr>
                <w:sz w:val="20"/>
                <w:szCs w:val="20"/>
                <w:color w:val="auto"/>
              </w:rPr>
            </w:pPr>
            <w:r>
              <w:rPr>
                <w:rFonts w:ascii="Arial" w:cs="Arial" w:eastAsia="Arial" w:hAnsi="Arial"/>
                <w:sz w:val="18"/>
                <w:szCs w:val="18"/>
                <w:color w:val="auto"/>
                <w:w w:val="95"/>
              </w:rPr>
              <w:t>CONCERNING THE TRUSTEE</w:t>
            </w:r>
          </w:p>
        </w:tc>
        <w:tc>
          <w:tcPr>
            <w:tcW w:w="1280" w:type="dxa"/>
            <w:vAlign w:val="bottom"/>
          </w:tcPr>
          <w:p>
            <w:pPr>
              <w:spacing w:after="0"/>
              <w:rPr>
                <w:sz w:val="24"/>
                <w:szCs w:val="24"/>
                <w:color w:val="auto"/>
              </w:rPr>
            </w:pPr>
          </w:p>
        </w:tc>
      </w:tr>
      <w:tr>
        <w:trPr>
          <w:trHeight w:val="418"/>
        </w:trPr>
        <w:tc>
          <w:tcPr>
            <w:tcW w:w="10140" w:type="dxa"/>
            <w:vAlign w:val="bottom"/>
          </w:tcPr>
          <w:p>
            <w:pPr>
              <w:spacing w:after="0"/>
              <w:rPr>
                <w:sz w:val="20"/>
                <w:szCs w:val="20"/>
                <w:color w:val="auto"/>
              </w:rPr>
            </w:pPr>
            <w:r>
              <w:rPr>
                <w:rFonts w:ascii="Arial" w:cs="Arial" w:eastAsia="Arial" w:hAnsi="Arial"/>
                <w:sz w:val="18"/>
                <w:szCs w:val="18"/>
                <w:color w:val="auto"/>
              </w:rPr>
              <w:t>SECTION 7.01 CERTAIN DUTIES AND RESPONSIBILITIES OF TRUSTEE</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SECTION 7.02 CERTAIN RIGHTS OF TRUSTEE</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SECTION 7.03 TRUSTEE NOT RESPONSIBLE FOR RECITALS OR ISSUANCE OR SECURITIES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SECTION 7.04 MAY HOLD SECURITIES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SECTION 7.05 MONEYS HELD IN TRUST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SECTION 7.06 COMPENSATION AND REIMBURSEMENT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SECTION 7.07 RELIANCE ON OFFICERS’ CERTIFICATE</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SECTION 7.08 DISQUALIFICATION; CONFLICTING INTERESTS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SECTION 7.09 CORPORATE TRUSTEE REQUIRED; ELIGIBILITY</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SECTION 7.10 RESIGNATION AND REMOVAL; APPOINTMENT OF SUCCESSOR</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SECTION 7.11 ACCEPTANCE OF APPOINTMENT BY SUCCESSOR</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SECTION 7.12 MERGER, CONVERSION, CONSOLIDATION OR SUCCESSION TO BUSINESS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SECTION 7.13 PREFERENTIAL COLLECTION OF CLAIMS AGAINST THE COMPANY</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30"/>
        </w:trPr>
        <w:tc>
          <w:tcPr>
            <w:tcW w:w="10140" w:type="dxa"/>
            <w:vAlign w:val="bottom"/>
          </w:tcPr>
          <w:p>
            <w:pPr>
              <w:spacing w:after="0"/>
              <w:rPr>
                <w:sz w:val="20"/>
                <w:szCs w:val="20"/>
                <w:color w:val="auto"/>
              </w:rPr>
            </w:pPr>
            <w:r>
              <w:rPr>
                <w:rFonts w:ascii="Arial" w:cs="Arial" w:eastAsia="Arial" w:hAnsi="Arial"/>
                <w:sz w:val="18"/>
                <w:szCs w:val="18"/>
                <w:color w:val="auto"/>
              </w:rPr>
              <w:t>SECTION 7.14 NOTICE OF DEFAULT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632"/>
        </w:trPr>
        <w:tc>
          <w:tcPr>
            <w:tcW w:w="101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10080" w:type="dxa"/>
            <w:vAlign w:val="bottom"/>
          </w:tcPr>
          <w:p>
            <w:pPr>
              <w:jc w:val="center"/>
              <w:ind w:left="1270"/>
              <w:spacing w:after="0"/>
              <w:rPr>
                <w:sz w:val="20"/>
                <w:szCs w:val="20"/>
                <w:color w:val="auto"/>
              </w:rPr>
            </w:pPr>
            <w:r>
              <w:rPr>
                <w:rFonts w:ascii="Arial" w:cs="Arial" w:eastAsia="Arial" w:hAnsi="Arial"/>
                <w:sz w:val="18"/>
                <w:szCs w:val="18"/>
                <w:color w:val="auto"/>
                <w:w w:val="96"/>
              </w:rPr>
              <w:t>ARTICLE 8</w:t>
            </w:r>
          </w:p>
        </w:tc>
        <w:tc>
          <w:tcPr>
            <w:tcW w:w="1340" w:type="dxa"/>
            <w:vAlign w:val="bottom"/>
          </w:tcPr>
          <w:p>
            <w:pPr>
              <w:spacing w:after="0"/>
              <w:rPr>
                <w:sz w:val="20"/>
                <w:szCs w:val="20"/>
                <w:color w:val="auto"/>
              </w:rPr>
            </w:pPr>
          </w:p>
        </w:tc>
      </w:tr>
      <w:tr>
        <w:trPr>
          <w:trHeight w:val="432"/>
        </w:trPr>
        <w:tc>
          <w:tcPr>
            <w:tcW w:w="10080" w:type="dxa"/>
            <w:vAlign w:val="bottom"/>
          </w:tcPr>
          <w:p>
            <w:pPr>
              <w:jc w:val="center"/>
              <w:ind w:left="1250"/>
              <w:spacing w:after="0"/>
              <w:rPr>
                <w:sz w:val="20"/>
                <w:szCs w:val="20"/>
                <w:color w:val="auto"/>
              </w:rPr>
            </w:pPr>
            <w:r>
              <w:rPr>
                <w:rFonts w:ascii="Arial" w:cs="Arial" w:eastAsia="Arial" w:hAnsi="Arial"/>
                <w:sz w:val="18"/>
                <w:szCs w:val="18"/>
                <w:color w:val="auto"/>
                <w:w w:val="96"/>
              </w:rPr>
              <w:t>CONCERNING THE SECURITYHOLDERS</w:t>
            </w:r>
          </w:p>
        </w:tc>
        <w:tc>
          <w:tcPr>
            <w:tcW w:w="1340" w:type="dxa"/>
            <w:vAlign w:val="bottom"/>
          </w:tcPr>
          <w:p>
            <w:pPr>
              <w:spacing w:after="0"/>
              <w:rPr>
                <w:sz w:val="24"/>
                <w:szCs w:val="24"/>
                <w:color w:val="auto"/>
              </w:rPr>
            </w:pPr>
          </w:p>
        </w:tc>
      </w:tr>
      <w:tr>
        <w:trPr>
          <w:trHeight w:val="418"/>
        </w:trPr>
        <w:tc>
          <w:tcPr>
            <w:tcW w:w="10080" w:type="dxa"/>
            <w:vAlign w:val="bottom"/>
          </w:tcPr>
          <w:p>
            <w:pPr>
              <w:spacing w:after="0"/>
              <w:rPr>
                <w:sz w:val="20"/>
                <w:szCs w:val="20"/>
                <w:color w:val="auto"/>
              </w:rPr>
            </w:pPr>
            <w:r>
              <w:rPr>
                <w:rFonts w:ascii="Arial" w:cs="Arial" w:eastAsia="Arial" w:hAnsi="Arial"/>
                <w:sz w:val="18"/>
                <w:szCs w:val="18"/>
                <w:color w:val="auto"/>
              </w:rPr>
              <w:t>SECTION 8.01 EVIDENCE OF ACTION BY SECURITYHOLDERS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8.02 PROOF OF EXECUTION BY SECURITYHOLDERS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8.03 WHO MAY BE DEEMED OWNERS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8.04 CERTAIN SECURITIES OWNED BY COMPANY DISREGARDED</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30"/>
        </w:trPr>
        <w:tc>
          <w:tcPr>
            <w:tcW w:w="10080" w:type="dxa"/>
            <w:vAlign w:val="bottom"/>
          </w:tcPr>
          <w:p>
            <w:pPr>
              <w:spacing w:after="0"/>
              <w:rPr>
                <w:sz w:val="20"/>
                <w:szCs w:val="20"/>
                <w:color w:val="auto"/>
              </w:rPr>
            </w:pPr>
            <w:r>
              <w:rPr>
                <w:rFonts w:ascii="Arial" w:cs="Arial" w:eastAsia="Arial" w:hAnsi="Arial"/>
                <w:sz w:val="18"/>
                <w:szCs w:val="18"/>
                <w:color w:val="auto"/>
              </w:rPr>
              <w:t>SECTION 8.05 ACTIONS BINDING ON FUTURE SECURITYHOLDERS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432"/>
        </w:trPr>
        <w:tc>
          <w:tcPr>
            <w:tcW w:w="10080" w:type="dxa"/>
            <w:vAlign w:val="bottom"/>
          </w:tcPr>
          <w:p>
            <w:pPr>
              <w:jc w:val="center"/>
              <w:ind w:left="1270"/>
              <w:spacing w:after="0"/>
              <w:rPr>
                <w:sz w:val="20"/>
                <w:szCs w:val="20"/>
                <w:color w:val="auto"/>
              </w:rPr>
            </w:pPr>
            <w:r>
              <w:rPr>
                <w:rFonts w:ascii="Arial" w:cs="Arial" w:eastAsia="Arial" w:hAnsi="Arial"/>
                <w:sz w:val="18"/>
                <w:szCs w:val="18"/>
                <w:color w:val="auto"/>
                <w:w w:val="96"/>
              </w:rPr>
              <w:t>ARTICLE 9</w:t>
            </w:r>
          </w:p>
        </w:tc>
        <w:tc>
          <w:tcPr>
            <w:tcW w:w="1340" w:type="dxa"/>
            <w:vAlign w:val="bottom"/>
          </w:tcPr>
          <w:p>
            <w:pPr>
              <w:spacing w:after="0"/>
              <w:rPr>
                <w:sz w:val="24"/>
                <w:szCs w:val="24"/>
                <w:color w:val="auto"/>
              </w:rPr>
            </w:pPr>
          </w:p>
        </w:tc>
      </w:tr>
      <w:tr>
        <w:trPr>
          <w:trHeight w:val="432"/>
        </w:trPr>
        <w:tc>
          <w:tcPr>
            <w:tcW w:w="10080" w:type="dxa"/>
            <w:vAlign w:val="bottom"/>
          </w:tcPr>
          <w:p>
            <w:pPr>
              <w:jc w:val="center"/>
              <w:ind w:left="1270"/>
              <w:spacing w:after="0"/>
              <w:rPr>
                <w:sz w:val="20"/>
                <w:szCs w:val="20"/>
                <w:color w:val="auto"/>
              </w:rPr>
            </w:pPr>
            <w:r>
              <w:rPr>
                <w:rFonts w:ascii="Arial" w:cs="Arial" w:eastAsia="Arial" w:hAnsi="Arial"/>
                <w:sz w:val="18"/>
                <w:szCs w:val="18"/>
                <w:color w:val="auto"/>
                <w:w w:val="96"/>
              </w:rPr>
              <w:t>SUPPLEMENTAL INDENTURES</w:t>
            </w:r>
          </w:p>
        </w:tc>
        <w:tc>
          <w:tcPr>
            <w:tcW w:w="1340" w:type="dxa"/>
            <w:vAlign w:val="bottom"/>
          </w:tcPr>
          <w:p>
            <w:pPr>
              <w:spacing w:after="0"/>
              <w:rPr>
                <w:sz w:val="24"/>
                <w:szCs w:val="24"/>
                <w:color w:val="auto"/>
              </w:rPr>
            </w:pPr>
          </w:p>
        </w:tc>
      </w:tr>
      <w:tr>
        <w:trPr>
          <w:trHeight w:val="418"/>
        </w:trPr>
        <w:tc>
          <w:tcPr>
            <w:tcW w:w="10080" w:type="dxa"/>
            <w:vAlign w:val="bottom"/>
          </w:tcPr>
          <w:p>
            <w:pPr>
              <w:spacing w:after="0"/>
              <w:rPr>
                <w:sz w:val="20"/>
                <w:szCs w:val="20"/>
                <w:color w:val="auto"/>
              </w:rPr>
            </w:pPr>
            <w:r>
              <w:rPr>
                <w:rFonts w:ascii="Arial" w:cs="Arial" w:eastAsia="Arial" w:hAnsi="Arial"/>
                <w:sz w:val="18"/>
                <w:szCs w:val="18"/>
                <w:color w:val="auto"/>
              </w:rPr>
              <w:t>SECTION 9.01 SUPPLEMENTAL INDENTURES WITHOUT THE CONSENT OF SECURITYHOLDERS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9.02 SUPPLEMENTAL INDENTURES WITH CONSENT OF SECURITYHOLDERS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9.03 EFFECT OF SUPPLEMENTAL INDENTURES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9.04 SECURITIES AFFECTED BY SUPPLEMENTAL INDENTURES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30"/>
        </w:trPr>
        <w:tc>
          <w:tcPr>
            <w:tcW w:w="10080" w:type="dxa"/>
            <w:vAlign w:val="bottom"/>
          </w:tcPr>
          <w:p>
            <w:pPr>
              <w:spacing w:after="0"/>
              <w:rPr>
                <w:sz w:val="20"/>
                <w:szCs w:val="20"/>
                <w:color w:val="auto"/>
              </w:rPr>
            </w:pPr>
            <w:r>
              <w:rPr>
                <w:rFonts w:ascii="Arial" w:cs="Arial" w:eastAsia="Arial" w:hAnsi="Arial"/>
                <w:sz w:val="18"/>
                <w:szCs w:val="18"/>
                <w:color w:val="auto"/>
              </w:rPr>
              <w:t>SECTION 9.05 EXECUTION OF SUPPLEMENTAL INDENTURES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432"/>
        </w:trPr>
        <w:tc>
          <w:tcPr>
            <w:tcW w:w="10080" w:type="dxa"/>
            <w:vAlign w:val="bottom"/>
          </w:tcPr>
          <w:p>
            <w:pPr>
              <w:jc w:val="center"/>
              <w:ind w:left="1250"/>
              <w:spacing w:after="0"/>
              <w:rPr>
                <w:sz w:val="20"/>
                <w:szCs w:val="20"/>
                <w:color w:val="auto"/>
              </w:rPr>
            </w:pPr>
            <w:r>
              <w:rPr>
                <w:rFonts w:ascii="Arial" w:cs="Arial" w:eastAsia="Arial" w:hAnsi="Arial"/>
                <w:sz w:val="18"/>
                <w:szCs w:val="18"/>
                <w:color w:val="auto"/>
                <w:w w:val="96"/>
              </w:rPr>
              <w:t>ARTICLE 10</w:t>
            </w:r>
          </w:p>
        </w:tc>
        <w:tc>
          <w:tcPr>
            <w:tcW w:w="1340" w:type="dxa"/>
            <w:vAlign w:val="bottom"/>
          </w:tcPr>
          <w:p>
            <w:pPr>
              <w:spacing w:after="0"/>
              <w:rPr>
                <w:sz w:val="24"/>
                <w:szCs w:val="24"/>
                <w:color w:val="auto"/>
              </w:rPr>
            </w:pPr>
          </w:p>
        </w:tc>
      </w:tr>
      <w:tr>
        <w:trPr>
          <w:trHeight w:val="432"/>
        </w:trPr>
        <w:tc>
          <w:tcPr>
            <w:tcW w:w="10080" w:type="dxa"/>
            <w:vAlign w:val="bottom"/>
          </w:tcPr>
          <w:p>
            <w:pPr>
              <w:jc w:val="center"/>
              <w:ind w:left="1270"/>
              <w:spacing w:after="0"/>
              <w:rPr>
                <w:sz w:val="20"/>
                <w:szCs w:val="20"/>
                <w:color w:val="auto"/>
              </w:rPr>
            </w:pPr>
            <w:r>
              <w:rPr>
                <w:rFonts w:ascii="Arial" w:cs="Arial" w:eastAsia="Arial" w:hAnsi="Arial"/>
                <w:sz w:val="18"/>
                <w:szCs w:val="18"/>
                <w:color w:val="auto"/>
                <w:w w:val="93"/>
              </w:rPr>
              <w:t>SUCCESSOR ENTITY</w:t>
            </w:r>
          </w:p>
        </w:tc>
        <w:tc>
          <w:tcPr>
            <w:tcW w:w="1340" w:type="dxa"/>
            <w:vAlign w:val="bottom"/>
          </w:tcPr>
          <w:p>
            <w:pPr>
              <w:spacing w:after="0"/>
              <w:rPr>
                <w:sz w:val="24"/>
                <w:szCs w:val="24"/>
                <w:color w:val="auto"/>
              </w:rPr>
            </w:pPr>
          </w:p>
        </w:tc>
      </w:tr>
      <w:tr>
        <w:trPr>
          <w:trHeight w:val="418"/>
        </w:trPr>
        <w:tc>
          <w:tcPr>
            <w:tcW w:w="10080" w:type="dxa"/>
            <w:vAlign w:val="bottom"/>
          </w:tcPr>
          <w:p>
            <w:pPr>
              <w:spacing w:after="0"/>
              <w:rPr>
                <w:sz w:val="20"/>
                <w:szCs w:val="20"/>
                <w:color w:val="auto"/>
              </w:rPr>
            </w:pPr>
            <w:r>
              <w:rPr>
                <w:rFonts w:ascii="Arial" w:cs="Arial" w:eastAsia="Arial" w:hAnsi="Arial"/>
                <w:sz w:val="18"/>
                <w:szCs w:val="18"/>
                <w:color w:val="auto"/>
              </w:rPr>
              <w:t>SECTION 10.01 COMPANY MAY CONSOLIDATE, ETC</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10.02 SUCCESSOR ENTITY SUBSTITUTED</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30"/>
        </w:trPr>
        <w:tc>
          <w:tcPr>
            <w:tcW w:w="10080" w:type="dxa"/>
            <w:vAlign w:val="bottom"/>
          </w:tcPr>
          <w:p>
            <w:pPr>
              <w:spacing w:after="0"/>
              <w:rPr>
                <w:sz w:val="20"/>
                <w:szCs w:val="20"/>
                <w:color w:val="auto"/>
              </w:rPr>
            </w:pPr>
            <w:r>
              <w:rPr>
                <w:rFonts w:ascii="Arial" w:cs="Arial" w:eastAsia="Arial" w:hAnsi="Arial"/>
                <w:sz w:val="18"/>
                <w:szCs w:val="18"/>
                <w:color w:val="auto"/>
              </w:rPr>
              <w:t>SECTION 10.03 EVIDENCE OF CONSOLIDATION, ETC. TO TRUSTEE</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432"/>
        </w:trPr>
        <w:tc>
          <w:tcPr>
            <w:tcW w:w="10080" w:type="dxa"/>
            <w:vAlign w:val="bottom"/>
          </w:tcPr>
          <w:p>
            <w:pPr>
              <w:jc w:val="center"/>
              <w:ind w:left="1270"/>
              <w:spacing w:after="0"/>
              <w:rPr>
                <w:sz w:val="20"/>
                <w:szCs w:val="20"/>
                <w:color w:val="auto"/>
              </w:rPr>
            </w:pPr>
            <w:r>
              <w:rPr>
                <w:rFonts w:ascii="Arial" w:cs="Arial" w:eastAsia="Arial" w:hAnsi="Arial"/>
                <w:sz w:val="18"/>
                <w:szCs w:val="18"/>
                <w:color w:val="auto"/>
                <w:w w:val="94"/>
              </w:rPr>
              <w:t>ARTICLE 11</w:t>
            </w:r>
          </w:p>
        </w:tc>
        <w:tc>
          <w:tcPr>
            <w:tcW w:w="1340" w:type="dxa"/>
            <w:vAlign w:val="bottom"/>
          </w:tcPr>
          <w:p>
            <w:pPr>
              <w:spacing w:after="0"/>
              <w:rPr>
                <w:sz w:val="24"/>
                <w:szCs w:val="24"/>
                <w:color w:val="auto"/>
              </w:rPr>
            </w:pPr>
          </w:p>
        </w:tc>
      </w:tr>
      <w:tr>
        <w:trPr>
          <w:trHeight w:val="432"/>
        </w:trPr>
        <w:tc>
          <w:tcPr>
            <w:tcW w:w="10080" w:type="dxa"/>
            <w:vAlign w:val="bottom"/>
          </w:tcPr>
          <w:p>
            <w:pPr>
              <w:jc w:val="center"/>
              <w:ind w:left="1270"/>
              <w:spacing w:after="0"/>
              <w:rPr>
                <w:sz w:val="20"/>
                <w:szCs w:val="20"/>
                <w:color w:val="auto"/>
              </w:rPr>
            </w:pPr>
            <w:r>
              <w:rPr>
                <w:rFonts w:ascii="Arial" w:cs="Arial" w:eastAsia="Arial" w:hAnsi="Arial"/>
                <w:sz w:val="18"/>
                <w:szCs w:val="18"/>
                <w:color w:val="auto"/>
                <w:w w:val="96"/>
              </w:rPr>
              <w:t>SATISFACTION AND DISCHARGE</w:t>
            </w:r>
          </w:p>
        </w:tc>
        <w:tc>
          <w:tcPr>
            <w:tcW w:w="1340" w:type="dxa"/>
            <w:vAlign w:val="bottom"/>
          </w:tcPr>
          <w:p>
            <w:pPr>
              <w:spacing w:after="0"/>
              <w:rPr>
                <w:sz w:val="24"/>
                <w:szCs w:val="24"/>
                <w:color w:val="auto"/>
              </w:rPr>
            </w:pPr>
          </w:p>
        </w:tc>
      </w:tr>
      <w:tr>
        <w:trPr>
          <w:trHeight w:val="418"/>
        </w:trPr>
        <w:tc>
          <w:tcPr>
            <w:tcW w:w="10080" w:type="dxa"/>
            <w:vAlign w:val="bottom"/>
          </w:tcPr>
          <w:p>
            <w:pPr>
              <w:spacing w:after="0"/>
              <w:rPr>
                <w:sz w:val="20"/>
                <w:szCs w:val="20"/>
                <w:color w:val="auto"/>
              </w:rPr>
            </w:pPr>
            <w:r>
              <w:rPr>
                <w:rFonts w:ascii="Arial" w:cs="Arial" w:eastAsia="Arial" w:hAnsi="Arial"/>
                <w:sz w:val="18"/>
                <w:szCs w:val="18"/>
                <w:color w:val="auto"/>
              </w:rPr>
              <w:t>SECTION 11.01 SATISFACTION AND DISCHARGE OF INDENTURE</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11.02 DEFEASANCE UPON DEPOSIT OF MONEYS OR U.S. GOVERNMENT OBLIGATIONS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11.03 DEPOSITED MONEYS TO BE HELD IN TRUST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11.04 PAYMENT OF MONEYS HELD BY PAYING AGENTS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30"/>
        </w:trPr>
        <w:tc>
          <w:tcPr>
            <w:tcW w:w="10080" w:type="dxa"/>
            <w:vAlign w:val="bottom"/>
          </w:tcPr>
          <w:p>
            <w:pPr>
              <w:spacing w:after="0"/>
              <w:rPr>
                <w:sz w:val="20"/>
                <w:szCs w:val="20"/>
                <w:color w:val="auto"/>
              </w:rPr>
            </w:pPr>
            <w:r>
              <w:rPr>
                <w:rFonts w:ascii="Arial" w:cs="Arial" w:eastAsia="Arial" w:hAnsi="Arial"/>
                <w:sz w:val="18"/>
                <w:szCs w:val="18"/>
                <w:color w:val="auto"/>
              </w:rPr>
              <w:t>SECTION 11.05 REPAYMENT TO COMPANY</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432"/>
        </w:trPr>
        <w:tc>
          <w:tcPr>
            <w:tcW w:w="10080" w:type="dxa"/>
            <w:vAlign w:val="bottom"/>
          </w:tcPr>
          <w:p>
            <w:pPr>
              <w:jc w:val="center"/>
              <w:ind w:left="1250"/>
              <w:spacing w:after="0"/>
              <w:rPr>
                <w:sz w:val="20"/>
                <w:szCs w:val="20"/>
                <w:color w:val="auto"/>
              </w:rPr>
            </w:pPr>
            <w:r>
              <w:rPr>
                <w:rFonts w:ascii="Arial" w:cs="Arial" w:eastAsia="Arial" w:hAnsi="Arial"/>
                <w:sz w:val="18"/>
                <w:szCs w:val="18"/>
                <w:color w:val="auto"/>
                <w:w w:val="96"/>
              </w:rPr>
              <w:t>ARTICLE 12</w:t>
            </w:r>
          </w:p>
        </w:tc>
        <w:tc>
          <w:tcPr>
            <w:tcW w:w="1340" w:type="dxa"/>
            <w:vAlign w:val="bottom"/>
          </w:tcPr>
          <w:p>
            <w:pPr>
              <w:spacing w:after="0"/>
              <w:rPr>
                <w:sz w:val="24"/>
                <w:szCs w:val="24"/>
                <w:color w:val="auto"/>
              </w:rPr>
            </w:pPr>
          </w:p>
        </w:tc>
      </w:tr>
      <w:tr>
        <w:trPr>
          <w:trHeight w:val="432"/>
        </w:trPr>
        <w:tc>
          <w:tcPr>
            <w:tcW w:w="10080" w:type="dxa"/>
            <w:vAlign w:val="bottom"/>
          </w:tcPr>
          <w:p>
            <w:pPr>
              <w:jc w:val="center"/>
              <w:ind w:left="1250"/>
              <w:spacing w:after="0"/>
              <w:rPr>
                <w:sz w:val="20"/>
                <w:szCs w:val="20"/>
                <w:color w:val="auto"/>
              </w:rPr>
            </w:pPr>
            <w:r>
              <w:rPr>
                <w:rFonts w:ascii="Arial" w:cs="Arial" w:eastAsia="Arial" w:hAnsi="Arial"/>
                <w:sz w:val="18"/>
                <w:szCs w:val="18"/>
                <w:color w:val="auto"/>
                <w:w w:val="95"/>
              </w:rPr>
              <w:t>IMMUNITY OF INCORPORATORS, STOCKHOLDERS, OFFICERS AND DIRECTORS</w:t>
            </w:r>
          </w:p>
        </w:tc>
        <w:tc>
          <w:tcPr>
            <w:tcW w:w="1340" w:type="dxa"/>
            <w:vAlign w:val="bottom"/>
          </w:tcPr>
          <w:p>
            <w:pPr>
              <w:spacing w:after="0"/>
              <w:rPr>
                <w:sz w:val="24"/>
                <w:szCs w:val="24"/>
                <w:color w:val="auto"/>
              </w:rPr>
            </w:pPr>
          </w:p>
        </w:tc>
      </w:tr>
      <w:tr>
        <w:trPr>
          <w:trHeight w:val="432"/>
        </w:trPr>
        <w:tc>
          <w:tcPr>
            <w:tcW w:w="10080" w:type="dxa"/>
            <w:vAlign w:val="bottom"/>
          </w:tcPr>
          <w:p>
            <w:pPr>
              <w:spacing w:after="0"/>
              <w:rPr>
                <w:sz w:val="20"/>
                <w:szCs w:val="20"/>
                <w:color w:val="auto"/>
              </w:rPr>
            </w:pPr>
            <w:r>
              <w:rPr>
                <w:rFonts w:ascii="Arial" w:cs="Arial" w:eastAsia="Arial" w:hAnsi="Arial"/>
                <w:sz w:val="18"/>
                <w:szCs w:val="18"/>
                <w:color w:val="auto"/>
              </w:rPr>
              <w:t>SECTION 12.01 NO RECOURSE</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632"/>
        </w:trPr>
        <w:tc>
          <w:tcPr>
            <w:tcW w:w="1008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0"/>
        </w:trPr>
        <w:tc>
          <w:tcPr>
            <w:tcW w:w="9120" w:type="dxa"/>
            <w:vAlign w:val="bottom"/>
          </w:tcPr>
          <w:p>
            <w:pPr>
              <w:jc w:val="center"/>
              <w:ind w:left="2210"/>
              <w:spacing w:after="0"/>
              <w:rPr>
                <w:sz w:val="20"/>
                <w:szCs w:val="20"/>
                <w:color w:val="auto"/>
              </w:rPr>
            </w:pPr>
            <w:r>
              <w:rPr>
                <w:rFonts w:ascii="Arial" w:cs="Arial" w:eastAsia="Arial" w:hAnsi="Arial"/>
                <w:sz w:val="18"/>
                <w:szCs w:val="18"/>
                <w:color w:val="auto"/>
                <w:w w:val="96"/>
              </w:rPr>
              <w:t>ARTICLE 13</w:t>
            </w:r>
          </w:p>
        </w:tc>
        <w:tc>
          <w:tcPr>
            <w:tcW w:w="2300" w:type="dxa"/>
            <w:vAlign w:val="bottom"/>
          </w:tcPr>
          <w:p>
            <w:pPr>
              <w:spacing w:after="0"/>
              <w:rPr>
                <w:sz w:val="20"/>
                <w:szCs w:val="20"/>
                <w:color w:val="auto"/>
              </w:rPr>
            </w:pPr>
          </w:p>
        </w:tc>
      </w:tr>
      <w:tr>
        <w:trPr>
          <w:trHeight w:val="432"/>
        </w:trPr>
        <w:tc>
          <w:tcPr>
            <w:tcW w:w="9120" w:type="dxa"/>
            <w:vAlign w:val="bottom"/>
          </w:tcPr>
          <w:p>
            <w:pPr>
              <w:jc w:val="center"/>
              <w:ind w:left="2230"/>
              <w:spacing w:after="0"/>
              <w:rPr>
                <w:sz w:val="20"/>
                <w:szCs w:val="20"/>
                <w:color w:val="auto"/>
              </w:rPr>
            </w:pPr>
            <w:r>
              <w:rPr>
                <w:rFonts w:ascii="Arial" w:cs="Arial" w:eastAsia="Arial" w:hAnsi="Arial"/>
                <w:sz w:val="18"/>
                <w:szCs w:val="18"/>
                <w:color w:val="auto"/>
                <w:w w:val="96"/>
              </w:rPr>
              <w:t>MISCELLANEOUS PROVISIONS</w:t>
            </w:r>
          </w:p>
        </w:tc>
        <w:tc>
          <w:tcPr>
            <w:tcW w:w="2300" w:type="dxa"/>
            <w:vAlign w:val="bottom"/>
          </w:tcPr>
          <w:p>
            <w:pPr>
              <w:spacing w:after="0"/>
              <w:rPr>
                <w:sz w:val="24"/>
                <w:szCs w:val="24"/>
                <w:color w:val="auto"/>
              </w:rPr>
            </w:pPr>
          </w:p>
        </w:tc>
      </w:tr>
      <w:tr>
        <w:trPr>
          <w:trHeight w:val="418"/>
        </w:trPr>
        <w:tc>
          <w:tcPr>
            <w:tcW w:w="9120" w:type="dxa"/>
            <w:vAlign w:val="bottom"/>
          </w:tcPr>
          <w:p>
            <w:pPr>
              <w:spacing w:after="0"/>
              <w:rPr>
                <w:sz w:val="20"/>
                <w:szCs w:val="20"/>
                <w:color w:val="auto"/>
              </w:rPr>
            </w:pPr>
            <w:r>
              <w:rPr>
                <w:rFonts w:ascii="Arial" w:cs="Arial" w:eastAsia="Arial" w:hAnsi="Arial"/>
                <w:sz w:val="18"/>
                <w:szCs w:val="18"/>
                <w:color w:val="auto"/>
              </w:rPr>
              <w:t>SECTION 13.01 EFFECT ON SUCCESSORS AND ASSIGNS</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13.02 ACTIONS BY SUCCESSOR</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13.03 SURRENDER OF COMPANY POWERS</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13.04 NOTICES</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13.05 GOVERNING LAW; WAIVER OF JURY TRIAL</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13.06 CERTIFICATES AND OPINIONS AS TO CONDITIONS PRECEDENT</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13.07 PAYMENTS ON BUSINESS DAYS</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13.08 CONFLICT WITH TRUST INDENTURE ACT</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13.09 COUNTERPARTS</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30"/>
        </w:trPr>
        <w:tc>
          <w:tcPr>
            <w:tcW w:w="9120" w:type="dxa"/>
            <w:vAlign w:val="bottom"/>
          </w:tcPr>
          <w:p>
            <w:pPr>
              <w:spacing w:after="0"/>
              <w:rPr>
                <w:sz w:val="20"/>
                <w:szCs w:val="20"/>
                <w:color w:val="auto"/>
              </w:rPr>
            </w:pPr>
            <w:r>
              <w:rPr>
                <w:rFonts w:ascii="Arial" w:cs="Arial" w:eastAsia="Arial" w:hAnsi="Arial"/>
                <w:sz w:val="18"/>
                <w:szCs w:val="18"/>
                <w:color w:val="auto"/>
              </w:rPr>
              <w:t>SECTION 13.10 SEPARABILITY</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432"/>
        </w:trPr>
        <w:tc>
          <w:tcPr>
            <w:tcW w:w="9120" w:type="dxa"/>
            <w:vAlign w:val="bottom"/>
          </w:tcPr>
          <w:p>
            <w:pPr>
              <w:jc w:val="center"/>
              <w:ind w:left="2210"/>
              <w:spacing w:after="0"/>
              <w:rPr>
                <w:sz w:val="20"/>
                <w:szCs w:val="20"/>
                <w:color w:val="auto"/>
              </w:rPr>
            </w:pPr>
            <w:r>
              <w:rPr>
                <w:rFonts w:ascii="Arial" w:cs="Arial" w:eastAsia="Arial" w:hAnsi="Arial"/>
                <w:sz w:val="18"/>
                <w:szCs w:val="18"/>
                <w:color w:val="auto"/>
                <w:w w:val="96"/>
              </w:rPr>
              <w:t>ARTICLE 14</w:t>
            </w:r>
          </w:p>
        </w:tc>
        <w:tc>
          <w:tcPr>
            <w:tcW w:w="2300" w:type="dxa"/>
            <w:vAlign w:val="bottom"/>
          </w:tcPr>
          <w:p>
            <w:pPr>
              <w:spacing w:after="0"/>
              <w:rPr>
                <w:sz w:val="24"/>
                <w:szCs w:val="24"/>
                <w:color w:val="auto"/>
              </w:rPr>
            </w:pPr>
          </w:p>
        </w:tc>
      </w:tr>
      <w:tr>
        <w:trPr>
          <w:trHeight w:val="432"/>
        </w:trPr>
        <w:tc>
          <w:tcPr>
            <w:tcW w:w="9120" w:type="dxa"/>
            <w:vAlign w:val="bottom"/>
          </w:tcPr>
          <w:p>
            <w:pPr>
              <w:jc w:val="center"/>
              <w:ind w:left="2230"/>
              <w:spacing w:after="0"/>
              <w:rPr>
                <w:sz w:val="20"/>
                <w:szCs w:val="20"/>
                <w:color w:val="auto"/>
              </w:rPr>
            </w:pPr>
            <w:r>
              <w:rPr>
                <w:rFonts w:ascii="Arial" w:cs="Arial" w:eastAsia="Arial" w:hAnsi="Arial"/>
                <w:sz w:val="18"/>
                <w:szCs w:val="18"/>
                <w:color w:val="auto"/>
                <w:w w:val="95"/>
              </w:rPr>
              <w:t>SUBORDINATION OF SECURITIES</w:t>
            </w:r>
          </w:p>
        </w:tc>
        <w:tc>
          <w:tcPr>
            <w:tcW w:w="2300" w:type="dxa"/>
            <w:vAlign w:val="bottom"/>
          </w:tcPr>
          <w:p>
            <w:pPr>
              <w:spacing w:after="0"/>
              <w:rPr>
                <w:sz w:val="24"/>
                <w:szCs w:val="24"/>
                <w:color w:val="auto"/>
              </w:rPr>
            </w:pPr>
          </w:p>
        </w:tc>
      </w:tr>
      <w:tr>
        <w:trPr>
          <w:trHeight w:val="432"/>
        </w:trPr>
        <w:tc>
          <w:tcPr>
            <w:tcW w:w="9120" w:type="dxa"/>
            <w:vAlign w:val="bottom"/>
          </w:tcPr>
          <w:p>
            <w:pPr>
              <w:spacing w:after="0"/>
              <w:rPr>
                <w:sz w:val="20"/>
                <w:szCs w:val="20"/>
                <w:color w:val="auto"/>
              </w:rPr>
            </w:pPr>
            <w:r>
              <w:rPr>
                <w:rFonts w:ascii="Arial" w:cs="Arial" w:eastAsia="Arial" w:hAnsi="Arial"/>
                <w:sz w:val="18"/>
                <w:szCs w:val="18"/>
                <w:color w:val="auto"/>
              </w:rPr>
              <w:t>SECTION 14.01 SUBORDINATION TERMS</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632"/>
        </w:trPr>
        <w:tc>
          <w:tcPr>
            <w:tcW w:w="912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color w:val="auto"/>
        </w:rPr>
        <w:t>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INDENTURE, dated as of __________________, 2010, among REGENERON PHARMACEUTICALS, INC., a New York corporation (the “Company”),</w:t>
      </w:r>
    </w:p>
    <w:p>
      <w:pPr>
        <w:spacing w:after="0" w:line="4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and [</w:t>
      </w:r>
      <w:r>
        <w:rPr>
          <w:rFonts w:ascii="Arial" w:cs="Arial" w:eastAsia="Arial" w:hAnsi="Arial"/>
          <w:sz w:val="18"/>
          <w:szCs w:val="18"/>
          <w:b w:val="1"/>
          <w:bCs w:val="1"/>
          <w:color w:val="auto"/>
        </w:rPr>
        <w:t>•</w:t>
      </w:r>
      <w:r>
        <w:rPr>
          <w:rFonts w:ascii="Arial" w:cs="Arial" w:eastAsia="Arial" w:hAnsi="Arial"/>
          <w:sz w:val="18"/>
          <w:szCs w:val="18"/>
          <w:color w:val="auto"/>
        </w:rPr>
        <w:t>], as trustee (the “Trustee”): WHEREAS,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82"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WHEREAS, to provide the terms and conditions upon which the Securities are to be authenticated, issued and delivered, the Company has duly authorized the execution of this Indenture; and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all things necessary to make this Indenture a valid agreement of the Company, in accordance with its terms, have been done.</w:t>
      </w:r>
    </w:p>
    <w:p>
      <w:pPr>
        <w:spacing w:after="0" w:line="117"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NOW, THEREFORE, in consideration of the premises and the purchase of the Securities by the holders thereof, it is mutually covenanted and agreed as follows for the equal and ratable benefit of the holders of Securities: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 OF TERMS</w:t>
      </w:r>
      <w:r>
        <w:rPr>
          <w:rFonts w:ascii="Arial" w:cs="Arial" w:eastAsia="Arial" w:hAnsi="Arial"/>
          <w:sz w:val="18"/>
          <w:szCs w:val="18"/>
          <w:color w:val="auto"/>
        </w:rPr>
        <w:t>.</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85"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“AUTHENTICATING AGENT” means an authenticating agent with respect to all or any of the series of Securities appointed by the Trustee pursuant to Section 2.10.</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“BANKRUPTCY LAW” means Title 11, U.S. Code, or any similar federal or state law for the relief of debtors.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“BOARD OF DIRECTORS” means the Board of Directors of the Company or any duly authorized committee of such Board.</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3" w:right="279" w:bottom="1440" w:gutter="0" w:footer="0" w:header="0"/>
        </w:sectPr>
      </w:pPr>
    </w:p>
    <w:bookmarkStart w:id="38" w:name="page39"/>
    <w:bookmarkEnd w:id="38"/>
    <w:p>
      <w:pPr>
        <w:ind w:right="120" w:firstLine="225"/>
        <w:spacing w:after="0" w:line="264" w:lineRule="auto"/>
        <w:rPr>
          <w:sz w:val="20"/>
          <w:szCs w:val="20"/>
          <w:color w:val="auto"/>
        </w:rPr>
      </w:pPr>
      <w:r>
        <w:rPr>
          <w:rFonts w:ascii="Arial" w:cs="Arial" w:eastAsia="Arial" w:hAnsi="Arial"/>
          <w:sz w:val="18"/>
          <w:szCs w:val="18"/>
          <w:color w:val="auto"/>
        </w:rPr>
        <w:t>“BUSINESS DAY”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“CERTIFICATE” means a certificate signed by any Officer. The Certificate need not comply with the provisions of Section 13.07.</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“COMPANY” means Regeneron Pharmaceuticals, Inc., a corporation duly organized and existing under the laws of the State of New York, and, subject to the provisions of Article Ten, shall also include its successors and assigns.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“COMPANY ORDER” means a written order signed in the name of the Company by an Officer and delivered to the Trustee.</w:t>
      </w:r>
    </w:p>
    <w:p>
      <w:pPr>
        <w:spacing w:after="0" w:line="117" w:lineRule="exact"/>
        <w:rPr>
          <w:sz w:val="20"/>
          <w:szCs w:val="20"/>
          <w:color w:val="auto"/>
        </w:rPr>
      </w:pPr>
    </w:p>
    <w:p>
      <w:pPr>
        <w:ind w:right="720" w:firstLine="225"/>
        <w:spacing w:after="0" w:line="277" w:lineRule="auto"/>
        <w:rPr>
          <w:sz w:val="20"/>
          <w:szCs w:val="20"/>
          <w:color w:val="auto"/>
        </w:rPr>
      </w:pPr>
      <w:r>
        <w:rPr>
          <w:rFonts w:ascii="Arial" w:cs="Arial" w:eastAsia="Arial" w:hAnsi="Arial"/>
          <w:sz w:val="18"/>
          <w:szCs w:val="18"/>
          <w:color w:val="auto"/>
        </w:rPr>
        <w:t>“CORPORATE TRUST OFFICE” means the office of the Trustee at which, at any particular time, its corporate trust business shall be principally administered, which office at the date hereof is located at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“CUSTODIAN” means any receiver, trustee, assignee, liquidator or similar official under any Bankruptcy Law.</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“DEFAULT” means any event, act or condition that with notice or lapse of time, or both, would constitute an Event of Default.</w:t>
      </w:r>
    </w:p>
    <w:p>
      <w:pPr>
        <w:spacing w:after="0" w:line="117"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“DEPOSITARY” means, with respect to Securities of any series for which the Company shall determine that such Securities will be issued as a Global Security, The Depository Trust Company, New York, New York, another clearing agency, or any successor registered as a clearing agency under the Securities and Exchange Act of 1934, as amended (the “Exchange Act”), or other applicable statute or regulation, which, in each case, shall be designated by the Company pursuant to either Section 2.01 or 2.11.</w:t>
      </w:r>
    </w:p>
    <w:p>
      <w:pPr>
        <w:spacing w:after="0" w:line="79"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“EVENT OF DEFAULT” means, with respect to Securities of a particular series, any event specified in Section 6.01, continued for the period of time, if any, therein designated.</w:t>
      </w:r>
    </w:p>
    <w:p>
      <w:pPr>
        <w:spacing w:after="0" w:line="62" w:lineRule="exact"/>
        <w:rPr>
          <w:sz w:val="20"/>
          <w:szCs w:val="20"/>
          <w:color w:val="auto"/>
        </w:rPr>
      </w:pPr>
    </w:p>
    <w:p>
      <w:pPr>
        <w:ind w:right="400" w:firstLine="225"/>
        <w:spacing w:after="0" w:line="264" w:lineRule="auto"/>
        <w:rPr>
          <w:sz w:val="20"/>
          <w:szCs w:val="20"/>
          <w:color w:val="auto"/>
        </w:rPr>
      </w:pPr>
      <w:r>
        <w:rPr>
          <w:rFonts w:ascii="Arial" w:cs="Arial" w:eastAsia="Arial" w:hAnsi="Arial"/>
          <w:sz w:val="18"/>
          <w:szCs w:val="18"/>
          <w:color w:val="auto"/>
        </w:rPr>
        <w:t>“GLOBAL SECURITY” means, with respect to any series of Securities, a Security executed by the Company and delivered by the Trustee to the Depositary or pursuant to the Depositary’s instruction, all in accordance with the Indenture, which shall be registered in the name of the Depositary or its nominee.</w:t>
      </w:r>
    </w:p>
    <w:p>
      <w:pPr>
        <w:spacing w:after="0" w:line="73"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“GOVERNMENTAL OBLIGATIONS”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Obligation or the specific payment of principal of or interest on the Governmental Obligation evidenced by such depositary receipt.</w:t>
      </w:r>
    </w:p>
    <w:p>
      <w:pPr>
        <w:spacing w:after="0" w:line="117"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“HEREIN”, “HEREOF” and “HEREUNDER”, and other words of similar import, refer to this Indenture as a whole and not to any particular Article, Section or other subdivision.</w:t>
      </w:r>
    </w:p>
    <w:p>
      <w:pPr>
        <w:spacing w:after="0" w:line="62"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“INDENTURE” means this instrument as originally executed or as it may from time to time be supplemented or amended by one or more indentures supplemental hereto entered into in accordance with the terms hereof.</w:t>
      </w:r>
    </w:p>
    <w:p>
      <w:pPr>
        <w:spacing w:after="0" w:line="62" w:lineRule="exact"/>
        <w:rPr>
          <w:sz w:val="20"/>
          <w:szCs w:val="20"/>
          <w:color w:val="auto"/>
        </w:rPr>
      </w:pPr>
    </w:p>
    <w:p>
      <w:pPr>
        <w:ind w:right="340" w:firstLine="225"/>
        <w:spacing w:after="0" w:line="264" w:lineRule="auto"/>
        <w:rPr>
          <w:sz w:val="20"/>
          <w:szCs w:val="20"/>
          <w:color w:val="auto"/>
        </w:rPr>
      </w:pPr>
      <w:r>
        <w:rPr>
          <w:rFonts w:ascii="Arial" w:cs="Arial" w:eastAsia="Arial" w:hAnsi="Arial"/>
          <w:sz w:val="18"/>
          <w:szCs w:val="18"/>
          <w:color w:val="auto"/>
        </w:rPr>
        <w:t>“INTEREST PAYMENT DATE”, when used with respect to any installment of interest on a Security of a particular series, means the date specified in such Security, a Company Order, a Board Resolution or in an indenture supplemental hereto with respect to such series as the fixed date on which an installment of interest with respect to Securities of that series is due and payable.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“OBLIGOR” on the Securities means the Company and any successor obligor on the Securities.</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“OFFICER” means, with respect to the Company, the chairman of the Board of Directors, a chief executive officer, a president, a chief operating officer, any senior vice president, any vice president or a chief financial officer, the treasurer or any assistant treasurer, the controller or any assistant controller or the secretary or any assistant secretary.</w:t>
      </w:r>
    </w:p>
    <w:p>
      <w:pPr>
        <w:spacing w:after="0" w:line="73" w:lineRule="exact"/>
        <w:rPr>
          <w:sz w:val="20"/>
          <w:szCs w:val="20"/>
          <w:color w:val="auto"/>
        </w:rPr>
      </w:pPr>
    </w:p>
    <w:p>
      <w:pPr>
        <w:ind w:right="820" w:firstLine="225"/>
        <w:spacing w:after="0" w:line="277" w:lineRule="auto"/>
        <w:rPr>
          <w:sz w:val="20"/>
          <w:szCs w:val="20"/>
          <w:color w:val="auto"/>
        </w:rPr>
      </w:pPr>
      <w:r>
        <w:rPr>
          <w:rFonts w:ascii="Arial" w:cs="Arial" w:eastAsia="Arial" w:hAnsi="Arial"/>
          <w:sz w:val="18"/>
          <w:szCs w:val="18"/>
          <w:color w:val="auto"/>
        </w:rPr>
        <w:t>“OFFICERS’ CERTIFICATE” means a certificate signed by any two Officers. Each such certificate shall include the statements provided for in Section 13.07, if and to the extent required by the provisions thereof.</w:t>
      </w:r>
    </w:p>
    <w:p>
      <w:pPr>
        <w:spacing w:after="0" w:line="62"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“OPINION OF COUNSEL”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73" w:lineRule="exact"/>
        <w:rPr>
          <w:sz w:val="20"/>
          <w:szCs w:val="20"/>
          <w:color w:val="auto"/>
        </w:rPr>
      </w:pPr>
    </w:p>
    <w:p>
      <w:pPr>
        <w:ind w:right="140" w:firstLine="225"/>
        <w:spacing w:after="0" w:line="284" w:lineRule="auto"/>
        <w:rPr>
          <w:sz w:val="20"/>
          <w:szCs w:val="20"/>
          <w:color w:val="auto"/>
        </w:rPr>
      </w:pPr>
      <w:r>
        <w:rPr>
          <w:rFonts w:ascii="Arial" w:cs="Arial" w:eastAsia="Arial" w:hAnsi="Arial"/>
          <w:sz w:val="16"/>
          <w:szCs w:val="16"/>
          <w:color w:val="auto"/>
        </w:rPr>
        <w:t>“OUTSTANDING”,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Three provided, or provision satisfactory to the Trustee shall have been made for giving such notice; and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 Securities in lieu of or in substitution for which other Securities shall have been authenticated and delivered pursuant to the terms of Section 2.07.</w:t>
      </w:r>
    </w:p>
    <w:p>
      <w:pPr>
        <w:spacing w:after="0" w:line="114" w:lineRule="exact"/>
        <w:rPr>
          <w:sz w:val="20"/>
          <w:szCs w:val="20"/>
          <w:color w:val="auto"/>
        </w:rPr>
      </w:pPr>
    </w:p>
    <w:p>
      <w:pPr>
        <w:ind w:right="600" w:firstLine="225"/>
        <w:spacing w:after="0" w:line="342" w:lineRule="auto"/>
        <w:rPr>
          <w:sz w:val="20"/>
          <w:szCs w:val="20"/>
          <w:color w:val="auto"/>
        </w:rPr>
      </w:pPr>
      <w:r>
        <w:rPr>
          <w:rFonts w:ascii="Arial" w:cs="Arial" w:eastAsia="Arial" w:hAnsi="Arial"/>
          <w:sz w:val="16"/>
          <w:szCs w:val="16"/>
          <w:color w:val="auto"/>
        </w:rPr>
        <w:t>“PERSON”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6"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2.07 in lieu of a lost,</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destroyed or stolen Security shall be deemed to evidence the same debt as the lost, destroyed or stolen Security.</w:t>
      </w:r>
    </w:p>
    <w:p>
      <w:pPr>
        <w:spacing w:after="0" w:line="11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“RESPONSIBLE OFFICER” when used with respect to the Trustee means the chairman of its board of directors, the chief executive officer, the president, any vice president, the secretary, the treasurer, any trust officer, any corporate trust officer or any other officer or assistant officer of the Trustee customarily performing functions similar to those performed by the Persons who at the time shall be such officers, respectively, or to whom any corporate trust matter is referred because of his or her knowledge of and familiarity with the particular subject.</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“SECURITIES” means the debt Securities authenticated and delivered under this Indenture.</w:t>
      </w:r>
    </w:p>
    <w:p>
      <w:pPr>
        <w:spacing w:after="0" w:line="117" w:lineRule="exact"/>
        <w:rPr>
          <w:sz w:val="20"/>
          <w:szCs w:val="20"/>
          <w:color w:val="auto"/>
        </w:rPr>
      </w:pPr>
    </w:p>
    <w:p>
      <w:pPr>
        <w:ind w:right="600" w:firstLine="225"/>
        <w:spacing w:after="0" w:line="342" w:lineRule="auto"/>
        <w:rPr>
          <w:sz w:val="20"/>
          <w:szCs w:val="20"/>
          <w:color w:val="auto"/>
        </w:rPr>
      </w:pPr>
      <w:r>
        <w:rPr>
          <w:rFonts w:ascii="Arial" w:cs="Arial" w:eastAsia="Arial" w:hAnsi="Arial"/>
          <w:sz w:val="16"/>
          <w:szCs w:val="16"/>
          <w:color w:val="auto"/>
        </w:rPr>
        <w:t>“SECURITYHOLDER”, “holder of Securities”, “registered holder”, or other similar term, means the Person or Persons in whose name or names a particular Security shall be registered on the books of the Company kept for that purpose in accordance with the terms of this Indenture.</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“SECURITY REGISTER” and “SECURITY REGISTRAR” shall have the meanings as set forth in Section 2.05.</w:t>
      </w:r>
    </w:p>
    <w:p>
      <w:pPr>
        <w:spacing w:after="0" w:line="117"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“SUBSIDIARY”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spacing w:after="0" w:line="76" w:lineRule="exact"/>
        <w:rPr>
          <w:sz w:val="20"/>
          <w:szCs w:val="20"/>
          <w:color w:val="auto"/>
        </w:rPr>
      </w:pPr>
    </w:p>
    <w:p>
      <w:pPr>
        <w:ind w:right="100" w:firstLine="225"/>
        <w:spacing w:after="0" w:line="266" w:lineRule="auto"/>
        <w:rPr>
          <w:sz w:val="20"/>
          <w:szCs w:val="20"/>
          <w:color w:val="auto"/>
        </w:rPr>
      </w:pPr>
      <w:r>
        <w:rPr>
          <w:rFonts w:ascii="Arial" w:cs="Arial" w:eastAsia="Arial" w:hAnsi="Arial"/>
          <w:sz w:val="18"/>
          <w:szCs w:val="18"/>
          <w:color w:val="auto"/>
        </w:rPr>
        <w:t>“TRUSTEE” means [</w:t>
      </w:r>
      <w:r>
        <w:rPr>
          <w:rFonts w:ascii="Arial" w:cs="Arial" w:eastAsia="Arial" w:hAnsi="Arial"/>
          <w:sz w:val="18"/>
          <w:szCs w:val="18"/>
          <w:b w:val="1"/>
          <w:bCs w:val="1"/>
          <w:color w:val="auto"/>
        </w:rPr>
        <w:t>•</w:t>
      </w:r>
      <w:r>
        <w:rPr>
          <w:rFonts w:ascii="Arial" w:cs="Arial" w:eastAsia="Arial" w:hAnsi="Arial"/>
          <w:sz w:val="18"/>
          <w:szCs w:val="18"/>
          <w:color w:val="auto"/>
        </w:rPr>
        <w:t>],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“TRUST INDENTURE ACT” means the Trust Indenture Act of 1939, as amended.</w:t>
      </w:r>
    </w:p>
    <w:p>
      <w:pPr>
        <w:spacing w:after="0" w:line="117" w:lineRule="exact"/>
        <w:rPr>
          <w:sz w:val="20"/>
          <w:szCs w:val="20"/>
          <w:color w:val="auto"/>
        </w:rPr>
      </w:pPr>
    </w:p>
    <w:p>
      <w:pPr>
        <w:ind w:right="200" w:firstLine="225"/>
        <w:spacing w:after="0" w:line="286" w:lineRule="auto"/>
        <w:rPr>
          <w:sz w:val="20"/>
          <w:szCs w:val="20"/>
          <w:color w:val="auto"/>
        </w:rPr>
      </w:pPr>
      <w:r>
        <w:rPr>
          <w:rFonts w:ascii="Arial" w:cs="Arial" w:eastAsia="Arial" w:hAnsi="Arial"/>
          <w:sz w:val="17"/>
          <w:szCs w:val="17"/>
          <w:color w:val="auto"/>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70"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2</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b w:val="1"/>
          <w:bCs w:val="1"/>
          <w:u w:val="single" w:color="auto"/>
          <w:color w:val="auto"/>
        </w:rPr>
        <w:t>ISSUE, DESCRIPTION, TERMS, EXECUTION, REGISTRATION AND EXCHANGE OF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DESIGNATION AND TERMS OF SECURITIES</w:t>
      </w:r>
      <w:r>
        <w:rPr>
          <w:rFonts w:ascii="Arial" w:cs="Arial" w:eastAsia="Arial" w:hAnsi="Arial"/>
          <w:sz w:val="18"/>
          <w:szCs w:val="18"/>
          <w:color w:val="auto"/>
        </w:rPr>
        <w:t>.</w:t>
      </w:r>
    </w:p>
    <w:p>
      <w:pPr>
        <w:spacing w:after="0" w:line="117" w:lineRule="exact"/>
        <w:rPr>
          <w:sz w:val="20"/>
          <w:szCs w:val="20"/>
          <w:color w:val="auto"/>
        </w:rPr>
      </w:pPr>
    </w:p>
    <w:p>
      <w:pPr>
        <w:ind w:right="60" w:firstLine="458"/>
        <w:spacing w:after="0" w:line="264" w:lineRule="auto"/>
        <w:tabs>
          <w:tab w:leader="none" w:pos="70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Company Order or pursuant to one or more indentures supplemental hereto. Prior to the initial issuance 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t>Securities of any series, there shall be established and set forth in a Company Order, or established in one or more indentures supplemental hereto:</w:t>
      </w:r>
    </w:p>
    <w:p>
      <w:pPr>
        <w:spacing w:after="0" w:line="129" w:lineRule="exact"/>
        <w:rPr>
          <w:sz w:val="20"/>
          <w:szCs w:val="20"/>
          <w:color w:val="auto"/>
        </w:rPr>
      </w:pPr>
    </w:p>
    <w:p>
      <w:pPr>
        <w:ind w:left="900" w:hanging="217"/>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that series from all other Securities);</w:t>
      </w:r>
    </w:p>
    <w:p>
      <w:pPr>
        <w:spacing w:after="0" w:line="117" w:lineRule="exact"/>
        <w:rPr>
          <w:rFonts w:ascii="Arial" w:cs="Arial" w:eastAsia="Arial" w:hAnsi="Arial"/>
          <w:sz w:val="18"/>
          <w:szCs w:val="18"/>
          <w:color w:val="auto"/>
        </w:rPr>
      </w:pPr>
    </w:p>
    <w:p>
      <w:pPr>
        <w:ind w:right="540" w:firstLine="683"/>
        <w:spacing w:after="0" w:line="342" w:lineRule="auto"/>
        <w:tabs>
          <w:tab w:leader="none" w:pos="9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5" w:lineRule="exact"/>
        <w:rPr>
          <w:rFonts w:ascii="Arial" w:cs="Arial" w:eastAsia="Arial" w:hAnsi="Arial"/>
          <w:sz w:val="16"/>
          <w:szCs w:val="16"/>
          <w:color w:val="auto"/>
        </w:rPr>
      </w:pPr>
    </w:p>
    <w:p>
      <w:pPr>
        <w:ind w:right="140" w:firstLine="683"/>
        <w:spacing w:after="0" w:line="277" w:lineRule="auto"/>
        <w:tabs>
          <w:tab w:leader="none" w:pos="99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 any original issue discount that may apply to the Securities of that series upon their issuance, the principal amount due at maturity, and the place(s) of payment;</w:t>
      </w:r>
    </w:p>
    <w:p>
      <w:pPr>
        <w:spacing w:after="0" w:line="62" w:lineRule="exact"/>
        <w:rPr>
          <w:rFonts w:ascii="Arial" w:cs="Arial" w:eastAsia="Arial" w:hAnsi="Arial"/>
          <w:sz w:val="18"/>
          <w:szCs w:val="18"/>
          <w:color w:val="auto"/>
        </w:rPr>
      </w:pPr>
    </w:p>
    <w:p>
      <w:pPr>
        <w:ind w:left="980" w:hanging="297"/>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rate or rates at which the Securities of the series shall bear interest or the manner of calculation of such rate or rates, if any;</w:t>
      </w:r>
    </w:p>
    <w:p>
      <w:pPr>
        <w:spacing w:after="0" w:line="117" w:lineRule="exact"/>
        <w:rPr>
          <w:rFonts w:ascii="Arial" w:cs="Arial" w:eastAsia="Arial" w:hAnsi="Arial"/>
          <w:sz w:val="18"/>
          <w:szCs w:val="18"/>
          <w:color w:val="auto"/>
        </w:rPr>
      </w:pPr>
    </w:p>
    <w:p>
      <w:pPr>
        <w:ind w:right="280" w:firstLine="683"/>
        <w:spacing w:after="0" w:line="264" w:lineRule="auto"/>
        <w:tabs>
          <w:tab w:leader="none" w:pos="93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73" w:lineRule="exact"/>
        <w:rPr>
          <w:rFonts w:ascii="Arial" w:cs="Arial" w:eastAsia="Arial" w:hAnsi="Arial"/>
          <w:sz w:val="18"/>
          <w:szCs w:val="18"/>
          <w:color w:val="auto"/>
        </w:rPr>
      </w:pPr>
    </w:p>
    <w:p>
      <w:pPr>
        <w:ind w:left="980" w:hanging="297"/>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such extension;</w:t>
      </w:r>
    </w:p>
    <w:p>
      <w:pPr>
        <w:spacing w:after="0" w:line="117" w:lineRule="exact"/>
        <w:rPr>
          <w:rFonts w:ascii="Arial" w:cs="Arial" w:eastAsia="Arial" w:hAnsi="Arial"/>
          <w:sz w:val="18"/>
          <w:szCs w:val="18"/>
          <w:color w:val="auto"/>
        </w:rPr>
      </w:pPr>
    </w:p>
    <w:p>
      <w:pPr>
        <w:ind w:right="580" w:firstLine="683"/>
        <w:spacing w:after="0" w:line="277" w:lineRule="auto"/>
        <w:tabs>
          <w:tab w:leader="none" w:pos="103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Securities of the series may be redeemed, in whole or in part, at the option of the Company;</w:t>
      </w:r>
    </w:p>
    <w:p>
      <w:pPr>
        <w:spacing w:after="0" w:line="62" w:lineRule="exact"/>
        <w:rPr>
          <w:rFonts w:ascii="Arial" w:cs="Arial" w:eastAsia="Arial" w:hAnsi="Arial"/>
          <w:sz w:val="18"/>
          <w:szCs w:val="18"/>
          <w:color w:val="auto"/>
        </w:rPr>
      </w:pPr>
    </w:p>
    <w:p>
      <w:pPr>
        <w:ind w:firstLine="683"/>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78" w:lineRule="exact"/>
        <w:rPr>
          <w:rFonts w:ascii="Arial" w:cs="Arial" w:eastAsia="Arial" w:hAnsi="Arial"/>
          <w:sz w:val="18"/>
          <w:szCs w:val="18"/>
          <w:color w:val="auto"/>
        </w:rPr>
      </w:pPr>
    </w:p>
    <w:p>
      <w:pPr>
        <w:ind w:left="980" w:hanging="297"/>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form of the Securities of the series including the form of the Certificate of Authentication for such series;</w:t>
      </w:r>
    </w:p>
    <w:p>
      <w:pPr>
        <w:spacing w:after="0" w:line="117" w:lineRule="exact"/>
        <w:rPr>
          <w:rFonts w:ascii="Arial" w:cs="Arial" w:eastAsia="Arial" w:hAnsi="Arial"/>
          <w:sz w:val="18"/>
          <w:szCs w:val="18"/>
          <w:color w:val="auto"/>
        </w:rPr>
      </w:pPr>
    </w:p>
    <w:p>
      <w:pPr>
        <w:ind w:right="120" w:firstLine="683"/>
        <w:spacing w:after="0" w:line="277" w:lineRule="auto"/>
        <w:tabs>
          <w:tab w:leader="none" w:pos="93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other than denominations of one thousand U.S. dollars ($1,000) or any integral multiple thereof, the denominations in which the Securities of the series shall be issuable;</w:t>
      </w:r>
    </w:p>
    <w:p>
      <w:pPr>
        <w:spacing w:after="0" w:line="62" w:lineRule="exact"/>
        <w:rPr>
          <w:rFonts w:ascii="Arial" w:cs="Arial" w:eastAsia="Arial" w:hAnsi="Arial"/>
          <w:sz w:val="18"/>
          <w:szCs w:val="18"/>
          <w:color w:val="auto"/>
        </w:rPr>
      </w:pPr>
    </w:p>
    <w:p>
      <w:pPr>
        <w:ind w:left="980" w:hanging="297"/>
        <w:spacing w:after="0"/>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whether the Securities are issuable as a Global Security and, in such case, the terms and the identity of the Depositary for such series;</w:t>
      </w:r>
    </w:p>
    <w:p>
      <w:pPr>
        <w:spacing w:after="0" w:line="128" w:lineRule="exact"/>
        <w:rPr>
          <w:rFonts w:ascii="Arial" w:cs="Arial" w:eastAsia="Arial" w:hAnsi="Arial"/>
          <w:sz w:val="17"/>
          <w:szCs w:val="17"/>
          <w:color w:val="auto"/>
        </w:rPr>
      </w:pPr>
    </w:p>
    <w:p>
      <w:pPr>
        <w:ind w:right="60" w:firstLine="683"/>
        <w:spacing w:after="0" w:line="264" w:lineRule="auto"/>
        <w:tabs>
          <w:tab w:leader="none" w:pos="103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the Securities will be convertible into or exchangeable for shares of common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optional (at the Company’s option or the holders’ option) conversion or exchange features, and the applicable conversion or exchange period;</w:t>
      </w:r>
    </w:p>
    <w:p>
      <w:pPr>
        <w:spacing w:after="0" w:line="117" w:lineRule="exact"/>
        <w:rPr>
          <w:sz w:val="20"/>
          <w:szCs w:val="20"/>
          <w:color w:val="auto"/>
        </w:rPr>
      </w:pPr>
    </w:p>
    <w:p>
      <w:pPr>
        <w:ind w:right="720" w:firstLine="683"/>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 pursuant to Section 6.01;</w:t>
      </w:r>
    </w:p>
    <w:p>
      <w:pPr>
        <w:spacing w:after="0" w:line="62" w:lineRule="exact"/>
        <w:rPr>
          <w:rFonts w:ascii="Arial" w:cs="Arial" w:eastAsia="Arial" w:hAnsi="Arial"/>
          <w:sz w:val="18"/>
          <w:szCs w:val="18"/>
          <w:color w:val="auto"/>
        </w:rPr>
      </w:pPr>
    </w:p>
    <w:p>
      <w:pPr>
        <w:ind w:left="1080" w:hanging="397"/>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additional or different Events of Default or restrictive covenants or financial covenants provided for with respect to the Securities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series;</w:t>
      </w:r>
    </w:p>
    <w:p>
      <w:pPr>
        <w:spacing w:after="0" w:line="102" w:lineRule="exact"/>
        <w:rPr>
          <w:rFonts w:ascii="Arial" w:cs="Arial" w:eastAsia="Arial" w:hAnsi="Arial"/>
          <w:sz w:val="16"/>
          <w:szCs w:val="16"/>
          <w:color w:val="auto"/>
        </w:rPr>
      </w:pPr>
    </w:p>
    <w:p>
      <w:pPr>
        <w:ind w:left="1020" w:hanging="337"/>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other than dollars, the coin or currency in which the Securities of the series are denominated (including, but not limited to, foreign currency);</w:t>
      </w:r>
    </w:p>
    <w:p>
      <w:pPr>
        <w:spacing w:after="0" w:line="140" w:lineRule="exact"/>
        <w:rPr>
          <w:rFonts w:ascii="Arial" w:cs="Arial" w:eastAsia="Arial" w:hAnsi="Arial"/>
          <w:sz w:val="16"/>
          <w:szCs w:val="16"/>
          <w:color w:val="auto"/>
        </w:rPr>
      </w:pPr>
    </w:p>
    <w:p>
      <w:pPr>
        <w:ind w:right="180" w:firstLine="683"/>
        <w:spacing w:after="0" w:line="277" w:lineRule="auto"/>
        <w:tabs>
          <w:tab w:leader="none" w:pos="10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62" w:lineRule="exact"/>
        <w:rPr>
          <w:rFonts w:ascii="Arial" w:cs="Arial" w:eastAsia="Arial" w:hAnsi="Arial"/>
          <w:sz w:val="18"/>
          <w:szCs w:val="18"/>
          <w:color w:val="auto"/>
        </w:rPr>
      </w:pPr>
    </w:p>
    <w:p>
      <w:pPr>
        <w:ind w:left="1120" w:hanging="437"/>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Securities of the series;</w:t>
      </w:r>
    </w:p>
    <w:p>
      <w:pPr>
        <w:spacing w:after="0" w:line="117" w:lineRule="exact"/>
        <w:rPr>
          <w:rFonts w:ascii="Arial" w:cs="Arial" w:eastAsia="Arial" w:hAnsi="Arial"/>
          <w:sz w:val="18"/>
          <w:szCs w:val="18"/>
          <w:color w:val="auto"/>
        </w:rPr>
      </w:pPr>
    </w:p>
    <w:p>
      <w:pPr>
        <w:ind w:left="1180" w:hanging="497"/>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subordination terms, if any, of the Securities of the series; and</w:t>
      </w:r>
    </w:p>
    <w:p>
      <w:pPr>
        <w:spacing w:after="0" w:line="117" w:lineRule="exact"/>
        <w:rPr>
          <w:rFonts w:ascii="Arial" w:cs="Arial" w:eastAsia="Arial" w:hAnsi="Arial"/>
          <w:sz w:val="18"/>
          <w:szCs w:val="18"/>
          <w:color w:val="auto"/>
        </w:rPr>
      </w:pPr>
    </w:p>
    <w:p>
      <w:pPr>
        <w:ind w:right="120" w:firstLine="683"/>
        <w:spacing w:after="0" w:line="277" w:lineRule="auto"/>
        <w:tabs>
          <w:tab w:leader="none" w:pos="10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other terms of the Securities of such series (which terms shall not be inconsistent with the provisions of the Trust Indenture Act, but may modify, amend, supplement or delete any of the terms of this Indenture with respect to such series).</w:t>
      </w:r>
    </w:p>
    <w:p>
      <w:pPr>
        <w:spacing w:after="0" w:line="62" w:lineRule="exact"/>
        <w:rPr>
          <w:sz w:val="20"/>
          <w:szCs w:val="20"/>
          <w:color w:val="auto"/>
        </w:rPr>
      </w:pPr>
    </w:p>
    <w:p>
      <w:pPr>
        <w:ind w:right="180" w:firstLine="215"/>
        <w:spacing w:after="0" w:line="277"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any such Company Order or in any indentures supplemental hereto.</w:t>
      </w:r>
    </w:p>
    <w:p>
      <w:pPr>
        <w:spacing w:after="0" w:line="62"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SECURITIES AND TRUSTEE’S CERTIFICATE</w:t>
      </w:r>
      <w:r>
        <w:rPr>
          <w:rFonts w:ascii="Arial" w:cs="Arial" w:eastAsia="Arial" w:hAnsi="Arial"/>
          <w:sz w:val="18"/>
          <w:szCs w:val="18"/>
          <w:color w:val="auto"/>
        </w:rPr>
        <w:t>.</w:t>
      </w:r>
    </w:p>
    <w:p>
      <w:pPr>
        <w:spacing w:after="0" w:line="117" w:lineRule="exact"/>
        <w:rPr>
          <w:sz w:val="20"/>
          <w:szCs w:val="20"/>
          <w:color w:val="auto"/>
        </w:rPr>
      </w:pPr>
    </w:p>
    <w:p>
      <w:pPr>
        <w:ind w:right="120" w:firstLine="222"/>
        <w:spacing w:after="0" w:line="297" w:lineRule="auto"/>
        <w:rPr>
          <w:sz w:val="20"/>
          <w:szCs w:val="20"/>
          <w:color w:val="auto"/>
        </w:rPr>
      </w:pPr>
      <w:r>
        <w:rPr>
          <w:rFonts w:ascii="Arial" w:cs="Arial" w:eastAsia="Arial" w:hAnsi="Arial"/>
          <w:sz w:val="16"/>
          <w:szCs w:val="16"/>
          <w:color w:val="auto"/>
        </w:rPr>
        <w:t>The Securities of any series and the Trustee’s certificate of authentication to be borne by such Securities shall be substantially of the tenor and purport as set forth in one or more indentures supplemental hereto or as provided in a Company Order,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DENOMINATIONS: PROVISIONS FOR PAYMENT</w:t>
      </w:r>
      <w:r>
        <w:rPr>
          <w:rFonts w:ascii="Arial" w:cs="Arial" w:eastAsia="Arial" w:hAnsi="Arial"/>
          <w:sz w:val="18"/>
          <w:szCs w:val="18"/>
          <w:color w:val="auto"/>
        </w:rPr>
        <w:t>.</w:t>
      </w:r>
    </w:p>
    <w:p>
      <w:pPr>
        <w:spacing w:after="0" w:line="117" w:lineRule="exact"/>
        <w:rPr>
          <w:sz w:val="20"/>
          <w:szCs w:val="20"/>
          <w:color w:val="auto"/>
        </w:rPr>
      </w:pPr>
    </w:p>
    <w:p>
      <w:pPr>
        <w:ind w:right="200" w:firstLine="222"/>
        <w:spacing w:after="0" w:line="342" w:lineRule="auto"/>
        <w:rPr>
          <w:sz w:val="20"/>
          <w:szCs w:val="20"/>
          <w:color w:val="auto"/>
        </w:rPr>
      </w:pPr>
      <w:r>
        <w:rPr>
          <w:rFonts w:ascii="Arial" w:cs="Arial" w:eastAsia="Arial" w:hAnsi="Arial"/>
          <w:sz w:val="16"/>
          <w:szCs w:val="16"/>
          <w:color w:val="auto"/>
        </w:rPr>
        <w:t>The Securities shall be issuable as registered Securities and in the denominations of one thousand U.S. dollars ($1,000) or any integral multiple thereof, subject to Section 2.01(x). The Securities of a particular series shall bear interest payable on the dates and at the rate specified with respect to that series.</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43" w:name="page44"/>
    <w:bookmarkEnd w:id="43"/>
    <w:p>
      <w:pPr>
        <w:ind w:right="500"/>
        <w:spacing w:after="0" w:line="279" w:lineRule="auto"/>
        <w:rPr>
          <w:sz w:val="20"/>
          <w:szCs w:val="20"/>
          <w:color w:val="auto"/>
        </w:rPr>
      </w:pPr>
      <w:r>
        <w:rPr>
          <w:rFonts w:ascii="Arial" w:cs="Arial" w:eastAsia="Arial" w:hAnsi="Arial"/>
          <w:sz w:val="17"/>
          <w:szCs w:val="17"/>
          <w:color w:val="auto"/>
        </w:rPr>
        <w:t>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w:t>
      </w:r>
    </w:p>
    <w:p>
      <w:pPr>
        <w:spacing w:after="0" w:line="63"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64" w:lineRule="exact"/>
        <w:rPr>
          <w:sz w:val="20"/>
          <w:szCs w:val="20"/>
          <w:color w:val="auto"/>
        </w:rPr>
      </w:pPr>
    </w:p>
    <w:p>
      <w:pPr>
        <w:ind w:right="60" w:firstLine="215"/>
        <w:spacing w:after="0" w:line="286" w:lineRule="auto"/>
        <w:rPr>
          <w:sz w:val="20"/>
          <w:szCs w:val="20"/>
          <w:color w:val="auto"/>
        </w:rPr>
      </w:pPr>
      <w:r>
        <w:rPr>
          <w:rFonts w:ascii="Arial" w:cs="Arial" w:eastAsia="Arial" w:hAnsi="Arial"/>
          <w:sz w:val="17"/>
          <w:szCs w:val="17"/>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57" w:lineRule="exact"/>
        <w:rPr>
          <w:sz w:val="20"/>
          <w:szCs w:val="20"/>
          <w:color w:val="auto"/>
        </w:rPr>
      </w:pPr>
    </w:p>
    <w:p>
      <w:pPr>
        <w:ind w:right="20" w:firstLine="683"/>
        <w:spacing w:after="0" w:line="286" w:lineRule="auto"/>
        <w:tabs>
          <w:tab w:leader="none" w:pos="887"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66" w:lineRule="exact"/>
        <w:rPr>
          <w:rFonts w:ascii="Arial" w:cs="Arial" w:eastAsia="Arial" w:hAnsi="Arial"/>
          <w:sz w:val="16"/>
          <w:szCs w:val="16"/>
          <w:color w:val="auto"/>
        </w:rPr>
      </w:pPr>
    </w:p>
    <w:p>
      <w:pPr>
        <w:ind w:right="60" w:firstLine="683"/>
        <w:spacing w:after="0" w:line="312" w:lineRule="auto"/>
        <w:tabs>
          <w:tab w:leader="none" w:pos="937"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39"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Unless otherwise set forth in a Company Order or one or more indentures supplemental hereto establishing the terms of any series of Securities pursuant to Section 2.01 hereof, the term “regular record date” as used in this Section with respect to a series of Securities and any Interest Payment Date for such</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4" w:name="page45"/>
    <w:bookmarkEnd w:id="44"/>
    <w:p>
      <w:pPr>
        <w:ind w:right="20"/>
        <w:spacing w:after="0" w:line="259" w:lineRule="auto"/>
        <w:rPr>
          <w:sz w:val="20"/>
          <w:szCs w:val="20"/>
          <w:color w:val="auto"/>
        </w:rPr>
      </w:pPr>
      <w:r>
        <w:rPr>
          <w:rFonts w:ascii="Arial" w:cs="Arial" w:eastAsia="Arial" w:hAnsi="Arial"/>
          <w:sz w:val="18"/>
          <w:szCs w:val="18"/>
          <w:color w:val="auto"/>
        </w:rPr>
        <w:t>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79" w:lineRule="exact"/>
        <w:rPr>
          <w:sz w:val="20"/>
          <w:szCs w:val="20"/>
          <w:color w:val="auto"/>
        </w:rPr>
      </w:pPr>
    </w:p>
    <w:p>
      <w:pPr>
        <w:ind w:right="60" w:firstLine="225"/>
        <w:spacing w:after="0" w:line="308" w:lineRule="auto"/>
        <w:rPr>
          <w:sz w:val="20"/>
          <w:szCs w:val="20"/>
          <w:color w:val="auto"/>
        </w:rPr>
      </w:pPr>
      <w:r>
        <w:rPr>
          <w:rFonts w:ascii="Arial" w:cs="Arial" w:eastAsia="Arial" w:hAnsi="Arial"/>
          <w:sz w:val="17"/>
          <w:szCs w:val="17"/>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EXECUTION AND AUTHENTICATIONS</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Securities shall be signed on behalf of the Company by one of its Officers. Signatures may be in the form of a manual or facsimile signature.</w:t>
      </w:r>
    </w:p>
    <w:p>
      <w:pPr>
        <w:spacing w:after="0" w:line="129" w:lineRule="exact"/>
        <w:rPr>
          <w:sz w:val="20"/>
          <w:szCs w:val="20"/>
          <w:color w:val="auto"/>
        </w:rPr>
      </w:pPr>
    </w:p>
    <w:p>
      <w:pPr>
        <w:ind w:right="40" w:firstLine="222"/>
        <w:spacing w:after="0" w:line="312" w:lineRule="auto"/>
        <w:rPr>
          <w:sz w:val="20"/>
          <w:szCs w:val="20"/>
          <w:color w:val="auto"/>
        </w:rPr>
      </w:pPr>
      <w:r>
        <w:rPr>
          <w:rFonts w:ascii="Arial" w:cs="Arial" w:eastAsia="Arial" w:hAnsi="Arial"/>
          <w:sz w:val="16"/>
          <w:szCs w:val="16"/>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39" w:lineRule="exact"/>
        <w:rPr>
          <w:sz w:val="20"/>
          <w:szCs w:val="20"/>
          <w:color w:val="auto"/>
        </w:rPr>
      </w:pPr>
    </w:p>
    <w:p>
      <w:pPr>
        <w:ind w:firstLine="215"/>
        <w:spacing w:after="0" w:line="276" w:lineRule="auto"/>
        <w:rPr>
          <w:sz w:val="20"/>
          <w:szCs w:val="20"/>
          <w:color w:val="auto"/>
        </w:rPr>
      </w:pPr>
      <w:r>
        <w:rPr>
          <w:rFonts w:ascii="Arial" w:cs="Arial" w:eastAsia="Arial" w:hAnsi="Arial"/>
          <w:sz w:val="17"/>
          <w:szCs w:val="17"/>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such Company Order shall authenticate and deliver such Securities.</w:t>
      </w:r>
    </w:p>
    <w:p>
      <w:pPr>
        <w:spacing w:after="0" w:line="64"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In authenticating such Securities and accepting the additional responsibilities under this Indenture in relation to such Securities, the Trustee shall be entitled to receive, and (subject to Section 7.01) shall be fully protected in relying upon, an Opinion of Counsel stating that the form and terms thereof have been established in conformity with the provisions of this Indenture.</w:t>
      </w:r>
    </w:p>
    <w:p>
      <w:pPr>
        <w:spacing w:after="0" w:line="73" w:lineRule="exact"/>
        <w:rPr>
          <w:sz w:val="20"/>
          <w:szCs w:val="20"/>
          <w:color w:val="auto"/>
        </w:rPr>
      </w:pPr>
    </w:p>
    <w:p>
      <w:pPr>
        <w:ind w:right="420" w:firstLine="222"/>
        <w:spacing w:after="0" w:line="342" w:lineRule="auto"/>
        <w:rPr>
          <w:sz w:val="20"/>
          <w:szCs w:val="20"/>
          <w:color w:val="auto"/>
        </w:rPr>
      </w:pPr>
      <w:r>
        <w:rPr>
          <w:rFonts w:ascii="Arial" w:cs="Arial" w:eastAsia="Arial" w:hAnsi="Arial"/>
          <w:sz w:val="16"/>
          <w:szCs w:val="16"/>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REGISTRATION OF TRANSFER AND EXCHANGE</w:t>
      </w:r>
      <w:r>
        <w:rPr>
          <w:rFonts w:ascii="Arial" w:cs="Arial" w:eastAsia="Arial" w:hAnsi="Arial"/>
          <w:sz w:val="18"/>
          <w:szCs w:val="18"/>
          <w:color w:val="auto"/>
        </w:rPr>
        <w:t>.</w:t>
      </w:r>
    </w:p>
    <w:p>
      <w:pPr>
        <w:spacing w:after="0" w:line="117" w:lineRule="exact"/>
        <w:rPr>
          <w:sz w:val="20"/>
          <w:szCs w:val="20"/>
          <w:color w:val="auto"/>
        </w:rPr>
      </w:pPr>
    </w:p>
    <w:p>
      <w:pPr>
        <w:ind w:right="40" w:firstLine="458"/>
        <w:spacing w:after="0" w:line="255" w:lineRule="auto"/>
        <w:tabs>
          <w:tab w:leader="none" w:pos="7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85" w:lineRule="exact"/>
        <w:rPr>
          <w:rFonts w:ascii="Arial" w:cs="Arial" w:eastAsia="Arial" w:hAnsi="Arial"/>
          <w:sz w:val="18"/>
          <w:szCs w:val="18"/>
          <w:color w:val="auto"/>
        </w:rPr>
      </w:pPr>
    </w:p>
    <w:p>
      <w:pPr>
        <w:ind w:right="40" w:firstLine="458"/>
        <w:spacing w:after="0" w:line="277" w:lineRule="auto"/>
        <w:tabs>
          <w:tab w:leader="none" w:pos="7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shall keep, or cause to be kept, at its office or agency designated for such purpose in the Borough of Manhattan, the City and State of New York, or such other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5" w:name="page46"/>
    <w:bookmarkEnd w:id="45"/>
    <w:p>
      <w:pPr>
        <w:ind w:right="20"/>
        <w:spacing w:after="0" w:line="259" w:lineRule="auto"/>
        <w:rPr>
          <w:sz w:val="20"/>
          <w:szCs w:val="20"/>
          <w:color w:val="auto"/>
        </w:rPr>
      </w:pPr>
      <w:r>
        <w:rPr>
          <w:rFonts w:ascii="Arial" w:cs="Arial" w:eastAsia="Arial" w:hAnsi="Arial"/>
          <w:sz w:val="18"/>
          <w:szCs w:val="18"/>
          <w:color w:val="auto"/>
        </w:rPr>
        <w:t>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a Company Order (the “Security Registrar”).</w:t>
      </w:r>
    </w:p>
    <w:p>
      <w:pPr>
        <w:spacing w:after="0" w:line="79"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73" w:lineRule="exact"/>
        <w:rPr>
          <w:sz w:val="20"/>
          <w:szCs w:val="20"/>
          <w:color w:val="auto"/>
        </w:rPr>
      </w:pPr>
    </w:p>
    <w:p>
      <w:pPr>
        <w:jc w:val="both"/>
        <w:ind w:right="340" w:firstLine="215"/>
        <w:spacing w:after="0" w:line="264" w:lineRule="auto"/>
        <w:rPr>
          <w:sz w:val="20"/>
          <w:szCs w:val="20"/>
          <w:color w:val="auto"/>
        </w:rPr>
      </w:pPr>
      <w:r>
        <w:rPr>
          <w:rFonts w:ascii="Arial" w:cs="Arial" w:eastAsia="Arial" w:hAnsi="Arial"/>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73" w:lineRule="exact"/>
        <w:rPr>
          <w:sz w:val="20"/>
          <w:szCs w:val="20"/>
          <w:color w:val="auto"/>
        </w:rPr>
      </w:pPr>
    </w:p>
    <w:p>
      <w:pPr>
        <w:ind w:right="80" w:firstLine="458"/>
        <w:spacing w:after="0" w:line="259" w:lineRule="auto"/>
        <w:tabs>
          <w:tab w:leader="none" w:pos="7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as provided pursuant to Section 2.01 pursuant to a Company Order,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3.03(2) and Section 9.04 not involving any transfer.</w:t>
      </w:r>
    </w:p>
    <w:p>
      <w:pPr>
        <w:spacing w:after="0" w:line="78" w:lineRule="exact"/>
        <w:rPr>
          <w:rFonts w:ascii="Arial" w:cs="Arial" w:eastAsia="Arial" w:hAnsi="Arial"/>
          <w:sz w:val="18"/>
          <w:szCs w:val="18"/>
          <w:color w:val="auto"/>
        </w:rPr>
      </w:pPr>
    </w:p>
    <w:p>
      <w:pPr>
        <w:ind w:right="40" w:firstLine="458"/>
        <w:spacing w:after="0" w:line="257" w:lineRule="auto"/>
        <w:tabs>
          <w:tab w:leader="none" w:pos="70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Section 2.05 are, with respect to any Global Security, subject to Section 2.11 hereof.</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6" w:name="page47"/>
    <w:bookmarkEnd w:id="46"/>
    <w:p>
      <w:pPr>
        <w:ind w:left="24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MUTILATED, DESTROYED, LOST OR STOLEN SECURITIES</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59" w:lineRule="exact"/>
        <w:rPr>
          <w:sz w:val="20"/>
          <w:szCs w:val="20"/>
          <w:color w:val="auto"/>
        </w:rPr>
      </w:pPr>
    </w:p>
    <w:p>
      <w:pPr>
        <w:ind w:right="60" w:firstLine="225"/>
        <w:spacing w:after="0" w:line="302" w:lineRule="auto"/>
        <w:rPr>
          <w:sz w:val="20"/>
          <w:szCs w:val="20"/>
          <w:color w:val="auto"/>
        </w:rPr>
      </w:pPr>
      <w:r>
        <w:rPr>
          <w:rFonts w:ascii="Arial" w:cs="Arial" w:eastAsia="Arial" w:hAnsi="Arial"/>
          <w:sz w:val="16"/>
          <w:szCs w:val="16"/>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46"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117" w:lineRule="exact"/>
        <w:rPr>
          <w:sz w:val="20"/>
          <w:szCs w:val="20"/>
          <w:color w:val="auto"/>
        </w:rPr>
      </w:pPr>
    </w:p>
    <w:p>
      <w:pPr>
        <w:ind w:right="40" w:firstLine="215"/>
        <w:spacing w:after="0" w:line="255" w:lineRule="auto"/>
        <w:rPr>
          <w:sz w:val="20"/>
          <w:szCs w:val="20"/>
          <w:color w:val="auto"/>
        </w:rPr>
      </w:pPr>
      <w:r>
        <w:rPr>
          <w:rFonts w:ascii="Arial" w:cs="Arial" w:eastAsia="Arial" w:hAnsi="Arial"/>
          <w:sz w:val="18"/>
          <w:szCs w:val="18"/>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w:t>
      </w:r>
    </w:p>
    <w:p>
      <w:pPr>
        <w:spacing w:after="0" w:line="117"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Nothing in this Indenture or in the Securities, express or implied, shall give or be construed to give to any Person, other than the parties hereto and the holders of the Securities (and, with respect to the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7" w:name="page48"/>
    <w:bookmarkEnd w:id="47"/>
    <w:p>
      <w:pPr>
        <w:ind w:right="100"/>
        <w:spacing w:after="0" w:line="279" w:lineRule="auto"/>
        <w:rPr>
          <w:sz w:val="20"/>
          <w:szCs w:val="20"/>
          <w:color w:val="auto"/>
        </w:rPr>
      </w:pPr>
      <w:r>
        <w:rPr>
          <w:rFonts w:ascii="Arial" w:cs="Arial" w:eastAsia="Arial" w:hAnsi="Arial"/>
          <w:sz w:val="17"/>
          <w:szCs w:val="17"/>
          <w:color w:val="auto"/>
        </w:rPr>
        <w:t>provisions of Article Fourteen, the holders of any indebtedness of the Company to which the Securities of any series are subordinated)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Article Fourteen, the holders of any indebtedness of the Company to which the Securities of any series are subordinated).</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AUTHENTICATING AGENT</w:t>
      </w:r>
      <w:r>
        <w:rPr>
          <w:rFonts w:ascii="Arial" w:cs="Arial" w:eastAsia="Arial" w:hAnsi="Arial"/>
          <w:sz w:val="18"/>
          <w:szCs w:val="18"/>
          <w:color w:val="auto"/>
        </w:rPr>
        <w:t>.</w:t>
      </w:r>
    </w:p>
    <w:p>
      <w:pPr>
        <w:spacing w:after="0" w:line="117"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74" w:lineRule="exact"/>
        <w:rPr>
          <w:sz w:val="20"/>
          <w:szCs w:val="20"/>
          <w:color w:val="auto"/>
        </w:rPr>
      </w:pPr>
    </w:p>
    <w:p>
      <w:pPr>
        <w:ind w:right="120" w:firstLine="215"/>
        <w:spacing w:after="0" w:line="297" w:lineRule="auto"/>
        <w:rPr>
          <w:sz w:val="20"/>
          <w:szCs w:val="20"/>
          <w:color w:val="auto"/>
        </w:rPr>
      </w:pPr>
      <w:r>
        <w:rPr>
          <w:rFonts w:ascii="Arial" w:cs="Arial" w:eastAsia="Arial" w:hAnsi="Arial"/>
          <w:sz w:val="16"/>
          <w:szCs w:val="16"/>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GLOBAL SECURITIES</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73" w:lineRule="auto"/>
        <w:tabs>
          <w:tab w:leader="none" w:pos="705"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70" w:lineRule="exact"/>
        <w:rPr>
          <w:rFonts w:ascii="Arial" w:cs="Arial" w:eastAsia="Arial" w:hAnsi="Arial"/>
          <w:sz w:val="17"/>
          <w:szCs w:val="17"/>
          <w:color w:val="auto"/>
        </w:rPr>
      </w:pPr>
    </w:p>
    <w:p>
      <w:pPr>
        <w:ind w:right="160" w:firstLine="458"/>
        <w:spacing w:after="0" w:line="264" w:lineRule="auto"/>
        <w:tabs>
          <w:tab w:leader="none" w:pos="7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73" w:lineRule="exact"/>
        <w:rPr>
          <w:rFonts w:ascii="Arial" w:cs="Arial" w:eastAsia="Arial" w:hAnsi="Arial"/>
          <w:sz w:val="18"/>
          <w:szCs w:val="18"/>
          <w:color w:val="auto"/>
        </w:rPr>
      </w:pPr>
    </w:p>
    <w:p>
      <w:pPr>
        <w:ind w:right="180" w:firstLine="458"/>
        <w:spacing w:after="0" w:line="277" w:lineRule="auto"/>
        <w:tabs>
          <w:tab w:leader="none" w:pos="7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(i) at any time the Depositary for a series of the Securities notifies the Company that it is unwilling or unable to continue as Depositary for such series or if at any time the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8" w:name="page49"/>
    <w:bookmarkEnd w:id="48"/>
    <w:p>
      <w:pPr>
        <w:ind w:right="40"/>
        <w:spacing w:after="0" w:line="269" w:lineRule="auto"/>
        <w:rPr>
          <w:sz w:val="20"/>
          <w:szCs w:val="20"/>
          <w:color w:val="auto"/>
        </w:rPr>
      </w:pPr>
      <w:r>
        <w:rPr>
          <w:rFonts w:ascii="Arial" w:cs="Arial" w:eastAsia="Arial" w:hAnsi="Arial"/>
          <w:sz w:val="17"/>
          <w:szCs w:val="17"/>
          <w:color w:val="auto"/>
        </w:rPr>
        <w:t>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(ii) an Event of Default has occurred and is continuing or (iii) the Company executes and delivers to the Trustee and the Registrar a Company Order stating that such Global Security shall be so exchangeable,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2.11(3)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REDEMPTION OF SECURITIES AND SINKING FUND PROVISIONS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117"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Company may redeem the Securities of any series issued hereunder on and after the dates and in accordance with the terms established for such series pursuant to Section 2.01 hereof.</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71" w:lineRule="auto"/>
        <w:tabs>
          <w:tab w:leader="none" w:pos="705"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w:t>
      </w:r>
    </w:p>
    <w:p>
      <w:pPr>
        <w:spacing w:after="0" w:line="71"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9" w:name="page50"/>
    <w:bookmarkEnd w:id="49"/>
    <w:p>
      <w:pPr>
        <w:ind w:firstLine="458"/>
        <w:spacing w:after="0" w:line="287" w:lineRule="auto"/>
        <w:tabs>
          <w:tab w:leader="none" w:pos="705"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less than all the Securities of a series are to be redeemed, the Company shall give the Trustee at least 30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Company Order,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6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PAYMENT UPON REDEMPTION</w:t>
      </w:r>
      <w:r>
        <w:rPr>
          <w:rFonts w:ascii="Arial" w:cs="Arial" w:eastAsia="Arial" w:hAnsi="Arial"/>
          <w:sz w:val="18"/>
          <w:szCs w:val="18"/>
          <w:color w:val="auto"/>
        </w:rPr>
        <w:t>.</w:t>
      </w:r>
    </w:p>
    <w:p>
      <w:pPr>
        <w:spacing w:after="0" w:line="117" w:lineRule="exact"/>
        <w:rPr>
          <w:sz w:val="20"/>
          <w:szCs w:val="20"/>
          <w:color w:val="auto"/>
        </w:rPr>
      </w:pPr>
    </w:p>
    <w:p>
      <w:pPr>
        <w:ind w:right="80" w:firstLine="458"/>
        <w:spacing w:after="0" w:line="271" w:lineRule="auto"/>
        <w:tabs>
          <w:tab w:leader="none" w:pos="705"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70" w:lineRule="exact"/>
        <w:rPr>
          <w:rFonts w:ascii="Arial" w:cs="Arial" w:eastAsia="Arial" w:hAnsi="Arial"/>
          <w:sz w:val="17"/>
          <w:szCs w:val="17"/>
          <w:color w:val="auto"/>
        </w:rPr>
      </w:pPr>
    </w:p>
    <w:p>
      <w:pPr>
        <w:ind w:right="160" w:firstLine="458"/>
        <w:spacing w:after="0" w:line="286" w:lineRule="auto"/>
        <w:tabs>
          <w:tab w:leader="none" w:pos="705" w:val="left"/>
        </w:tabs>
        <w:numPr>
          <w:ilvl w:val="0"/>
          <w:numId w:val="46"/>
        </w:numPr>
        <w:rPr>
          <w:rFonts w:ascii="Arial" w:cs="Arial" w:eastAsia="Arial" w:hAnsi="Arial"/>
          <w:sz w:val="17"/>
          <w:szCs w:val="17"/>
          <w:color w:val="auto"/>
        </w:rPr>
      </w:pPr>
      <w:r>
        <w:rPr>
          <w:rFonts w:ascii="Arial" w:cs="Arial" w:eastAsia="Arial" w:hAnsi="Arial"/>
          <w:sz w:val="17"/>
          <w:szCs w:val="17"/>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SINKING FUND</w:t>
      </w:r>
      <w:r>
        <w:rPr>
          <w:rFonts w:ascii="Arial" w:cs="Arial" w:eastAsia="Arial" w:hAnsi="Arial"/>
          <w:sz w:val="18"/>
          <w:szCs w:val="18"/>
          <w:color w:val="auto"/>
        </w:rPr>
        <w:t>.</w:t>
      </w:r>
    </w:p>
    <w:p>
      <w:pPr>
        <w:spacing w:after="0" w:line="117"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62"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payment shall be applied to the redemption of Securities of any series as provided for by the terms of Securities of such series.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w:t>
      </w:r>
    </w:p>
    <w:p>
      <w:pPr>
        <w:spacing w:after="0" w:line="117"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REDEMPTION OF SECURITIES FOR SINKING FUND</w:t>
      </w:r>
      <w:r>
        <w:rPr>
          <w:rFonts w:ascii="Arial" w:cs="Arial" w:eastAsia="Arial" w:hAnsi="Arial"/>
          <w:sz w:val="18"/>
          <w:szCs w:val="18"/>
          <w:color w:val="auto"/>
        </w:rPr>
        <w:t>.</w:t>
      </w:r>
    </w:p>
    <w:p>
      <w:pPr>
        <w:spacing w:after="0" w:line="117"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Not less than 30 days prior to each sinking fund payment date for any series of Securities (unless a shorter period shall be satisfactory to the Trustee), the Company will deliver a Company Order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Company Order, deliver to the Trustee any Securities to be so delivered. Not less than 20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2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4</w:t>
      </w:r>
    </w:p>
    <w:p>
      <w:pPr>
        <w:spacing w:after="0" w:line="117" w:lineRule="exact"/>
        <w:rPr>
          <w:sz w:val="20"/>
          <w:szCs w:val="20"/>
          <w:color w:val="auto"/>
        </w:rPr>
      </w:pPr>
    </w:p>
    <w:p>
      <w:pPr>
        <w:ind w:left="5140"/>
        <w:spacing w:after="0"/>
        <w:rPr>
          <w:sz w:val="20"/>
          <w:szCs w:val="20"/>
          <w:color w:val="auto"/>
        </w:rPr>
      </w:pPr>
      <w:r>
        <w:rPr>
          <w:rFonts w:ascii="Arial" w:cs="Arial" w:eastAsia="Arial" w:hAnsi="Arial"/>
          <w:sz w:val="18"/>
          <w:szCs w:val="18"/>
          <w:b w:val="1"/>
          <w:bCs w:val="1"/>
          <w:u w:val="single" w:color="auto"/>
          <w:color w:val="auto"/>
        </w:rPr>
        <w:t>COVENANTS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PAYMENT OF PRINCIPAL, PREMIUM AND INTEREST</w:t>
      </w:r>
      <w:r>
        <w:rPr>
          <w:rFonts w:ascii="Arial" w:cs="Arial" w:eastAsia="Arial" w:hAnsi="Arial"/>
          <w:sz w:val="18"/>
          <w:szCs w:val="18"/>
          <w:color w:val="auto"/>
        </w:rPr>
        <w:t>.</w:t>
      </w:r>
    </w:p>
    <w:p>
      <w:pPr>
        <w:spacing w:after="0" w:line="117"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MAINTENANCE OF OFFICE OR AGENCY</w:t>
      </w:r>
      <w:r>
        <w:rPr>
          <w:rFonts w:ascii="Arial" w:cs="Arial" w:eastAsia="Arial" w:hAnsi="Arial"/>
          <w:sz w:val="18"/>
          <w:szCs w:val="18"/>
          <w:color w:val="auto"/>
        </w:rPr>
        <w:t>.</w:t>
      </w:r>
    </w:p>
    <w:p>
      <w:pPr>
        <w:spacing w:after="0" w:line="117"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color w:val="auto"/>
        </w:rPr>
        <w:t>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 Section 4.02, where</w:t>
      </w:r>
    </w:p>
    <w:p>
      <w:pPr>
        <w:ind w:right="20" w:firstLine="8"/>
        <w:spacing w:after="0" w:line="271" w:lineRule="auto"/>
        <w:tabs>
          <w:tab w:leader="none" w:pos="215" w:val="left"/>
        </w:tabs>
        <w:numPr>
          <w:ilvl w:val="0"/>
          <w:numId w:val="47"/>
        </w:numPr>
        <w:rPr>
          <w:rFonts w:ascii="Arial" w:cs="Arial" w:eastAsia="Arial" w:hAnsi="Arial"/>
          <w:sz w:val="17"/>
          <w:szCs w:val="17"/>
          <w:color w:val="auto"/>
        </w:rPr>
      </w:pPr>
      <w:r>
        <w:rPr>
          <w:rFonts w:ascii="Arial" w:cs="Arial" w:eastAsia="Arial" w:hAnsi="Arial"/>
          <w:sz w:val="17"/>
          <w:szCs w:val="17"/>
          <w:color w:val="auto"/>
        </w:rPr>
        <w:t>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Company Order,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1" w:name="page52"/>
    <w:bookmarkEnd w:id="51"/>
    <w:p>
      <w:pPr>
        <w:jc w:val="both"/>
        <w:ind w:right="40"/>
        <w:spacing w:after="0" w:line="264" w:lineRule="auto"/>
        <w:rPr>
          <w:sz w:val="20"/>
          <w:szCs w:val="20"/>
          <w:color w:val="auto"/>
        </w:rPr>
      </w:pPr>
      <w:r>
        <w:rPr>
          <w:rFonts w:ascii="Arial" w:cs="Arial" w:eastAsia="Arial" w:hAnsi="Arial"/>
          <w:sz w:val="18"/>
          <w:szCs w:val="18"/>
          <w:color w:val="auto"/>
        </w:rPr>
        <w:t>Trust Office of the Trustee, and the Company hereby appoints the Trustee as its agent to receive all such presentations, notices and demands. The Company initially appoints the Corporate Trust Office of the Trustee located in the Borough of Manhattan, the City of New York as its paying agent with respect to the Securities.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PAYING AGENTS</w:t>
      </w:r>
      <w:r>
        <w:rPr>
          <w:rFonts w:ascii="Arial" w:cs="Arial" w:eastAsia="Arial" w:hAnsi="Arial"/>
          <w:sz w:val="18"/>
          <w:szCs w:val="18"/>
          <w:color w:val="auto"/>
        </w:rPr>
        <w:t>.</w:t>
      </w:r>
    </w:p>
    <w:p>
      <w:pPr>
        <w:spacing w:after="0" w:line="117" w:lineRule="exact"/>
        <w:rPr>
          <w:sz w:val="20"/>
          <w:szCs w:val="20"/>
          <w:color w:val="auto"/>
        </w:rPr>
      </w:pPr>
    </w:p>
    <w:p>
      <w:pPr>
        <w:ind w:right="60" w:firstLine="458"/>
        <w:spacing w:after="0" w:line="264" w:lineRule="auto"/>
        <w:tabs>
          <w:tab w:leader="none" w:pos="7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73" w:lineRule="exact"/>
        <w:rPr>
          <w:rFonts w:ascii="Arial" w:cs="Arial" w:eastAsia="Arial" w:hAnsi="Arial"/>
          <w:sz w:val="18"/>
          <w:szCs w:val="18"/>
          <w:color w:val="auto"/>
        </w:rPr>
      </w:pPr>
    </w:p>
    <w:p>
      <w:pPr>
        <w:ind w:right="300" w:firstLine="683"/>
        <w:spacing w:after="0" w:line="264" w:lineRule="auto"/>
        <w:tabs>
          <w:tab w:leader="none" w:pos="89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73" w:lineRule="exact"/>
        <w:rPr>
          <w:rFonts w:ascii="Arial" w:cs="Arial" w:eastAsia="Arial" w:hAnsi="Arial"/>
          <w:sz w:val="18"/>
          <w:szCs w:val="18"/>
          <w:color w:val="auto"/>
        </w:rPr>
      </w:pPr>
    </w:p>
    <w:p>
      <w:pPr>
        <w:ind w:right="520" w:firstLine="683"/>
        <w:spacing w:after="0" w:line="277" w:lineRule="auto"/>
        <w:tabs>
          <w:tab w:leader="none" w:pos="9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62" w:lineRule="exact"/>
        <w:rPr>
          <w:rFonts w:ascii="Arial" w:cs="Arial" w:eastAsia="Arial" w:hAnsi="Arial"/>
          <w:sz w:val="18"/>
          <w:szCs w:val="18"/>
          <w:color w:val="auto"/>
        </w:rPr>
      </w:pPr>
    </w:p>
    <w:p>
      <w:pPr>
        <w:ind w:firstLine="683"/>
        <w:spacing w:after="0" w:line="277" w:lineRule="auto"/>
        <w:tabs>
          <w:tab w:leader="none" w:pos="99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that it will, at any time during the continuance of any failure referred to in the preceding paragraph (1)(ii) above, upon the written request of the Trustee, forthwith pay to the Trustee all sums so held in trust by such paying agent; and</w:t>
      </w:r>
    </w:p>
    <w:p>
      <w:pPr>
        <w:spacing w:after="0" w:line="62" w:lineRule="exact"/>
        <w:rPr>
          <w:rFonts w:ascii="Arial" w:cs="Arial" w:eastAsia="Arial" w:hAnsi="Arial"/>
          <w:sz w:val="18"/>
          <w:szCs w:val="18"/>
          <w:color w:val="auto"/>
        </w:rPr>
      </w:pPr>
    </w:p>
    <w:p>
      <w:pPr>
        <w:ind w:left="980" w:hanging="297"/>
        <w:spacing w:after="0"/>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that it will perform all other duties of paying agent as set forth in this Indenture.</w:t>
      </w:r>
    </w:p>
    <w:p>
      <w:pPr>
        <w:spacing w:after="0" w:line="117" w:lineRule="exact"/>
        <w:rPr>
          <w:rFonts w:ascii="Arial" w:cs="Arial" w:eastAsia="Arial" w:hAnsi="Arial"/>
          <w:sz w:val="18"/>
          <w:szCs w:val="18"/>
          <w:color w:val="auto"/>
        </w:rPr>
      </w:pPr>
    </w:p>
    <w:p>
      <w:pPr>
        <w:ind w:right="20" w:firstLine="458"/>
        <w:spacing w:after="0" w:line="271" w:lineRule="auto"/>
        <w:tabs>
          <w:tab w:leader="none" w:pos="705" w:val="left"/>
        </w:tabs>
        <w:numPr>
          <w:ilvl w:val="0"/>
          <w:numId w:val="48"/>
        </w:numPr>
        <w:rPr>
          <w:rFonts w:ascii="Arial" w:cs="Arial" w:eastAsia="Arial" w:hAnsi="Arial"/>
          <w:sz w:val="17"/>
          <w:szCs w:val="17"/>
          <w:color w:val="auto"/>
        </w:rPr>
      </w:pPr>
      <w:r>
        <w:rPr>
          <w:rFonts w:ascii="Arial" w:cs="Arial" w:eastAsia="Arial" w:hAnsi="Arial"/>
          <w:sz w:val="17"/>
          <w:szCs w:val="17"/>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70" w:lineRule="exact"/>
        <w:rPr>
          <w:rFonts w:ascii="Arial" w:cs="Arial" w:eastAsia="Arial" w:hAnsi="Arial"/>
          <w:sz w:val="17"/>
          <w:szCs w:val="17"/>
          <w:color w:val="auto"/>
        </w:rPr>
      </w:pPr>
    </w:p>
    <w:p>
      <w:pPr>
        <w:ind w:right="20" w:firstLine="458"/>
        <w:spacing w:after="0" w:line="297" w:lineRule="auto"/>
        <w:tabs>
          <w:tab w:leader="none" w:pos="705"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APPOINTMENT TO FILL VACANCY IN OFFICE OF TRUSTEE</w:t>
      </w:r>
      <w:r>
        <w:rPr>
          <w:rFonts w:ascii="Arial" w:cs="Arial" w:eastAsia="Arial" w:hAnsi="Arial"/>
          <w:sz w:val="18"/>
          <w:szCs w:val="18"/>
          <w:color w:val="auto"/>
        </w:rPr>
        <w:t>.</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52" w:name="page53"/>
    <w:bookmarkEnd w:id="52"/>
    <w:p>
      <w:pPr>
        <w:ind w:right="260" w:firstLine="222"/>
        <w:spacing w:after="0" w:line="277" w:lineRule="auto"/>
        <w:rPr>
          <w:sz w:val="20"/>
          <w:szCs w:val="20"/>
          <w:color w:val="auto"/>
        </w:rPr>
      </w:pPr>
      <w:r>
        <w:rPr>
          <w:rFonts w:ascii="Arial" w:cs="Arial" w:eastAsia="Arial" w:hAnsi="Arial"/>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COMPLIANCE WITH CONSOLIDATION PROVISIONS</w:t>
      </w:r>
      <w:r>
        <w:rPr>
          <w:rFonts w:ascii="Arial" w:cs="Arial" w:eastAsia="Arial" w:hAnsi="Arial"/>
          <w:sz w:val="18"/>
          <w:szCs w:val="18"/>
          <w:color w:val="auto"/>
        </w:rPr>
        <w:t>.</w:t>
      </w:r>
    </w:p>
    <w:p>
      <w:pPr>
        <w:spacing w:after="0" w:line="11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Ten hereof are complied with.</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w:t>
      </w:r>
    </w:p>
    <w:p>
      <w:pPr>
        <w:spacing w:after="0" w:line="117"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Except as otherwise provided as contemplated by Section 2.01 with respect to any series of Securities, the Company shall furnish to the Trustee annually, within 120 days after the end of each fiscal year, a brief certificate from the principal executive officer, principal financial officer, principal accounting officer or vice president and treasurer as to his or her knowledge of the Company’s compliance with all conditions and covenants under this Indenture (which compliance shall be determined without regard to any period of grace or requirement of notice provided under this Indenture) and of any Default or Event of Default that occurred during the prior fiscal year, specifying each such Default or Event of Default and the nature and status thereof of which such person may have knowledge. Such certificates need not comply with Section 13.07 of this Indenture.</w:t>
      </w:r>
    </w:p>
    <w:p>
      <w:pPr>
        <w:spacing w:after="0" w:line="28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5</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u w:val="single" w:color="auto"/>
          <w:color w:val="auto"/>
        </w:rPr>
        <w:t>SECURITYHOLDERS’ LISTS AND REPORTS BY THE COMPANY AND THE TRUSTEE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COMPANY TO FURNISH TRUSTEE NAMES AND ADDRESSES OF SECURITYHOLDERS</w:t>
      </w:r>
      <w:r>
        <w:rPr>
          <w:rFonts w:ascii="Arial" w:cs="Arial" w:eastAsia="Arial" w:hAnsi="Arial"/>
          <w:sz w:val="18"/>
          <w:szCs w:val="18"/>
          <w:color w:val="auto"/>
        </w:rPr>
        <w:t>.</w:t>
      </w:r>
    </w:p>
    <w:p>
      <w:pPr>
        <w:spacing w:after="0" w:line="117" w:lineRule="exact"/>
        <w:rPr>
          <w:sz w:val="20"/>
          <w:szCs w:val="20"/>
          <w:color w:val="auto"/>
        </w:rPr>
      </w:pPr>
    </w:p>
    <w:p>
      <w:pPr>
        <w:ind w:right="80" w:firstLine="222"/>
        <w:spacing w:after="0" w:line="293" w:lineRule="auto"/>
        <w:rPr>
          <w:sz w:val="20"/>
          <w:szCs w:val="20"/>
          <w:color w:val="auto"/>
        </w:rPr>
      </w:pPr>
      <w:r>
        <w:rPr>
          <w:rFonts w:ascii="Arial" w:cs="Arial" w:eastAsia="Arial" w:hAnsi="Arial"/>
          <w:sz w:val="16"/>
          <w:szCs w:val="16"/>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PRESERVATION OF INFORMATION; COMMUNICATIONS WITH SECURITYHOLDERS</w:t>
      </w:r>
      <w:r>
        <w:rPr>
          <w:rFonts w:ascii="Arial" w:cs="Arial" w:eastAsia="Arial" w:hAnsi="Arial"/>
          <w:sz w:val="18"/>
          <w:szCs w:val="18"/>
          <w:color w:val="auto"/>
        </w:rPr>
        <w:t>.</w:t>
      </w:r>
    </w:p>
    <w:p>
      <w:pPr>
        <w:spacing w:after="0" w:line="117" w:lineRule="exact"/>
        <w:rPr>
          <w:sz w:val="20"/>
          <w:szCs w:val="20"/>
          <w:color w:val="auto"/>
        </w:rPr>
      </w:pPr>
    </w:p>
    <w:p>
      <w:pPr>
        <w:ind w:right="180" w:firstLine="458"/>
        <w:spacing w:after="0" w:line="264" w:lineRule="auto"/>
        <w:tabs>
          <w:tab w:leader="none" w:pos="70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73" w:lineRule="exact"/>
        <w:rPr>
          <w:rFonts w:ascii="Arial" w:cs="Arial" w:eastAsia="Arial" w:hAnsi="Arial"/>
          <w:sz w:val="18"/>
          <w:szCs w:val="18"/>
          <w:color w:val="auto"/>
        </w:rPr>
      </w:pPr>
    </w:p>
    <w:p>
      <w:pPr>
        <w:ind w:left="700" w:hanging="242"/>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Trustee may destroy any list furnished to it as provided in Section 5.01 upon receipt of a new list so furnished.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3" w:name="page54"/>
    <w:bookmarkEnd w:id="53"/>
    <w:p>
      <w:pPr>
        <w:jc w:val="both"/>
        <w:ind w:right="140" w:firstLine="458"/>
        <w:spacing w:after="0" w:line="264" w:lineRule="auto"/>
        <w:tabs>
          <w:tab w:leader="none" w:pos="7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REPORTS BY THE COMPANY</w:t>
      </w:r>
      <w:r>
        <w:rPr>
          <w:rFonts w:ascii="Arial" w:cs="Arial" w:eastAsia="Arial" w:hAnsi="Arial"/>
          <w:sz w:val="18"/>
          <w:szCs w:val="18"/>
          <w:color w:val="auto"/>
        </w:rPr>
        <w:t>.</w:t>
      </w:r>
    </w:p>
    <w:p>
      <w:pPr>
        <w:spacing w:after="0" w:line="117" w:lineRule="exact"/>
        <w:rPr>
          <w:sz w:val="20"/>
          <w:szCs w:val="20"/>
          <w:color w:val="auto"/>
        </w:rPr>
      </w:pPr>
    </w:p>
    <w:p>
      <w:pPr>
        <w:ind w:right="80" w:firstLine="222"/>
        <w:spacing w:after="0" w:line="302" w:lineRule="auto"/>
        <w:rPr>
          <w:sz w:val="20"/>
          <w:szCs w:val="20"/>
          <w:color w:val="auto"/>
        </w:rPr>
      </w:pPr>
      <w:r>
        <w:rPr>
          <w:rFonts w:ascii="Arial" w:cs="Arial" w:eastAsia="Arial" w:hAnsi="Arial"/>
          <w:sz w:val="16"/>
          <w:szCs w:val="16"/>
          <w:color w:val="auto"/>
        </w:rPr>
        <w:t>The Company shall file with the Trustee and the Securities and Exchange Commission, and transmit to Securityholders, such information, documents and other reports, and such summaries thereof, as may be required pursuant to the Trust Indenture Act at the times and in the manner provided in the Trust Indenture Act; provided that, unless available on EDGAR, any such information, documents or reports required to be filed with the SEC pursuant to Section 13 or 15(d) of the Exchange Act shall be filed with the Trustee within 30 days after the same is filed with the Securities and Exchange Commission.</w:t>
      </w:r>
    </w:p>
    <w:p>
      <w:pPr>
        <w:spacing w:after="0" w:line="46"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REPORTS BY THE TRUSTEE</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59" w:lineRule="auto"/>
        <w:tabs>
          <w:tab w:leader="none" w:pos="705" w:val="left"/>
        </w:tabs>
        <w:numPr>
          <w:ilvl w:val="0"/>
          <w:numId w:val="51"/>
        </w:numPr>
        <w:rPr>
          <w:rFonts w:ascii="Arial" w:cs="Arial" w:eastAsia="Arial" w:hAnsi="Arial"/>
          <w:sz w:val="18"/>
          <w:szCs w:val="18"/>
          <w:color w:val="auto"/>
        </w:rPr>
      </w:pPr>
      <w:r>
        <w:rPr>
          <w:rFonts w:ascii="Arial" w:cs="Arial" w:eastAsia="Arial" w:hAnsi="Arial"/>
          <w:sz w:val="18"/>
          <w:szCs w:val="18"/>
          <w:color w:val="auto"/>
        </w:rPr>
        <w:t>So long as any Securities are outstanding, the Trustee shall transmit to Securityholders such reports concerning the Trustee and its actions under this Indenture as may be required pursuant to the Trust Indenture Act at the times and in the manner provided therein. If required by Section 313(a) of the Trust Indenture Act, the Trustee shall, within 60 days after each anniversary following the date of this Indenture deliver to Securityholders a brief report which complies with the provisions of such Section 313(a).</w:t>
      </w:r>
    </w:p>
    <w:p>
      <w:pPr>
        <w:spacing w:after="0" w:line="78" w:lineRule="exact"/>
        <w:rPr>
          <w:rFonts w:ascii="Arial" w:cs="Arial" w:eastAsia="Arial" w:hAnsi="Arial"/>
          <w:sz w:val="18"/>
          <w:szCs w:val="18"/>
          <w:color w:val="auto"/>
        </w:rPr>
      </w:pPr>
    </w:p>
    <w:p>
      <w:pPr>
        <w:ind w:right="120" w:firstLine="458"/>
        <w:spacing w:after="0" w:line="259" w:lineRule="auto"/>
        <w:tabs>
          <w:tab w:leader="none" w:pos="70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Trustee shall, at the time of the transmission to the Securityholders of Securities of any report pursuant to the provisions of this Section 10.01, file a copy of such report with each stock exchange upon which the Securities are listed, if any, and also with the Securities and Exchange Commission in respect of a Security listed and registered on a national securities exchange, if any. The Company agrees to notify the Trustee when, as and if the Securities become listed on any stock exchange or any delisting thereof.</w:t>
      </w:r>
    </w:p>
    <w:p>
      <w:pPr>
        <w:spacing w:after="0" w:line="78" w:lineRule="exact"/>
        <w:rPr>
          <w:rFonts w:ascii="Arial" w:cs="Arial" w:eastAsia="Arial" w:hAnsi="Arial"/>
          <w:sz w:val="18"/>
          <w:szCs w:val="18"/>
          <w:color w:val="auto"/>
        </w:rPr>
      </w:pPr>
    </w:p>
    <w:p>
      <w:pPr>
        <w:ind w:right="240" w:firstLine="458"/>
        <w:spacing w:after="0" w:line="277" w:lineRule="auto"/>
        <w:tabs>
          <w:tab w:leader="none" w:pos="70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will reimburse the Trustee for all expenses incurred in the preparation and transmission of any report pursuant to the provisions of this Section 5.04 and of Section 5.03.</w:t>
      </w:r>
    </w:p>
    <w:p>
      <w:pPr>
        <w:spacing w:after="0" w:line="27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6</w:t>
      </w:r>
    </w:p>
    <w:p>
      <w:pPr>
        <w:spacing w:after="0" w:line="117" w:lineRule="exact"/>
        <w:rPr>
          <w:sz w:val="20"/>
          <w:szCs w:val="20"/>
          <w:color w:val="auto"/>
        </w:rPr>
      </w:pPr>
    </w:p>
    <w:p>
      <w:pPr>
        <w:ind w:left="2220"/>
        <w:spacing w:after="0"/>
        <w:rPr>
          <w:sz w:val="20"/>
          <w:szCs w:val="20"/>
          <w:color w:val="auto"/>
        </w:rPr>
      </w:pPr>
      <w:r>
        <w:rPr>
          <w:rFonts w:ascii="Arial" w:cs="Arial" w:eastAsia="Arial" w:hAnsi="Arial"/>
          <w:sz w:val="18"/>
          <w:szCs w:val="18"/>
          <w:b w:val="1"/>
          <w:bCs w:val="1"/>
          <w:u w:val="single" w:color="auto"/>
          <w:color w:val="auto"/>
        </w:rPr>
        <w:t>REMEDIES OF THE TRUSTEE AND SECURITYHOLDERS ON EVENT OF DEFAULT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117" w:lineRule="exact"/>
        <w:rPr>
          <w:sz w:val="20"/>
          <w:szCs w:val="20"/>
          <w:color w:val="auto"/>
        </w:rPr>
      </w:pPr>
    </w:p>
    <w:p>
      <w:pPr>
        <w:ind w:right="200" w:firstLine="458"/>
        <w:spacing w:after="0" w:line="277" w:lineRule="auto"/>
        <w:tabs>
          <w:tab w:leader="none" w:pos="702"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Whenever used herein with respect to Securities of a particular series, “Event of Default” means any one or more of the following events that has occurred and is continuing:</w:t>
      </w:r>
    </w:p>
    <w:p>
      <w:pPr>
        <w:spacing w:after="0" w:line="62" w:lineRule="exact"/>
        <w:rPr>
          <w:rFonts w:ascii="Arial" w:cs="Arial" w:eastAsia="Arial" w:hAnsi="Arial"/>
          <w:sz w:val="18"/>
          <w:szCs w:val="18"/>
          <w:color w:val="auto"/>
        </w:rPr>
      </w:pPr>
    </w:p>
    <w:p>
      <w:pPr>
        <w:ind w:right="140" w:firstLine="683"/>
        <w:spacing w:after="0" w:line="277" w:lineRule="auto"/>
        <w:tabs>
          <w:tab w:leader="none" w:pos="89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Company defaults in the payment of any installment of interest upon any of the Securities of that series, as and when the same shall become due and payable, and such</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54" w:name="page55"/>
    <w:bookmarkEnd w:id="54"/>
    <w:p>
      <w:pPr>
        <w:ind w:right="360"/>
        <w:spacing w:after="0" w:line="277" w:lineRule="auto"/>
        <w:rPr>
          <w:sz w:val="20"/>
          <w:szCs w:val="20"/>
          <w:color w:val="auto"/>
        </w:rPr>
      </w:pPr>
      <w:r>
        <w:rPr>
          <w:rFonts w:ascii="Arial" w:cs="Arial" w:eastAsia="Arial" w:hAnsi="Arial"/>
          <w:sz w:val="18"/>
          <w:szCs w:val="18"/>
          <w:color w:val="auto"/>
        </w:rPr>
        <w:t>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62" w:lineRule="exact"/>
        <w:rPr>
          <w:sz w:val="20"/>
          <w:szCs w:val="20"/>
          <w:color w:val="auto"/>
        </w:rPr>
      </w:pPr>
    </w:p>
    <w:p>
      <w:pPr>
        <w:ind w:right="160" w:firstLine="683"/>
        <w:spacing w:after="0" w:line="279" w:lineRule="auto"/>
        <w:tabs>
          <w:tab w:leader="none" w:pos="940" w:val="left"/>
        </w:tabs>
        <w:numPr>
          <w:ilvl w:val="2"/>
          <w:numId w:val="53"/>
        </w:numPr>
        <w:rPr>
          <w:rFonts w:ascii="Arial" w:cs="Arial" w:eastAsia="Arial" w:hAnsi="Arial"/>
          <w:sz w:val="17"/>
          <w:szCs w:val="17"/>
          <w:color w:val="auto"/>
        </w:rPr>
      </w:pPr>
      <w:r>
        <w:rPr>
          <w:rFonts w:ascii="Arial" w:cs="Arial" w:eastAsia="Arial" w:hAnsi="Arial"/>
          <w:sz w:val="17"/>
          <w:szCs w:val="17"/>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63" w:lineRule="exact"/>
        <w:rPr>
          <w:rFonts w:ascii="Arial" w:cs="Arial" w:eastAsia="Arial" w:hAnsi="Arial"/>
          <w:sz w:val="17"/>
          <w:szCs w:val="17"/>
          <w:color w:val="auto"/>
        </w:rPr>
      </w:pPr>
    </w:p>
    <w:p>
      <w:pPr>
        <w:ind w:right="160" w:firstLine="683"/>
        <w:spacing w:after="0" w:line="255" w:lineRule="auto"/>
        <w:tabs>
          <w:tab w:leader="none" w:pos="990"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85" w:lineRule="exact"/>
        <w:rPr>
          <w:rFonts w:ascii="Arial" w:cs="Arial" w:eastAsia="Arial" w:hAnsi="Arial"/>
          <w:sz w:val="18"/>
          <w:szCs w:val="18"/>
          <w:color w:val="auto"/>
        </w:rPr>
      </w:pPr>
    </w:p>
    <w:p>
      <w:pPr>
        <w:ind w:right="220" w:firstLine="683"/>
        <w:spacing w:after="0" w:line="264" w:lineRule="auto"/>
        <w:tabs>
          <w:tab w:leader="none" w:pos="980"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73" w:lineRule="exact"/>
        <w:rPr>
          <w:rFonts w:ascii="Arial" w:cs="Arial" w:eastAsia="Arial" w:hAnsi="Arial"/>
          <w:sz w:val="18"/>
          <w:szCs w:val="18"/>
          <w:color w:val="auto"/>
        </w:rPr>
      </w:pPr>
    </w:p>
    <w:p>
      <w:pPr>
        <w:ind w:left="940" w:hanging="257"/>
        <w:spacing w:after="0"/>
        <w:tabs>
          <w:tab w:leader="none" w:pos="940" w:val="left"/>
        </w:tabs>
        <w:numPr>
          <w:ilvl w:val="2"/>
          <w:numId w:val="53"/>
        </w:numPr>
        <w:rPr>
          <w:rFonts w:ascii="Arial" w:cs="Arial" w:eastAsia="Arial" w:hAnsi="Arial"/>
          <w:sz w:val="17"/>
          <w:szCs w:val="17"/>
          <w:color w:val="auto"/>
        </w:rPr>
      </w:pPr>
      <w:r>
        <w:rPr>
          <w:rFonts w:ascii="Arial" w:cs="Arial" w:eastAsia="Arial" w:hAnsi="Arial"/>
          <w:sz w:val="17"/>
          <w:szCs w:val="17"/>
          <w:color w:val="auto"/>
        </w:rPr>
        <w:t>a court of competent jurisdiction enters an order under any Bankruptcy Law that (i) is for relief against the Company in an involuntary case,</w:t>
      </w:r>
    </w:p>
    <w:p>
      <w:pPr>
        <w:spacing w:after="0" w:line="34" w:lineRule="exact"/>
        <w:rPr>
          <w:rFonts w:ascii="Arial" w:cs="Arial" w:eastAsia="Arial" w:hAnsi="Arial"/>
          <w:sz w:val="17"/>
          <w:szCs w:val="17"/>
          <w:color w:val="auto"/>
        </w:rPr>
      </w:pPr>
    </w:p>
    <w:p>
      <w:pPr>
        <w:ind w:right="460" w:firstLine="8"/>
        <w:spacing w:after="0" w:line="261" w:lineRule="auto"/>
        <w:tabs>
          <w:tab w:leader="none" w:pos="26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appoints a Custodian of the Company for all or substantially all of its property or (iii) orders the liquidation of the Company, and the order or decree remains unstayed and in effect for 90 days.</w:t>
      </w:r>
    </w:p>
    <w:p>
      <w:pPr>
        <w:spacing w:after="0" w:line="75" w:lineRule="exact"/>
        <w:rPr>
          <w:rFonts w:ascii="Arial" w:cs="Arial" w:eastAsia="Arial" w:hAnsi="Arial"/>
          <w:sz w:val="18"/>
          <w:szCs w:val="18"/>
          <w:color w:val="auto"/>
        </w:rPr>
      </w:pPr>
    </w:p>
    <w:p>
      <w:pPr>
        <w:ind w:firstLine="458"/>
        <w:spacing w:after="0" w:line="272" w:lineRule="auto"/>
        <w:tabs>
          <w:tab w:leader="none" w:pos="705" w:val="left"/>
        </w:tabs>
        <w:numPr>
          <w:ilvl w:val="1"/>
          <w:numId w:val="54"/>
        </w:numPr>
        <w:rPr>
          <w:rFonts w:ascii="Arial" w:cs="Arial" w:eastAsia="Arial" w:hAnsi="Arial"/>
          <w:sz w:val="17"/>
          <w:szCs w:val="17"/>
          <w:color w:val="auto"/>
        </w:rPr>
      </w:pPr>
      <w:r>
        <w:rPr>
          <w:rFonts w:ascii="Arial" w:cs="Arial" w:eastAsia="Arial" w:hAnsi="Arial"/>
          <w:sz w:val="17"/>
          <w:szCs w:val="17"/>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69" w:lineRule="exact"/>
        <w:rPr>
          <w:rFonts w:ascii="Arial" w:cs="Arial" w:eastAsia="Arial" w:hAnsi="Arial"/>
          <w:sz w:val="17"/>
          <w:szCs w:val="17"/>
          <w:color w:val="auto"/>
        </w:rPr>
      </w:pPr>
    </w:p>
    <w:p>
      <w:pPr>
        <w:ind w:right="80" w:firstLine="458"/>
        <w:spacing w:after="0" w:line="272" w:lineRule="auto"/>
        <w:tabs>
          <w:tab w:leader="none" w:pos="695" w:val="left"/>
        </w:tabs>
        <w:numPr>
          <w:ilvl w:val="1"/>
          <w:numId w:val="54"/>
        </w:numPr>
        <w:rPr>
          <w:rFonts w:ascii="Arial" w:cs="Arial" w:eastAsia="Arial" w:hAnsi="Arial"/>
          <w:sz w:val="17"/>
          <w:szCs w:val="17"/>
          <w:color w:val="auto"/>
        </w:rPr>
      </w:pPr>
      <w:r>
        <w:rPr>
          <w:rFonts w:ascii="Arial" w:cs="Arial" w:eastAsia="Arial" w:hAnsi="Arial"/>
          <w:sz w:val="17"/>
          <w:szCs w:val="17"/>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t>per annum expressed in the Securities of that series to the date of such payment or deposit) and the amount payable to the Trustee under Section 7.06, and</w:t>
      </w:r>
    </w:p>
    <w:p>
      <w:pPr>
        <w:spacing w:after="0" w:line="46" w:lineRule="exact"/>
        <w:rPr>
          <w:sz w:val="20"/>
          <w:szCs w:val="20"/>
          <w:color w:val="auto"/>
        </w:rPr>
      </w:pPr>
    </w:p>
    <w:p>
      <w:pPr>
        <w:ind w:right="340" w:firstLine="8"/>
        <w:spacing w:after="0" w:line="255" w:lineRule="auto"/>
        <w:tabs>
          <w:tab w:leader="none" w:pos="26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 such rescission and annulment shall extend to or shall affect any subsequent default or impair any right consequent thereon.</w:t>
      </w:r>
    </w:p>
    <w:p>
      <w:pPr>
        <w:spacing w:after="0" w:line="117" w:lineRule="exact"/>
        <w:rPr>
          <w:sz w:val="20"/>
          <w:szCs w:val="20"/>
          <w:color w:val="auto"/>
        </w:rPr>
      </w:pPr>
    </w:p>
    <w:p>
      <w:pPr>
        <w:ind w:right="40" w:firstLine="458"/>
        <w:spacing w:after="0" w:line="257" w:lineRule="auto"/>
        <w:tabs>
          <w:tab w:leader="none" w:pos="70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117" w:lineRule="exact"/>
        <w:rPr>
          <w:sz w:val="20"/>
          <w:szCs w:val="20"/>
          <w:color w:val="auto"/>
        </w:rPr>
      </w:pPr>
    </w:p>
    <w:p>
      <w:pPr>
        <w:ind w:right="60" w:firstLine="458"/>
        <w:spacing w:after="0" w:line="289" w:lineRule="auto"/>
        <w:tabs>
          <w:tab w:leader="none" w:pos="702"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Business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58" w:lineRule="exact"/>
        <w:rPr>
          <w:rFonts w:ascii="Arial" w:cs="Arial" w:eastAsia="Arial" w:hAnsi="Arial"/>
          <w:sz w:val="16"/>
          <w:szCs w:val="16"/>
          <w:color w:val="auto"/>
        </w:rPr>
      </w:pPr>
    </w:p>
    <w:p>
      <w:pPr>
        <w:ind w:firstLine="458"/>
        <w:spacing w:after="0" w:line="257" w:lineRule="auto"/>
        <w:tabs>
          <w:tab w:leader="none" w:pos="70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80" w:lineRule="exact"/>
        <w:rPr>
          <w:rFonts w:ascii="Arial" w:cs="Arial" w:eastAsia="Arial" w:hAnsi="Arial"/>
          <w:sz w:val="18"/>
          <w:szCs w:val="18"/>
          <w:color w:val="auto"/>
        </w:rPr>
      </w:pPr>
    </w:p>
    <w:p>
      <w:pPr>
        <w:ind w:right="60" w:firstLine="458"/>
        <w:spacing w:after="0" w:line="255" w:lineRule="auto"/>
        <w:tabs>
          <w:tab w:leader="none" w:pos="70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6" w:name="page57"/>
    <w:bookmarkEnd w:id="56"/>
    <w:p>
      <w:pPr>
        <w:ind w:right="200"/>
        <w:spacing w:after="0" w:line="279" w:lineRule="auto"/>
        <w:rPr>
          <w:sz w:val="20"/>
          <w:szCs w:val="20"/>
          <w:color w:val="auto"/>
        </w:rPr>
      </w:pPr>
      <w:r>
        <w:rPr>
          <w:rFonts w:ascii="Arial" w:cs="Arial" w:eastAsia="Arial" w:hAnsi="Arial"/>
          <w:sz w:val="17"/>
          <w:szCs w:val="17"/>
          <w:color w:val="auto"/>
        </w:rPr>
        <w:t>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63" w:lineRule="exact"/>
        <w:rPr>
          <w:sz w:val="20"/>
          <w:szCs w:val="20"/>
          <w:color w:val="auto"/>
        </w:rPr>
      </w:pPr>
    </w:p>
    <w:p>
      <w:pPr>
        <w:ind w:right="40" w:firstLine="458"/>
        <w:spacing w:after="0" w:line="302" w:lineRule="auto"/>
        <w:tabs>
          <w:tab w:leader="none" w:pos="695" w:val="left"/>
        </w:tabs>
        <w:numPr>
          <w:ilvl w:val="0"/>
          <w:numId w:val="58"/>
        </w:numPr>
        <w:rPr>
          <w:rFonts w:ascii="Arial" w:cs="Arial" w:eastAsia="Arial" w:hAnsi="Arial"/>
          <w:sz w:val="16"/>
          <w:szCs w:val="16"/>
          <w:color w:val="auto"/>
        </w:rPr>
      </w:pPr>
      <w:r>
        <w:rPr>
          <w:rFonts w:ascii="Arial" w:cs="Arial" w:eastAsia="Arial" w:hAnsi="Arial"/>
          <w:sz w:val="16"/>
          <w:szCs w:val="16"/>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46" w:lineRule="exact"/>
        <w:rPr>
          <w:sz w:val="20"/>
          <w:szCs w:val="20"/>
          <w:color w:val="auto"/>
        </w:rPr>
      </w:pPr>
    </w:p>
    <w:p>
      <w:pPr>
        <w:jc w:val="both"/>
        <w:ind w:right="120" w:firstLine="225"/>
        <w:spacing w:after="0" w:line="279" w:lineRule="auto"/>
        <w:rPr>
          <w:sz w:val="20"/>
          <w:szCs w:val="20"/>
          <w:color w:val="auto"/>
        </w:rPr>
      </w:pPr>
      <w:r>
        <w:rPr>
          <w:rFonts w:ascii="Arial" w:cs="Arial" w:eastAsia="Arial" w:hAnsi="Arial"/>
          <w:sz w:val="17"/>
          <w:szCs w:val="17"/>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6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APPLICATION OF MONEYS COLLECTED</w:t>
      </w:r>
      <w:r>
        <w:rPr>
          <w:rFonts w:ascii="Arial" w:cs="Arial" w:eastAsia="Arial" w:hAnsi="Arial"/>
          <w:sz w:val="18"/>
          <w:szCs w:val="18"/>
          <w:color w:val="auto"/>
        </w:rPr>
        <w:t>.</w:t>
      </w:r>
    </w:p>
    <w:p>
      <w:pPr>
        <w:spacing w:after="0" w:line="117" w:lineRule="exact"/>
        <w:rPr>
          <w:sz w:val="20"/>
          <w:szCs w:val="20"/>
          <w:color w:val="auto"/>
        </w:rPr>
      </w:pPr>
    </w:p>
    <w:p>
      <w:pPr>
        <w:ind w:right="40" w:firstLine="215"/>
        <w:spacing w:after="0" w:line="286" w:lineRule="auto"/>
        <w:rPr>
          <w:sz w:val="20"/>
          <w:szCs w:val="20"/>
          <w:color w:val="auto"/>
        </w:rPr>
      </w:pPr>
      <w:r>
        <w:rPr>
          <w:rFonts w:ascii="Arial" w:cs="Arial" w:eastAsia="Arial" w:hAnsi="Arial"/>
          <w:sz w:val="17"/>
          <w:szCs w:val="17"/>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57"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FIRST: To the payment of all indebtedness of the Company to which such series of Securities is subordinated to the extent required by Section 7.06 and Article Fourteen;</w:t>
      </w:r>
    </w:p>
    <w:p>
      <w:pPr>
        <w:spacing w:after="0" w:line="62"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THIRD: To the payment of the remainder, if any, to the Company or any other Person lawfully entitled thereto.</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117" w:lineRule="exact"/>
        <w:rPr>
          <w:sz w:val="20"/>
          <w:szCs w:val="20"/>
          <w:color w:val="auto"/>
        </w:rPr>
      </w:pPr>
    </w:p>
    <w:p>
      <w:pPr>
        <w:ind w:right="540" w:firstLine="225"/>
        <w:spacing w:after="0" w:line="342" w:lineRule="auto"/>
        <w:rPr>
          <w:sz w:val="20"/>
          <w:szCs w:val="20"/>
          <w:color w:val="auto"/>
        </w:rPr>
      </w:pPr>
      <w:r>
        <w:rPr>
          <w:rFonts w:ascii="Arial" w:cs="Arial" w:eastAsia="Arial" w:hAnsi="Arial"/>
          <w:sz w:val="16"/>
          <w:szCs w:val="16"/>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7" w:name="page58"/>
    <w:bookmarkEnd w:id="57"/>
    <w:p>
      <w:pPr>
        <w:ind w:right="20"/>
        <w:spacing w:after="0" w:line="272" w:lineRule="auto"/>
        <w:rPr>
          <w:sz w:val="20"/>
          <w:szCs w:val="20"/>
          <w:color w:val="auto"/>
        </w:rPr>
      </w:pPr>
      <w:r>
        <w:rPr>
          <w:rFonts w:ascii="Arial" w:cs="Arial" w:eastAsia="Arial" w:hAnsi="Arial"/>
          <w:sz w:val="17"/>
          <w:szCs w:val="17"/>
          <w:color w:val="auto"/>
        </w:rPr>
        <w:t>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70"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RIGHTS AND REMEDIES CUMULATIVE; DELAY OR OMISSION NOT WAIVER</w:t>
      </w:r>
      <w:r>
        <w:rPr>
          <w:rFonts w:ascii="Arial" w:cs="Arial" w:eastAsia="Arial" w:hAnsi="Arial"/>
          <w:sz w:val="18"/>
          <w:szCs w:val="18"/>
          <w:color w:val="auto"/>
        </w:rPr>
        <w:t>.</w:t>
      </w:r>
    </w:p>
    <w:p>
      <w:pPr>
        <w:spacing w:after="0" w:line="117" w:lineRule="exact"/>
        <w:rPr>
          <w:sz w:val="20"/>
          <w:szCs w:val="20"/>
          <w:color w:val="auto"/>
        </w:rPr>
      </w:pPr>
    </w:p>
    <w:p>
      <w:pPr>
        <w:ind w:right="160" w:firstLine="458"/>
        <w:spacing w:after="0" w:line="259" w:lineRule="auto"/>
        <w:tabs>
          <w:tab w:leader="none" w:pos="705"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78" w:lineRule="exact"/>
        <w:rPr>
          <w:rFonts w:ascii="Arial" w:cs="Arial" w:eastAsia="Arial" w:hAnsi="Arial"/>
          <w:sz w:val="18"/>
          <w:szCs w:val="18"/>
          <w:color w:val="auto"/>
        </w:rPr>
      </w:pPr>
    </w:p>
    <w:p>
      <w:pPr>
        <w:ind w:right="180" w:firstLine="458"/>
        <w:spacing w:after="0" w:line="279" w:lineRule="auto"/>
        <w:tabs>
          <w:tab w:leader="none" w:pos="705" w:val="left"/>
        </w:tabs>
        <w:numPr>
          <w:ilvl w:val="0"/>
          <w:numId w:val="59"/>
        </w:numPr>
        <w:rPr>
          <w:rFonts w:ascii="Arial" w:cs="Arial" w:eastAsia="Arial" w:hAnsi="Arial"/>
          <w:sz w:val="17"/>
          <w:szCs w:val="17"/>
          <w:color w:val="auto"/>
        </w:rPr>
      </w:pPr>
      <w:r>
        <w:rPr>
          <w:rFonts w:ascii="Arial" w:cs="Arial" w:eastAsia="Arial" w:hAnsi="Arial"/>
          <w:sz w:val="17"/>
          <w:szCs w:val="17"/>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CONTROL BY SECURITYHOLDERS</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holders of a majority in aggregate principal amount of the Securities of any series at the time Outstanding, determined in accordance with</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Subject to the provisions of Section 7.01, the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58" w:name="page59"/>
    <w:bookmarkEnd w:id="58"/>
    <w:p>
      <w:pPr>
        <w:spacing w:after="0" w:line="269" w:lineRule="auto"/>
        <w:rPr>
          <w:sz w:val="20"/>
          <w:szCs w:val="20"/>
          <w:color w:val="auto"/>
        </w:rPr>
      </w:pPr>
      <w:r>
        <w:rPr>
          <w:rFonts w:ascii="Arial" w:cs="Arial" w:eastAsia="Arial" w:hAnsi="Arial"/>
          <w:sz w:val="17"/>
          <w:szCs w:val="17"/>
          <w:color w:val="auto"/>
        </w:rPr>
        <w:t>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6.01(3)).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UNDERTAKING TO PAY COSTS</w:t>
      </w:r>
      <w:r>
        <w:rPr>
          <w:rFonts w:ascii="Arial" w:cs="Arial" w:eastAsia="Arial" w:hAnsi="Arial"/>
          <w:sz w:val="18"/>
          <w:szCs w:val="18"/>
          <w:color w:val="auto"/>
        </w:rPr>
        <w:t>.</w:t>
      </w:r>
    </w:p>
    <w:p>
      <w:pPr>
        <w:spacing w:after="0" w:line="117" w:lineRule="exact"/>
        <w:rPr>
          <w:sz w:val="20"/>
          <w:szCs w:val="20"/>
          <w:color w:val="auto"/>
        </w:rPr>
      </w:pPr>
    </w:p>
    <w:p>
      <w:pPr>
        <w:ind w:firstLine="215"/>
        <w:spacing w:after="0" w:line="290" w:lineRule="auto"/>
        <w:rPr>
          <w:sz w:val="20"/>
          <w:szCs w:val="20"/>
          <w:color w:val="auto"/>
        </w:rPr>
      </w:pPr>
      <w:r>
        <w:rPr>
          <w:rFonts w:ascii="Arial" w:cs="Arial" w:eastAsia="Arial" w:hAnsi="Arial"/>
          <w:sz w:val="16"/>
          <w:szCs w:val="16"/>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270"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7</w:t>
      </w:r>
    </w:p>
    <w:p>
      <w:pPr>
        <w:spacing w:after="0" w:line="117" w:lineRule="exact"/>
        <w:rPr>
          <w:sz w:val="20"/>
          <w:szCs w:val="20"/>
          <w:color w:val="auto"/>
        </w:rPr>
      </w:pPr>
    </w:p>
    <w:p>
      <w:pPr>
        <w:ind w:left="4440"/>
        <w:spacing w:after="0"/>
        <w:rPr>
          <w:sz w:val="20"/>
          <w:szCs w:val="20"/>
          <w:color w:val="auto"/>
        </w:rPr>
      </w:pPr>
      <w:r>
        <w:rPr>
          <w:rFonts w:ascii="Arial" w:cs="Arial" w:eastAsia="Arial" w:hAnsi="Arial"/>
          <w:sz w:val="18"/>
          <w:szCs w:val="18"/>
          <w:b w:val="1"/>
          <w:bCs w:val="1"/>
          <w:u w:val="single" w:color="auto"/>
          <w:color w:val="auto"/>
        </w:rPr>
        <w:t>CONCERNING THE TRUSTEE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CERTAIN DUTIES AND RESPONSIBILITIES OF TRUSTEE</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55" w:lineRule="auto"/>
        <w:tabs>
          <w:tab w:leader="none" w:pos="70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85" w:lineRule="exact"/>
        <w:rPr>
          <w:rFonts w:ascii="Arial" w:cs="Arial" w:eastAsia="Arial" w:hAnsi="Arial"/>
          <w:sz w:val="18"/>
          <w:szCs w:val="18"/>
          <w:color w:val="auto"/>
        </w:rPr>
      </w:pPr>
    </w:p>
    <w:p>
      <w:pPr>
        <w:ind w:right="60" w:firstLine="458"/>
        <w:spacing w:after="0" w:line="277" w:lineRule="auto"/>
        <w:tabs>
          <w:tab w:leader="none" w:pos="705"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9" w:name="page60"/>
    <w:bookmarkEnd w:id="59"/>
    <w:p>
      <w:pPr>
        <w:ind w:right="20"/>
        <w:spacing w:after="0" w:line="277" w:lineRule="auto"/>
        <w:rPr>
          <w:sz w:val="20"/>
          <w:szCs w:val="20"/>
          <w:color w:val="auto"/>
        </w:rPr>
      </w:pPr>
      <w:r>
        <w:rPr>
          <w:rFonts w:ascii="Arial" w:cs="Arial" w:eastAsia="Arial" w:hAnsi="Arial"/>
          <w:sz w:val="18"/>
          <w:szCs w:val="18"/>
          <w:color w:val="auto"/>
        </w:rPr>
        <w:t>that, prior to the occurrence of an Event of Default with respect to the Securities of a series and after the curing or waiving of all such Events of Default with respect to that series that may have occurred:</w:t>
      </w:r>
    </w:p>
    <w:p>
      <w:pPr>
        <w:spacing w:after="0" w:line="62" w:lineRule="exact"/>
        <w:rPr>
          <w:sz w:val="20"/>
          <w:szCs w:val="20"/>
          <w:color w:val="auto"/>
        </w:rPr>
      </w:pPr>
    </w:p>
    <w:p>
      <w:pPr>
        <w:ind w:right="20" w:firstLine="908"/>
        <w:spacing w:after="0" w:line="312" w:lineRule="auto"/>
        <w:tabs>
          <w:tab w:leader="none" w:pos="1195"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w:t>
      </w:r>
    </w:p>
    <w:p>
      <w:pPr>
        <w:spacing w:after="0" w:line="38" w:lineRule="exact"/>
        <w:rPr>
          <w:rFonts w:ascii="Arial" w:cs="Arial" w:eastAsia="Arial" w:hAnsi="Arial"/>
          <w:sz w:val="16"/>
          <w:szCs w:val="16"/>
          <w:color w:val="auto"/>
        </w:rPr>
      </w:pPr>
    </w:p>
    <w:p>
      <w:pPr>
        <w:jc w:val="both"/>
        <w:ind w:firstLine="908"/>
        <w:spacing w:after="0" w:line="302" w:lineRule="auto"/>
        <w:tabs>
          <w:tab w:leader="none" w:pos="1185"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 of this Indenture;</w:t>
      </w:r>
    </w:p>
    <w:p>
      <w:pPr>
        <w:spacing w:after="0" w:line="46" w:lineRule="exact"/>
        <w:rPr>
          <w:rFonts w:ascii="Arial" w:cs="Arial" w:eastAsia="Arial" w:hAnsi="Arial"/>
          <w:sz w:val="16"/>
          <w:szCs w:val="16"/>
          <w:color w:val="auto"/>
        </w:rPr>
      </w:pPr>
    </w:p>
    <w:p>
      <w:pPr>
        <w:ind w:right="60" w:firstLine="908"/>
        <w:spacing w:after="0" w:line="277" w:lineRule="auto"/>
        <w:tabs>
          <w:tab w:leader="none" w:pos="118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62" w:lineRule="exact"/>
        <w:rPr>
          <w:rFonts w:ascii="Arial" w:cs="Arial" w:eastAsia="Arial" w:hAnsi="Arial"/>
          <w:sz w:val="18"/>
          <w:szCs w:val="18"/>
          <w:color w:val="auto"/>
        </w:rPr>
      </w:pPr>
    </w:p>
    <w:p>
      <w:pPr>
        <w:ind w:right="160" w:firstLine="908"/>
        <w:spacing w:after="0" w:line="259" w:lineRule="auto"/>
        <w:tabs>
          <w:tab w:leader="none" w:pos="11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78" w:lineRule="exact"/>
        <w:rPr>
          <w:rFonts w:ascii="Arial" w:cs="Arial" w:eastAsia="Arial" w:hAnsi="Arial"/>
          <w:sz w:val="18"/>
          <w:szCs w:val="18"/>
          <w:color w:val="auto"/>
        </w:rPr>
      </w:pPr>
    </w:p>
    <w:p>
      <w:pPr>
        <w:ind w:firstLine="908"/>
        <w:spacing w:after="0" w:line="259" w:lineRule="auto"/>
        <w:tabs>
          <w:tab w:leader="none" w:pos="11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Except as otherwise provided in Section 7.01:</w:t>
      </w:r>
    </w:p>
    <w:p>
      <w:pPr>
        <w:spacing w:after="0" w:line="117" w:lineRule="exact"/>
        <w:rPr>
          <w:sz w:val="20"/>
          <w:szCs w:val="20"/>
          <w:color w:val="auto"/>
        </w:rPr>
      </w:pPr>
    </w:p>
    <w:p>
      <w:pPr>
        <w:ind w:right="60" w:firstLine="458"/>
        <w:spacing w:after="0" w:line="264" w:lineRule="auto"/>
        <w:tabs>
          <w:tab w:leader="none" w:pos="70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73" w:lineRule="exact"/>
        <w:rPr>
          <w:rFonts w:ascii="Arial" w:cs="Arial" w:eastAsia="Arial" w:hAnsi="Arial"/>
          <w:sz w:val="18"/>
          <w:szCs w:val="18"/>
          <w:color w:val="auto"/>
        </w:rPr>
      </w:pPr>
    </w:p>
    <w:p>
      <w:pPr>
        <w:ind w:right="100" w:firstLine="458"/>
        <w:spacing w:after="0" w:line="342" w:lineRule="auto"/>
        <w:tabs>
          <w:tab w:leader="none" w:pos="695"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5" w:lineRule="exact"/>
        <w:rPr>
          <w:rFonts w:ascii="Arial" w:cs="Arial" w:eastAsia="Arial" w:hAnsi="Arial"/>
          <w:sz w:val="16"/>
          <w:szCs w:val="16"/>
          <w:color w:val="auto"/>
        </w:rPr>
      </w:pPr>
    </w:p>
    <w:p>
      <w:pPr>
        <w:ind w:right="200" w:firstLine="458"/>
        <w:spacing w:after="0" w:line="277" w:lineRule="auto"/>
        <w:tabs>
          <w:tab w:leader="none" w:pos="70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may consult with counsel and the written advice of such counsel or any Opinion of Counsel shall be full and complete authorization and protection in respect of any action taken or suffered or omitted hereunder in good faith and in reliance thereon;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60" w:name="page61"/>
    <w:bookmarkEnd w:id="60"/>
    <w:p>
      <w:pPr>
        <w:ind w:right="20" w:firstLine="458"/>
        <w:spacing w:after="0" w:line="273" w:lineRule="auto"/>
        <w:tabs>
          <w:tab w:leader="none" w:pos="702"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70" w:lineRule="exact"/>
        <w:rPr>
          <w:rFonts w:ascii="Arial" w:cs="Arial" w:eastAsia="Arial" w:hAnsi="Arial"/>
          <w:sz w:val="17"/>
          <w:szCs w:val="17"/>
          <w:color w:val="auto"/>
        </w:rPr>
      </w:pPr>
    </w:p>
    <w:p>
      <w:pPr>
        <w:ind w:right="580" w:firstLine="458"/>
        <w:spacing w:after="0" w:line="277" w:lineRule="auto"/>
        <w:tabs>
          <w:tab w:leader="none" w:pos="70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62" w:lineRule="exact"/>
        <w:rPr>
          <w:rFonts w:ascii="Arial" w:cs="Arial" w:eastAsia="Arial" w:hAnsi="Arial"/>
          <w:sz w:val="18"/>
          <w:szCs w:val="18"/>
          <w:color w:val="auto"/>
        </w:rPr>
      </w:pPr>
    </w:p>
    <w:p>
      <w:pPr>
        <w:ind w:right="160" w:firstLine="458"/>
        <w:spacing w:after="0" w:line="291" w:lineRule="auto"/>
        <w:tabs>
          <w:tab w:leader="none" w:pos="702"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p>
      <w:pPr>
        <w:spacing w:after="0" w:line="59" w:lineRule="exact"/>
        <w:rPr>
          <w:rFonts w:ascii="Arial" w:cs="Arial" w:eastAsia="Arial" w:hAnsi="Arial"/>
          <w:sz w:val="16"/>
          <w:szCs w:val="16"/>
          <w:color w:val="auto"/>
        </w:rPr>
      </w:pPr>
    </w:p>
    <w:p>
      <w:pPr>
        <w:ind w:right="120" w:firstLine="458"/>
        <w:spacing w:after="0" w:line="342" w:lineRule="auto"/>
        <w:tabs>
          <w:tab w:leader="none" w:pos="702"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6"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In addition, the Trustee shall not be deemed to have knowledge of any Default or Event of Default except (1) any Event of Default occurring pursuant to Sections 6.01(1)(i), 6.01(1)(ii) and 4.01 hereof or (2) any Default or Event of Default of which the Trustee shall have received written notification in the manner set forth in this Indenture or a Responsible Officer of the Trustee shall have obtained actual knowledge. 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TRUSTEE NOT RESPONSIBLE FOR RECITALS OR ISSUANCE OR SECURITIES</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77" w:lineRule="auto"/>
        <w:tabs>
          <w:tab w:leader="none" w:pos="70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recitals contained herein and in the Securities shall be taken as the statements of the Company, and the Trustee assumes no responsibility for the correctness of the same.</w:t>
      </w:r>
    </w:p>
    <w:p>
      <w:pPr>
        <w:spacing w:after="0" w:line="62" w:lineRule="exact"/>
        <w:rPr>
          <w:rFonts w:ascii="Arial" w:cs="Arial" w:eastAsia="Arial" w:hAnsi="Arial"/>
          <w:sz w:val="18"/>
          <w:szCs w:val="18"/>
          <w:color w:val="auto"/>
        </w:rPr>
      </w:pPr>
    </w:p>
    <w:p>
      <w:pPr>
        <w:ind w:left="700" w:hanging="242"/>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makes no representations as to the validity or sufficiency of this Indenture or of the Securities.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1" w:name="page62"/>
    <w:bookmarkEnd w:id="61"/>
    <w:p>
      <w:pPr>
        <w:ind w:right="60" w:firstLine="458"/>
        <w:spacing w:after="0" w:line="264" w:lineRule="auto"/>
        <w:tabs>
          <w:tab w:leader="none" w:pos="70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MAY HOLD SECURITIES</w:t>
      </w:r>
      <w:r>
        <w:rPr>
          <w:rFonts w:ascii="Arial" w:cs="Arial" w:eastAsia="Arial" w:hAnsi="Arial"/>
          <w:sz w:val="18"/>
          <w:szCs w:val="18"/>
          <w:color w:val="auto"/>
        </w:rPr>
        <w:t>.</w:t>
      </w:r>
    </w:p>
    <w:p>
      <w:pPr>
        <w:spacing w:after="0" w:line="117"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MONEYS HELD IN TRUST</w:t>
      </w:r>
      <w:r>
        <w:rPr>
          <w:rFonts w:ascii="Arial" w:cs="Arial" w:eastAsia="Arial" w:hAnsi="Arial"/>
          <w:sz w:val="18"/>
          <w:szCs w:val="18"/>
          <w:color w:val="auto"/>
        </w:rPr>
        <w:t>.</w:t>
      </w:r>
    </w:p>
    <w:p>
      <w:pPr>
        <w:spacing w:after="0" w:line="117" w:lineRule="exact"/>
        <w:rPr>
          <w:sz w:val="20"/>
          <w:szCs w:val="20"/>
          <w:color w:val="auto"/>
        </w:rPr>
      </w:pPr>
    </w:p>
    <w:p>
      <w:pPr>
        <w:jc w:val="both"/>
        <w:ind w:right="460" w:firstLine="225"/>
        <w:spacing w:after="0" w:line="286" w:lineRule="auto"/>
        <w:rPr>
          <w:sz w:val="20"/>
          <w:szCs w:val="20"/>
          <w:color w:val="auto"/>
        </w:rPr>
      </w:pPr>
      <w:r>
        <w:rPr>
          <w:rFonts w:ascii="Arial" w:cs="Arial" w:eastAsia="Arial" w:hAnsi="Arial"/>
          <w:sz w:val="17"/>
          <w:szCs w:val="17"/>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88" w:lineRule="auto"/>
        <w:tabs>
          <w:tab w:leader="none" w:pos="702"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and except as the Company and Trustee may from time to time agree in writing.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reasonable costs and expenses of defending itself against any claim of liability in the premises.</w:t>
      </w:r>
    </w:p>
    <w:p>
      <w:pPr>
        <w:spacing w:after="0" w:line="61" w:lineRule="exact"/>
        <w:rPr>
          <w:rFonts w:ascii="Arial" w:cs="Arial" w:eastAsia="Arial" w:hAnsi="Arial"/>
          <w:sz w:val="16"/>
          <w:szCs w:val="16"/>
          <w:color w:val="auto"/>
        </w:rPr>
      </w:pPr>
    </w:p>
    <w:p>
      <w:pPr>
        <w:ind w:right="80" w:firstLine="458"/>
        <w:spacing w:after="0" w:line="259" w:lineRule="auto"/>
        <w:tabs>
          <w:tab w:leader="none" w:pos="702"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to compensate and indemnify the Trustee and to pay or reimburse the Trustee for reasonable expenses, disbursements and advances shall constitute indebtedness of the Company to which the Securities are subordinated. Such additional indebtedness shall be secured by a lien prior to that of the Securities upon all property and funds held or collected by the Trustee as such, except funds held in trust for the benefit of the holders of particular Securities.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RELIANCE ON OFFICERS’ CERTIFICATE</w:t>
      </w:r>
      <w:r>
        <w:rPr>
          <w:rFonts w:ascii="Arial" w:cs="Arial" w:eastAsia="Arial" w:hAnsi="Arial"/>
          <w:sz w:val="18"/>
          <w:szCs w:val="18"/>
          <w:color w:val="auto"/>
        </w:rPr>
        <w:t>.</w:t>
      </w:r>
    </w:p>
    <w:p>
      <w:pPr>
        <w:spacing w:after="0" w:line="117" w:lineRule="exact"/>
        <w:rPr>
          <w:sz w:val="20"/>
          <w:szCs w:val="20"/>
          <w:color w:val="auto"/>
        </w:rPr>
      </w:pPr>
    </w:p>
    <w:p>
      <w:pPr>
        <w:ind w:right="240" w:firstLine="225"/>
        <w:spacing w:after="0" w:line="286" w:lineRule="auto"/>
        <w:rPr>
          <w:sz w:val="20"/>
          <w:szCs w:val="20"/>
          <w:color w:val="auto"/>
        </w:rPr>
      </w:pPr>
      <w:r>
        <w:rPr>
          <w:rFonts w:ascii="Arial" w:cs="Arial" w:eastAsia="Arial" w:hAnsi="Arial"/>
          <w:sz w:val="17"/>
          <w:szCs w:val="17"/>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62" w:name="page63"/>
    <w:bookmarkEnd w:id="62"/>
    <w:p>
      <w:pPr>
        <w:jc w:val="both"/>
        <w:ind w:right="60"/>
        <w:spacing w:after="0" w:line="264" w:lineRule="auto"/>
        <w:rPr>
          <w:sz w:val="20"/>
          <w:szCs w:val="20"/>
          <w:color w:val="auto"/>
        </w:rPr>
      </w:pPr>
      <w:r>
        <w:rPr>
          <w:rFonts w:ascii="Arial" w:cs="Arial" w:eastAsia="Arial" w:hAnsi="Arial"/>
          <w:sz w:val="18"/>
          <w:szCs w:val="18"/>
          <w:color w:val="auto"/>
        </w:rPr>
        <w:t>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DISQUALIFICATION; CONFLICTING INTERESTS</w:t>
      </w:r>
      <w:r>
        <w:rPr>
          <w:rFonts w:ascii="Arial" w:cs="Arial" w:eastAsia="Arial" w:hAnsi="Arial"/>
          <w:sz w:val="18"/>
          <w:szCs w:val="18"/>
          <w:color w:val="auto"/>
        </w:rPr>
        <w:t>.</w:t>
      </w:r>
    </w:p>
    <w:p>
      <w:pPr>
        <w:spacing w:after="0" w:line="117" w:lineRule="exact"/>
        <w:rPr>
          <w:sz w:val="20"/>
          <w:szCs w:val="20"/>
          <w:color w:val="auto"/>
        </w:rPr>
      </w:pPr>
    </w:p>
    <w:p>
      <w:pPr>
        <w:jc w:val="both"/>
        <w:ind w:right="40" w:firstLine="225"/>
        <w:spacing w:after="0" w:line="277" w:lineRule="auto"/>
        <w:rPr>
          <w:sz w:val="20"/>
          <w:szCs w:val="20"/>
          <w:color w:val="auto"/>
        </w:rPr>
      </w:pPr>
      <w:r>
        <w:rPr>
          <w:rFonts w:ascii="Arial" w:cs="Arial" w:eastAsia="Arial" w:hAnsi="Arial"/>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CORPORATE TRUSTEE REQUIRED; ELIGIBILITY</w:t>
      </w:r>
      <w:r>
        <w:rPr>
          <w:rFonts w:ascii="Arial" w:cs="Arial" w:eastAsia="Arial" w:hAnsi="Arial"/>
          <w:sz w:val="18"/>
          <w:szCs w:val="18"/>
          <w:color w:val="auto"/>
        </w:rPr>
        <w:t>.</w:t>
      </w:r>
    </w:p>
    <w:p>
      <w:pPr>
        <w:spacing w:after="0" w:line="117"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Securities and Exchange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46"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w:t>
      </w:r>
    </w:p>
    <w:p>
      <w:pPr>
        <w:spacing w:after="0" w:line="117" w:lineRule="exact"/>
        <w:rPr>
          <w:sz w:val="20"/>
          <w:szCs w:val="20"/>
          <w:color w:val="auto"/>
        </w:rPr>
      </w:pPr>
    </w:p>
    <w:p>
      <w:pPr>
        <w:jc w:val="both"/>
        <w:ind w:right="20" w:firstLine="458"/>
        <w:spacing w:after="0" w:line="264" w:lineRule="auto"/>
        <w:tabs>
          <w:tab w:leader="none" w:pos="70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w:t>
      </w:r>
    </w:p>
    <w:p>
      <w:pPr>
        <w:spacing w:after="0" w:line="73"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Upon receiving such notice of resignation, the Company shall promptly appoint a successor trustee with respect to Securities of such series by written instrument. If no successor trustee shall have been so appointed and have accepted appointment within 60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85" w:lineRule="exact"/>
        <w:rPr>
          <w:sz w:val="20"/>
          <w:szCs w:val="20"/>
          <w:color w:val="auto"/>
        </w:rPr>
      </w:pPr>
    </w:p>
    <w:p>
      <w:pPr>
        <w:ind w:left="720" w:hanging="262"/>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case at any time any one of the following shall occur:</w:t>
      </w:r>
    </w:p>
    <w:p>
      <w:pPr>
        <w:spacing w:after="0" w:line="117" w:lineRule="exact"/>
        <w:rPr>
          <w:rFonts w:ascii="Arial" w:cs="Arial" w:eastAsia="Arial" w:hAnsi="Arial"/>
          <w:sz w:val="18"/>
          <w:szCs w:val="18"/>
          <w:color w:val="auto"/>
        </w:rPr>
      </w:pPr>
    </w:p>
    <w:p>
      <w:pPr>
        <w:ind w:right="100" w:firstLine="683"/>
        <w:spacing w:after="0" w:line="277" w:lineRule="auto"/>
        <w:tabs>
          <w:tab w:leader="none" w:pos="97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3" w:name="page64"/>
    <w:bookmarkEnd w:id="63"/>
    <w:p>
      <w:pPr>
        <w:ind w:firstLine="683"/>
        <w:spacing w:after="0" w:line="277" w:lineRule="auto"/>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7.09 and shall fail to resign after written request therefor by the Company or by any such Securityholder; or</w:t>
      </w:r>
    </w:p>
    <w:p>
      <w:pPr>
        <w:spacing w:after="0" w:line="62" w:lineRule="exact"/>
        <w:rPr>
          <w:rFonts w:ascii="Arial" w:cs="Arial" w:eastAsia="Arial" w:hAnsi="Arial"/>
          <w:sz w:val="18"/>
          <w:szCs w:val="18"/>
          <w:color w:val="auto"/>
        </w:rPr>
      </w:pPr>
    </w:p>
    <w:p>
      <w:pPr>
        <w:ind w:firstLine="683"/>
        <w:spacing w:after="0" w:line="264" w:lineRule="auto"/>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7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64" w:lineRule="exact"/>
        <w:rPr>
          <w:sz w:val="20"/>
          <w:szCs w:val="20"/>
          <w:color w:val="auto"/>
        </w:rPr>
      </w:pPr>
    </w:p>
    <w:p>
      <w:pPr>
        <w:ind w:right="20" w:firstLine="458"/>
        <w:spacing w:after="0" w:line="264" w:lineRule="auto"/>
        <w:tabs>
          <w:tab w:leader="none" w:pos="702"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any series at the time Outstanding may at any time remove the Trustee with respect to such series by so notifying the Trustee and the Company in writing and may appoint a successor Trustee for such series with the consent of the Company.</w:t>
      </w:r>
    </w:p>
    <w:p>
      <w:pPr>
        <w:spacing w:after="0" w:line="73" w:lineRule="exact"/>
        <w:rPr>
          <w:rFonts w:ascii="Arial" w:cs="Arial" w:eastAsia="Arial" w:hAnsi="Arial"/>
          <w:sz w:val="18"/>
          <w:szCs w:val="18"/>
          <w:color w:val="auto"/>
        </w:rPr>
      </w:pPr>
    </w:p>
    <w:p>
      <w:pPr>
        <w:ind w:right="360" w:firstLine="458"/>
        <w:spacing w:after="0" w:line="308" w:lineRule="auto"/>
        <w:tabs>
          <w:tab w:leader="none" w:pos="695"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38" w:lineRule="exact"/>
        <w:rPr>
          <w:rFonts w:ascii="Arial" w:cs="Arial" w:eastAsia="Arial" w:hAnsi="Arial"/>
          <w:sz w:val="17"/>
          <w:szCs w:val="17"/>
          <w:color w:val="auto"/>
        </w:rPr>
      </w:pPr>
    </w:p>
    <w:p>
      <w:pPr>
        <w:ind w:right="140" w:firstLine="458"/>
        <w:spacing w:after="0" w:line="277"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117" w:lineRule="exact"/>
        <w:rPr>
          <w:sz w:val="20"/>
          <w:szCs w:val="20"/>
          <w:color w:val="auto"/>
        </w:rPr>
      </w:pPr>
    </w:p>
    <w:p>
      <w:pPr>
        <w:ind w:right="220" w:firstLine="458"/>
        <w:spacing w:after="0" w:line="293" w:lineRule="auto"/>
        <w:tabs>
          <w:tab w:leader="none" w:pos="705"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all Securities, every such successor trustee so appointed shall execute, acknowledge and deliver to the Company and to the retiring Trustee a written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56" w:lineRule="exact"/>
        <w:rPr>
          <w:rFonts w:ascii="Arial" w:cs="Arial" w:eastAsia="Arial" w:hAnsi="Arial"/>
          <w:sz w:val="16"/>
          <w:szCs w:val="16"/>
          <w:color w:val="auto"/>
        </w:rPr>
      </w:pPr>
    </w:p>
    <w:p>
      <w:pPr>
        <w:ind w:right="200" w:firstLine="458"/>
        <w:spacing w:after="0" w:line="255" w:lineRule="auto"/>
        <w:tabs>
          <w:tab w:leader="none" w:pos="705"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4" w:name="page65"/>
    <w:bookmarkEnd w:id="64"/>
    <w:p>
      <w:pPr>
        <w:ind w:right="40"/>
        <w:spacing w:after="0" w:line="268" w:lineRule="auto"/>
        <w:rPr>
          <w:sz w:val="20"/>
          <w:szCs w:val="20"/>
          <w:color w:val="auto"/>
        </w:rPr>
      </w:pPr>
      <w:r>
        <w:rPr>
          <w:rFonts w:ascii="Arial" w:cs="Arial" w:eastAsia="Arial" w:hAnsi="Arial"/>
          <w:sz w:val="17"/>
          <w:szCs w:val="17"/>
          <w:color w:val="auto"/>
        </w:rPr>
        <w:t>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80" w:lineRule="exact"/>
        <w:rPr>
          <w:sz w:val="20"/>
          <w:szCs w:val="20"/>
          <w:color w:val="auto"/>
        </w:rPr>
      </w:pPr>
    </w:p>
    <w:p>
      <w:pPr>
        <w:ind w:right="680" w:firstLine="458"/>
        <w:spacing w:after="0" w:line="342" w:lineRule="auto"/>
        <w:tabs>
          <w:tab w:leader="none" w:pos="705" w:val="left"/>
        </w:tabs>
        <w:numPr>
          <w:ilvl w:val="0"/>
          <w:numId w:val="72"/>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(1) or (2) of this Section, as the case may be.</w:t>
      </w:r>
    </w:p>
    <w:p>
      <w:pPr>
        <w:spacing w:after="0" w:line="15" w:lineRule="exact"/>
        <w:rPr>
          <w:rFonts w:ascii="Arial" w:cs="Arial" w:eastAsia="Arial" w:hAnsi="Arial"/>
          <w:sz w:val="16"/>
          <w:szCs w:val="16"/>
          <w:color w:val="auto"/>
        </w:rPr>
      </w:pPr>
    </w:p>
    <w:p>
      <w:pPr>
        <w:ind w:right="140" w:firstLine="458"/>
        <w:spacing w:after="0" w:line="277" w:lineRule="auto"/>
        <w:tabs>
          <w:tab w:leader="none" w:pos="7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62" w:lineRule="exact"/>
        <w:rPr>
          <w:rFonts w:ascii="Arial" w:cs="Arial" w:eastAsia="Arial" w:hAnsi="Arial"/>
          <w:sz w:val="18"/>
          <w:szCs w:val="18"/>
          <w:color w:val="auto"/>
        </w:rPr>
      </w:pPr>
    </w:p>
    <w:p>
      <w:pPr>
        <w:ind w:right="20" w:firstLine="458"/>
        <w:spacing w:after="0" w:line="259" w:lineRule="auto"/>
        <w:tabs>
          <w:tab w:leader="none" w:pos="7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MERGER, CONVERSION, CONSOLIDATION OR SUCCESSION TO BUSINESS</w:t>
      </w:r>
      <w:r>
        <w:rPr>
          <w:rFonts w:ascii="Arial" w:cs="Arial" w:eastAsia="Arial" w:hAnsi="Arial"/>
          <w:sz w:val="18"/>
          <w:szCs w:val="18"/>
          <w:color w:val="auto"/>
        </w:rPr>
        <w:t>.</w:t>
      </w:r>
    </w:p>
    <w:p>
      <w:pPr>
        <w:spacing w:after="0" w:line="117" w:lineRule="exact"/>
        <w:rPr>
          <w:sz w:val="20"/>
          <w:szCs w:val="20"/>
          <w:color w:val="auto"/>
        </w:rPr>
      </w:pPr>
    </w:p>
    <w:p>
      <w:pPr>
        <w:ind w:firstLine="215"/>
        <w:spacing w:after="0" w:line="255" w:lineRule="auto"/>
        <w:rPr>
          <w:sz w:val="20"/>
          <w:szCs w:val="20"/>
          <w:color w:val="auto"/>
        </w:rPr>
      </w:pPr>
      <w:r>
        <w:rPr>
          <w:rFonts w:ascii="Arial" w:cs="Arial" w:eastAsia="Arial" w:hAnsi="Arial"/>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PREFERENTIAL COLLECTION OF CLAIMS AGAINST THE COMPANY</w:t>
      </w:r>
      <w:r>
        <w:rPr>
          <w:rFonts w:ascii="Arial" w:cs="Arial" w:eastAsia="Arial" w:hAnsi="Arial"/>
          <w:sz w:val="18"/>
          <w:szCs w:val="18"/>
          <w:color w:val="auto"/>
        </w:rPr>
        <w:t>.</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65" w:name="page66"/>
    <w:bookmarkEnd w:id="65"/>
    <w:p>
      <w:pPr>
        <w:jc w:val="both"/>
        <w:ind w:right="460" w:firstLine="222"/>
        <w:spacing w:after="0" w:line="342" w:lineRule="auto"/>
        <w:rPr>
          <w:sz w:val="20"/>
          <w:szCs w:val="20"/>
          <w:color w:val="auto"/>
        </w:rPr>
      </w:pPr>
      <w:r>
        <w:rPr>
          <w:rFonts w:ascii="Arial" w:cs="Arial" w:eastAsia="Arial" w:hAnsi="Arial"/>
          <w:sz w:val="16"/>
          <w:szCs w:val="16"/>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NOTICE OF DEFAULT</w:t>
      </w:r>
      <w:r>
        <w:rPr>
          <w:rFonts w:ascii="Arial" w:cs="Arial" w:eastAsia="Arial" w:hAnsi="Arial"/>
          <w:sz w:val="18"/>
          <w:szCs w:val="18"/>
          <w:color w:val="auto"/>
        </w:rPr>
        <w:t>.</w:t>
      </w:r>
    </w:p>
    <w:p>
      <w:pPr>
        <w:spacing w:after="0" w:line="117" w:lineRule="exact"/>
        <w:rPr>
          <w:sz w:val="20"/>
          <w:szCs w:val="20"/>
          <w:color w:val="auto"/>
        </w:rPr>
      </w:pPr>
    </w:p>
    <w:p>
      <w:pPr>
        <w:ind w:right="160" w:firstLine="225"/>
        <w:spacing w:after="0" w:line="273" w:lineRule="auto"/>
        <w:rPr>
          <w:sz w:val="20"/>
          <w:szCs w:val="20"/>
          <w:color w:val="auto"/>
        </w:rPr>
      </w:pPr>
      <w:r>
        <w:rPr>
          <w:rFonts w:ascii="Arial" w:cs="Arial" w:eastAsia="Arial" w:hAnsi="Arial"/>
          <w:sz w:val="17"/>
          <w:szCs w:val="17"/>
          <w:color w:val="auto"/>
        </w:rPr>
        <w:t>If any Default or any Event of Default occurs and is continuing and if such Default or Event of Default is known to a Responsible Officer of the Trustee, the Trustee shall mail to each Securityholder in the manner and to the extent provided in Section 313(c) of the Trust Indenture Act notice of the Default or Event of Default within 45 days after it occurs, unless such Default or Event of Default has been cured; provided, however, that, except in the case of a default in the payment of the principal of (or premium, if any) or interest on any Security,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Securityholders.</w:t>
      </w:r>
    </w:p>
    <w:p>
      <w:pPr>
        <w:spacing w:after="0" w:line="28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8</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u w:val="single" w:color="auto"/>
          <w:color w:val="auto"/>
        </w:rPr>
        <w:t>CONCERNING THE SECURITYHOLDERS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EVIDENCE OF ACTION BY SECURITYHOLDERS</w:t>
      </w:r>
      <w:r>
        <w:rPr>
          <w:rFonts w:ascii="Arial" w:cs="Arial" w:eastAsia="Arial" w:hAnsi="Arial"/>
          <w:sz w:val="18"/>
          <w:szCs w:val="18"/>
          <w:color w:val="auto"/>
        </w:rPr>
        <w:t>.</w:t>
      </w:r>
    </w:p>
    <w:p>
      <w:pPr>
        <w:spacing w:after="0" w:line="117"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Whenever in this Indenture it is provided that the Securityholders of a specified percentage or a majority in aggregate principal amount of the Securities or of any series of Securities may take any action (including the making of any demand or request, the giving of any notice, consent or waiver or the taking of any other action), the fact that at the time of taking any such action the Securityholders of such specified percentage or majority have joined therein may be evidenced by any instrument or any number of instruments of similar tenor executed by Securityholders in person, by an agent or by a proxy appointed in writing, including through an electronic system for tabulating consents operated by the Depositary for such series or otherwise (such action becoming effective, except as herein otherwise expressly provided, when such instruments or evidence of electronic consents are delivered to the Trustee and, where it is hereby expressly required, to the Company).</w:t>
      </w:r>
    </w:p>
    <w:p>
      <w:pPr>
        <w:spacing w:after="0" w:line="81"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If the Company shall solicit from the Securityholders of any series any request, demand, authorization, direction, notice, consent, waiver or other action, the Company may, at its option, as evidenced by a Company Order,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PROOF OF EXECUTION BY SECURITYHOLDERS</w:t>
      </w:r>
      <w:r>
        <w:rPr>
          <w:rFonts w:ascii="Arial" w:cs="Arial" w:eastAsia="Arial" w:hAnsi="Arial"/>
          <w:sz w:val="18"/>
          <w:szCs w:val="18"/>
          <w:color w:val="auto"/>
        </w:rPr>
        <w:t>.</w:t>
      </w:r>
    </w:p>
    <w:p>
      <w:pPr>
        <w:spacing w:after="0" w:line="117" w:lineRule="exact"/>
        <w:rPr>
          <w:sz w:val="20"/>
          <w:szCs w:val="20"/>
          <w:color w:val="auto"/>
        </w:rPr>
      </w:pPr>
    </w:p>
    <w:p>
      <w:pPr>
        <w:ind w:right="340" w:firstLine="225"/>
        <w:spacing w:after="0" w:line="308" w:lineRule="auto"/>
        <w:rPr>
          <w:sz w:val="20"/>
          <w:szCs w:val="20"/>
          <w:color w:val="auto"/>
        </w:rPr>
      </w:pPr>
      <w:r>
        <w:rPr>
          <w:rFonts w:ascii="Arial" w:cs="Arial" w:eastAsia="Arial" w:hAnsi="Arial"/>
          <w:sz w:val="17"/>
          <w:szCs w:val="17"/>
          <w:color w:val="auto"/>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6" w:name="page67"/>
    <w:bookmarkEnd w:id="66"/>
    <w:p>
      <w:pPr>
        <w:ind w:left="220" w:right="620" w:firstLine="238"/>
        <w:spacing w:after="0" w:line="422" w:lineRule="auto"/>
        <w:tabs>
          <w:tab w:leader="none" w:pos="7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fact and date of the execution by any such Person of any instrument may be proved in any reasonable manner acceptable to the Trustee. The ownership of Securities shall be proved by the Security Register of such Securities or by a certificate of the Security Registrar thereof.</w:t>
      </w:r>
    </w:p>
    <w:p>
      <w:pPr>
        <w:spacing w:after="0" w:line="1"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8"/>
          <w:szCs w:val="18"/>
          <w:color w:val="auto"/>
        </w:rPr>
        <w:t>The Trustee may require such additional proof of any matter referred to in this Section as it shall deem necessary.</w:t>
      </w:r>
    </w:p>
    <w:p>
      <w:pPr>
        <w:spacing w:after="0" w:line="117"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WHO MAY BE DEEMED OWNERS</w:t>
      </w:r>
      <w:r>
        <w:rPr>
          <w:rFonts w:ascii="Arial" w:cs="Arial" w:eastAsia="Arial" w:hAnsi="Arial"/>
          <w:sz w:val="18"/>
          <w:szCs w:val="18"/>
          <w:color w:val="auto"/>
        </w:rPr>
        <w:t>.</w:t>
      </w:r>
    </w:p>
    <w:p>
      <w:pPr>
        <w:spacing w:after="0" w:line="117"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CERTAIN SECURITIES OWNED BY COMPANY DISREGARDED</w:t>
      </w:r>
      <w:r>
        <w:rPr>
          <w:rFonts w:ascii="Arial" w:cs="Arial" w:eastAsia="Arial" w:hAnsi="Arial"/>
          <w:sz w:val="18"/>
          <w:szCs w:val="18"/>
          <w:color w:val="auto"/>
        </w:rPr>
        <w:t>.</w:t>
      </w:r>
    </w:p>
    <w:p>
      <w:pPr>
        <w:spacing w:after="0" w:line="117" w:lineRule="exact"/>
        <w:rPr>
          <w:sz w:val="20"/>
          <w:szCs w:val="20"/>
          <w:color w:val="auto"/>
        </w:rPr>
      </w:pPr>
    </w:p>
    <w:p>
      <w:pPr>
        <w:ind w:right="40" w:firstLine="225"/>
        <w:spacing w:after="0" w:line="289" w:lineRule="auto"/>
        <w:rPr>
          <w:sz w:val="20"/>
          <w:szCs w:val="20"/>
          <w:color w:val="auto"/>
        </w:rPr>
      </w:pPr>
      <w:r>
        <w:rPr>
          <w:rFonts w:ascii="Arial" w:cs="Arial" w:eastAsia="Arial" w:hAnsi="Arial"/>
          <w:sz w:val="16"/>
          <w:szCs w:val="16"/>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ACTIONS BINDING ON FUTURE SECURITYHOLDERS</w:t>
      </w:r>
      <w:r>
        <w:rPr>
          <w:rFonts w:ascii="Arial" w:cs="Arial" w:eastAsia="Arial" w:hAnsi="Arial"/>
          <w:sz w:val="18"/>
          <w:szCs w:val="18"/>
          <w:color w:val="auto"/>
        </w:rPr>
        <w:t>.</w:t>
      </w:r>
    </w:p>
    <w:p>
      <w:pPr>
        <w:spacing w:after="0" w:line="117" w:lineRule="exact"/>
        <w:rPr>
          <w:sz w:val="20"/>
          <w:szCs w:val="20"/>
          <w:color w:val="auto"/>
        </w:rPr>
      </w:pPr>
    </w:p>
    <w:p>
      <w:pPr>
        <w:ind w:firstLine="215"/>
        <w:spacing w:after="0" w:line="270" w:lineRule="auto"/>
        <w:rPr>
          <w:sz w:val="20"/>
          <w:szCs w:val="20"/>
          <w:color w:val="auto"/>
        </w:rPr>
      </w:pPr>
      <w:r>
        <w:rPr>
          <w:rFonts w:ascii="Arial" w:cs="Arial" w:eastAsia="Arial" w:hAnsi="Arial"/>
          <w:sz w:val="17"/>
          <w:szCs w:val="17"/>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7" w:name="page68"/>
    <w:bookmarkEnd w:id="67"/>
    <w:p>
      <w:pPr>
        <w:ind w:left="5240"/>
        <w:spacing w:after="0"/>
        <w:rPr>
          <w:sz w:val="20"/>
          <w:szCs w:val="20"/>
          <w:color w:val="auto"/>
        </w:rPr>
      </w:pPr>
      <w:r>
        <w:rPr>
          <w:rFonts w:ascii="Arial" w:cs="Arial" w:eastAsia="Arial" w:hAnsi="Arial"/>
          <w:sz w:val="18"/>
          <w:szCs w:val="18"/>
          <w:b w:val="1"/>
          <w:bCs w:val="1"/>
          <w:color w:val="auto"/>
        </w:rPr>
        <w:t>ARTICLE 9</w:t>
      </w:r>
    </w:p>
    <w:p>
      <w:pPr>
        <w:spacing w:after="0" w:line="117" w:lineRule="exact"/>
        <w:rPr>
          <w:sz w:val="20"/>
          <w:szCs w:val="20"/>
          <w:color w:val="auto"/>
        </w:rPr>
      </w:pPr>
    </w:p>
    <w:p>
      <w:pPr>
        <w:ind w:left="4360"/>
        <w:spacing w:after="0"/>
        <w:rPr>
          <w:sz w:val="20"/>
          <w:szCs w:val="20"/>
          <w:color w:val="auto"/>
        </w:rPr>
      </w:pPr>
      <w:r>
        <w:rPr>
          <w:rFonts w:ascii="Arial" w:cs="Arial" w:eastAsia="Arial" w:hAnsi="Arial"/>
          <w:sz w:val="18"/>
          <w:szCs w:val="18"/>
          <w:b w:val="1"/>
          <w:bCs w:val="1"/>
          <w:u w:val="single" w:color="auto"/>
          <w:color w:val="auto"/>
        </w:rPr>
        <w:t>SUPPLEMENTAL INDENTURES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THE CONSENT OF SECURITYHOLDERS</w:t>
      </w:r>
      <w:r>
        <w:rPr>
          <w:rFonts w:ascii="Arial" w:cs="Arial" w:eastAsia="Arial" w:hAnsi="Arial"/>
          <w:sz w:val="18"/>
          <w:szCs w:val="18"/>
          <w:color w:val="auto"/>
        </w:rPr>
        <w:t>.</w:t>
      </w:r>
    </w:p>
    <w:p>
      <w:pPr>
        <w:spacing w:after="0" w:line="117" w:lineRule="exact"/>
        <w:rPr>
          <w:sz w:val="20"/>
          <w:szCs w:val="20"/>
          <w:color w:val="auto"/>
        </w:rPr>
      </w:pPr>
    </w:p>
    <w:p>
      <w:pPr>
        <w:jc w:val="both"/>
        <w:ind w:right="360" w:firstLine="225"/>
        <w:spacing w:after="0" w:line="264" w:lineRule="auto"/>
        <w:rPr>
          <w:sz w:val="20"/>
          <w:szCs w:val="20"/>
          <w:color w:val="auto"/>
        </w:rPr>
      </w:pPr>
      <w:r>
        <w:rPr>
          <w:rFonts w:ascii="Arial" w:cs="Arial" w:eastAsia="Arial" w:hAnsi="Arial"/>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73" w:lineRule="exact"/>
        <w:rPr>
          <w:sz w:val="20"/>
          <w:szCs w:val="20"/>
          <w:color w:val="auto"/>
        </w:rPr>
      </w:pPr>
    </w:p>
    <w:p>
      <w:pPr>
        <w:ind w:firstLine="458"/>
        <w:spacing w:after="0" w:line="259" w:lineRule="auto"/>
        <w:tabs>
          <w:tab w:leader="none" w:pos="7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cure any ambiguity or to correct or supplement any provision contained herein or in any indenture supplemental hereto which may be defective or inconsistent with any other provision contained herein or in any supplemental indenture or to conform the terms hereof, as amended and supplemented, that are applicable to the Securities of any series to the description of the terms of such Securities in the offering memorandum, prospectus supplement or other offering document applicable to such Securities at the time of initial sale thereof;</w:t>
      </w:r>
    </w:p>
    <w:p>
      <w:pPr>
        <w:spacing w:after="0" w:line="78" w:lineRule="exact"/>
        <w:rPr>
          <w:rFonts w:ascii="Arial" w:cs="Arial" w:eastAsia="Arial" w:hAnsi="Arial"/>
          <w:sz w:val="18"/>
          <w:szCs w:val="18"/>
          <w:color w:val="auto"/>
        </w:rPr>
      </w:pPr>
    </w:p>
    <w:p>
      <w:pPr>
        <w:ind w:left="720" w:hanging="262"/>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comply with Article Ten;</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17" w:lineRule="exact"/>
        <w:rPr>
          <w:rFonts w:ascii="Arial" w:cs="Arial" w:eastAsia="Arial" w:hAnsi="Arial"/>
          <w:sz w:val="18"/>
          <w:szCs w:val="18"/>
          <w:color w:val="auto"/>
        </w:rPr>
      </w:pPr>
    </w:p>
    <w:p>
      <w:pPr>
        <w:ind w:right="40" w:firstLine="458"/>
        <w:spacing w:after="0" w:line="257" w:lineRule="auto"/>
        <w:tabs>
          <w:tab w:leader="none" w:pos="7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80" w:lineRule="exact"/>
        <w:rPr>
          <w:rFonts w:ascii="Arial" w:cs="Arial" w:eastAsia="Arial" w:hAnsi="Arial"/>
          <w:sz w:val="18"/>
          <w:szCs w:val="18"/>
          <w:color w:val="auto"/>
        </w:rPr>
      </w:pPr>
    </w:p>
    <w:p>
      <w:pPr>
        <w:ind w:right="280" w:firstLine="458"/>
        <w:spacing w:after="0" w:line="277" w:lineRule="auto"/>
        <w:tabs>
          <w:tab w:leader="none" w:pos="7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Securities, as herein set forth;</w:t>
      </w:r>
    </w:p>
    <w:p>
      <w:pPr>
        <w:spacing w:after="0" w:line="62" w:lineRule="exact"/>
        <w:rPr>
          <w:rFonts w:ascii="Arial" w:cs="Arial" w:eastAsia="Arial" w:hAnsi="Arial"/>
          <w:sz w:val="18"/>
          <w:szCs w:val="18"/>
          <w:color w:val="auto"/>
        </w:rPr>
      </w:pPr>
    </w:p>
    <w:p>
      <w:pPr>
        <w:ind w:right="60" w:firstLine="458"/>
        <w:spacing w:after="0" w:line="277" w:lineRule="auto"/>
        <w:tabs>
          <w:tab w:leader="none" w:pos="7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make any change herein or in any series of Securities that does not adversely affect the rights of any Securityholder of such series of Securities in any material respect;</w:t>
      </w:r>
    </w:p>
    <w:p>
      <w:pPr>
        <w:spacing w:after="0" w:line="62" w:lineRule="exact"/>
        <w:rPr>
          <w:rFonts w:ascii="Arial" w:cs="Arial" w:eastAsia="Arial" w:hAnsi="Arial"/>
          <w:sz w:val="18"/>
          <w:szCs w:val="18"/>
          <w:color w:val="auto"/>
        </w:rPr>
      </w:pPr>
    </w:p>
    <w:p>
      <w:pPr>
        <w:ind w:right="20" w:firstLine="458"/>
        <w:spacing w:after="0" w:line="264" w:lineRule="auto"/>
        <w:tabs>
          <w:tab w:leader="none" w:pos="7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spacing w:after="0" w:line="73" w:lineRule="exact"/>
        <w:rPr>
          <w:rFonts w:ascii="Arial" w:cs="Arial" w:eastAsia="Arial" w:hAnsi="Arial"/>
          <w:sz w:val="18"/>
          <w:szCs w:val="18"/>
          <w:color w:val="auto"/>
        </w:rPr>
      </w:pPr>
    </w:p>
    <w:p>
      <w:pPr>
        <w:jc w:val="both"/>
        <w:ind w:right="40" w:firstLine="458"/>
        <w:spacing w:after="0" w:line="264" w:lineRule="auto"/>
        <w:tabs>
          <w:tab w:leader="none" w:pos="7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change or eliminate any of the provisions of this Indenture; provided that any such change or elimination shall become effective only when there is no Outstanding Security of any series created prior to the execution of such supplemental indenture that is entitled to the benefit of such provision and as to which such supplemental indenture would apply;</w:t>
      </w:r>
    </w:p>
    <w:p>
      <w:pPr>
        <w:spacing w:after="0" w:line="73" w:lineRule="exact"/>
        <w:rPr>
          <w:rFonts w:ascii="Arial" w:cs="Arial" w:eastAsia="Arial" w:hAnsi="Arial"/>
          <w:sz w:val="18"/>
          <w:szCs w:val="18"/>
          <w:color w:val="auto"/>
        </w:rPr>
      </w:pPr>
    </w:p>
    <w:p>
      <w:pPr>
        <w:ind w:left="720" w:hanging="262"/>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secure any series of Securities;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68" w:name="page69"/>
    <w:bookmarkEnd w:id="68"/>
    <w:p>
      <w:pPr>
        <w:ind w:right="40" w:firstLine="458"/>
        <w:spacing w:after="0" w:line="264" w:lineRule="auto"/>
        <w:tabs>
          <w:tab w:leader="none" w:pos="7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one or more series of Securities and to add to or change any of the provisions of this Indenture as shall be necessary for or facilitate the administration of the trusts hereunder by more than one Trustee, pursuant to the requirements of Section 7.10(5);</w:t>
      </w:r>
    </w:p>
    <w:p>
      <w:pPr>
        <w:spacing w:after="0" w:line="73" w:lineRule="exact"/>
        <w:rPr>
          <w:rFonts w:ascii="Arial" w:cs="Arial" w:eastAsia="Arial" w:hAnsi="Arial"/>
          <w:sz w:val="18"/>
          <w:szCs w:val="18"/>
          <w:color w:val="auto"/>
        </w:rPr>
      </w:pPr>
    </w:p>
    <w:p>
      <w:pPr>
        <w:ind w:firstLine="458"/>
        <w:spacing w:after="0" w:line="342" w:lineRule="auto"/>
        <w:tabs>
          <w:tab w:leader="none" w:pos="788" w:val="left"/>
        </w:tabs>
        <w:numPr>
          <w:ilvl w:val="0"/>
          <w:numId w:val="75"/>
        </w:numPr>
        <w:rPr>
          <w:rFonts w:ascii="Arial" w:cs="Arial" w:eastAsia="Arial" w:hAnsi="Arial"/>
          <w:sz w:val="16"/>
          <w:szCs w:val="16"/>
          <w:color w:val="auto"/>
        </w:rPr>
      </w:pPr>
      <w:r>
        <w:rPr>
          <w:rFonts w:ascii="Arial" w:cs="Arial" w:eastAsia="Arial" w:hAnsi="Arial"/>
          <w:sz w:val="16"/>
          <w:szCs w:val="16"/>
          <w:color w:val="auto"/>
        </w:rPr>
        <w:t>to supplement any of the provisions of this Indenture to such extent as shall be necessary to permit or facilitate the defeasance and discharge of any series of Securities; provided that any such action shall not adversely affect the rights of the Securityholders of such series of Securities;</w:t>
      </w:r>
    </w:p>
    <w:p>
      <w:pPr>
        <w:spacing w:after="0" w:line="15" w:lineRule="exact"/>
        <w:rPr>
          <w:rFonts w:ascii="Arial" w:cs="Arial" w:eastAsia="Arial" w:hAnsi="Arial"/>
          <w:sz w:val="16"/>
          <w:szCs w:val="16"/>
          <w:color w:val="auto"/>
        </w:rPr>
      </w:pPr>
    </w:p>
    <w:p>
      <w:pPr>
        <w:ind w:left="800" w:hanging="342"/>
        <w:spacing w:after="0"/>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prohibit the authentication and delivery of additional series of Securities; or</w:t>
      </w:r>
    </w:p>
    <w:p>
      <w:pPr>
        <w:spacing w:after="0" w:line="117" w:lineRule="exact"/>
        <w:rPr>
          <w:rFonts w:ascii="Arial" w:cs="Arial" w:eastAsia="Arial" w:hAnsi="Arial"/>
          <w:sz w:val="18"/>
          <w:szCs w:val="18"/>
          <w:color w:val="auto"/>
        </w:rPr>
      </w:pPr>
    </w:p>
    <w:p>
      <w:pPr>
        <w:ind w:right="640" w:firstLine="458"/>
        <w:spacing w:after="0" w:line="277" w:lineRule="auto"/>
        <w:tabs>
          <w:tab w:leader="none" w:pos="7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comply with any requirements of the Securities and Exchange Commission or any successor in connection with the qualification of this Indenture under the Trust Indenture Act.</w:t>
      </w:r>
    </w:p>
    <w:p>
      <w:pPr>
        <w:spacing w:after="0" w:line="62"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73" w:lineRule="exact"/>
        <w:rPr>
          <w:sz w:val="20"/>
          <w:szCs w:val="20"/>
          <w:color w:val="auto"/>
        </w:rPr>
      </w:pPr>
    </w:p>
    <w:p>
      <w:pPr>
        <w:ind w:right="420" w:firstLine="215"/>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by the Company and the Trustee without the consent of the holders of any of the Securities at the time Outstanding.</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SUPPLEMENTAL INDENTURES WITH CONSENT OF SECURITYHOLDERS</w:t>
      </w:r>
      <w:r>
        <w:rPr>
          <w:rFonts w:ascii="Arial" w:cs="Arial" w:eastAsia="Arial" w:hAnsi="Arial"/>
          <w:sz w:val="18"/>
          <w:szCs w:val="18"/>
          <w:color w:val="auto"/>
        </w:rPr>
        <w:t>.</w:t>
      </w:r>
    </w:p>
    <w:p>
      <w:pPr>
        <w:spacing w:after="0" w:line="117" w:lineRule="exact"/>
        <w:rPr>
          <w:sz w:val="20"/>
          <w:szCs w:val="20"/>
          <w:color w:val="auto"/>
        </w:rPr>
      </w:pPr>
    </w:p>
    <w:p>
      <w:pPr>
        <w:ind w:right="20" w:firstLine="222"/>
        <w:spacing w:after="0" w:line="271" w:lineRule="auto"/>
        <w:rPr>
          <w:sz w:val="20"/>
          <w:szCs w:val="20"/>
          <w:color w:val="auto"/>
        </w:rPr>
      </w:pPr>
      <w:r>
        <w:rPr>
          <w:rFonts w:ascii="Arial" w:cs="Arial" w:eastAsia="Arial" w:hAnsi="Arial"/>
          <w:sz w:val="17"/>
          <w:szCs w:val="17"/>
          <w:color w:val="auto"/>
        </w:rPr>
        <w:t>With the consent (evidenced as provided in Section 8.01) of the holders of not less than a majority in aggregate principal amount of the Securities of each series affected by such supplemental indenture or indentures at the time Outstanding voting separately, the Company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such series under this Indenture; provided, however, that no such supplemental indenture shall, without the consent of the holder of each Outstanding Security of such series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71"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w:t>
      </w:r>
    </w:p>
    <w:p>
      <w:pPr>
        <w:spacing w:after="0" w:line="117"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9" w:name="page70"/>
    <w:bookmarkEnd w:id="69"/>
    <w:p>
      <w:pPr>
        <w:ind w:right="120"/>
        <w:spacing w:after="0" w:line="277" w:lineRule="auto"/>
        <w:rPr>
          <w:sz w:val="20"/>
          <w:szCs w:val="20"/>
          <w:color w:val="auto"/>
        </w:rPr>
      </w:pPr>
      <w:r>
        <w:rPr>
          <w:rFonts w:ascii="Arial" w:cs="Arial" w:eastAsia="Arial" w:hAnsi="Arial"/>
          <w:sz w:val="18"/>
          <w:szCs w:val="18"/>
          <w:color w:val="auto"/>
        </w:rPr>
        <w:t>such modifications and amendments, and all the terms and conditions of any such supplemental indenture shall be and be deemed to be part of the terms and conditions of this Indenture for any and all purposes.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SECURITIES AFFECTED BY SUPPLEMENTAL INDENTURES</w:t>
      </w:r>
      <w:r>
        <w:rPr>
          <w:rFonts w:ascii="Arial" w:cs="Arial" w:eastAsia="Arial" w:hAnsi="Arial"/>
          <w:sz w:val="18"/>
          <w:szCs w:val="18"/>
          <w:color w:val="auto"/>
        </w:rPr>
        <w:t>.</w:t>
      </w:r>
    </w:p>
    <w:p>
      <w:pPr>
        <w:spacing w:after="0" w:line="117" w:lineRule="exact"/>
        <w:rPr>
          <w:sz w:val="20"/>
          <w:szCs w:val="20"/>
          <w:color w:val="auto"/>
        </w:rPr>
      </w:pPr>
    </w:p>
    <w:p>
      <w:pPr>
        <w:ind w:right="140" w:firstLine="225"/>
        <w:spacing w:after="0" w:line="255" w:lineRule="auto"/>
        <w:rPr>
          <w:sz w:val="20"/>
          <w:szCs w:val="20"/>
          <w:color w:val="auto"/>
        </w:rPr>
      </w:pPr>
      <w:r>
        <w:rPr>
          <w:rFonts w:ascii="Arial" w:cs="Arial" w:eastAsia="Arial" w:hAnsi="Arial"/>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w:t>
      </w:r>
    </w:p>
    <w:p>
      <w:pPr>
        <w:spacing w:after="0" w:line="117"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color w:val="auto"/>
        </w:rPr>
        <w:t>Upon the request of the Company, accompanied by a Company Order authorizing the execution of any such supplemental indenture, and upon the delivery to the Trustee of evidence of the consent of Securityholders required to consent thereto,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w:t>
      </w: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Section 7.01, may receive an Officers’ Certificate or an Opinion of Counsel as conclusive evidence that any supplemental indenture executed pursuant to this Article is authorized or permitted by, and conforms to, the terms of this Article and that it is proper for the Trustee under the provisions of this Article to join in the execution thereof; provided, however, that such Officers’ Certificate or an Opinion of Counsel need not be provided in connection with the execution of a supplemental indenture that establishes the terms of a series of Securities pursuant to Section 2.01 hereof.</w:t>
      </w:r>
    </w:p>
    <w:p>
      <w:pPr>
        <w:spacing w:after="0" w:line="69"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SUCCESSOR ENTITY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COMPANY MAY CONSOLIDATE, ETC.</w:t>
      </w:r>
    </w:p>
    <w:p>
      <w:pPr>
        <w:spacing w:after="0" w:line="117" w:lineRule="exact"/>
        <w:rPr>
          <w:sz w:val="20"/>
          <w:szCs w:val="20"/>
          <w:color w:val="auto"/>
        </w:rPr>
      </w:pPr>
    </w:p>
    <w:p>
      <w:pPr>
        <w:ind w:right="100" w:firstLine="225"/>
        <w:spacing w:after="0" w:line="293" w:lineRule="auto"/>
        <w:rPr>
          <w:sz w:val="20"/>
          <w:szCs w:val="20"/>
          <w:color w:val="auto"/>
        </w:rPr>
      </w:pPr>
      <w:r>
        <w:rPr>
          <w:rFonts w:ascii="Arial" w:cs="Arial" w:eastAsia="Arial" w:hAnsi="Arial"/>
          <w:sz w:val="16"/>
          <w:szCs w:val="16"/>
          <w:color w:val="auto"/>
        </w:rPr>
        <w:t>Except as provided pursuant to Section 2.01 and established and set forth in a Company Order, or established in one or more indentures supplemental hereto, 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0" w:name="page71"/>
    <w:bookmarkEnd w:id="70"/>
    <w:p>
      <w:pPr>
        <w:spacing w:after="0" w:line="273" w:lineRule="auto"/>
        <w:rPr>
          <w:sz w:val="20"/>
          <w:szCs w:val="20"/>
          <w:color w:val="auto"/>
        </w:rPr>
      </w:pPr>
      <w:r>
        <w:rPr>
          <w:rFonts w:ascii="Arial" w:cs="Arial" w:eastAsia="Arial" w:hAnsi="Arial"/>
          <w:sz w:val="17"/>
          <w:szCs w:val="17"/>
          <w:color w:val="auto"/>
        </w:rPr>
        <w:t>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SUCCESSOR ENTITY SUBSTITUTED</w:t>
      </w:r>
      <w:r>
        <w:rPr>
          <w:rFonts w:ascii="Arial" w:cs="Arial" w:eastAsia="Arial" w:hAnsi="Arial"/>
          <w:sz w:val="18"/>
          <w:szCs w:val="18"/>
          <w:color w:val="auto"/>
        </w:rPr>
        <w:t>.</w:t>
      </w:r>
    </w:p>
    <w:p>
      <w:pPr>
        <w:spacing w:after="0" w:line="117" w:lineRule="exact"/>
        <w:rPr>
          <w:sz w:val="20"/>
          <w:szCs w:val="20"/>
          <w:color w:val="auto"/>
        </w:rPr>
      </w:pPr>
    </w:p>
    <w:p>
      <w:pPr>
        <w:ind w:right="20" w:firstLine="458"/>
        <w:spacing w:after="0" w:line="302" w:lineRule="auto"/>
        <w:tabs>
          <w:tab w:leader="none" w:pos="705"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46" w:lineRule="exact"/>
        <w:rPr>
          <w:rFonts w:ascii="Arial" w:cs="Arial" w:eastAsia="Arial" w:hAnsi="Arial"/>
          <w:sz w:val="16"/>
          <w:szCs w:val="16"/>
          <w:color w:val="auto"/>
        </w:rPr>
      </w:pPr>
    </w:p>
    <w:p>
      <w:pPr>
        <w:ind w:right="680" w:firstLine="458"/>
        <w:spacing w:after="0" w:line="277" w:lineRule="auto"/>
        <w:tabs>
          <w:tab w:leader="none" w:pos="705"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62" w:lineRule="exact"/>
        <w:rPr>
          <w:rFonts w:ascii="Arial" w:cs="Arial" w:eastAsia="Arial" w:hAnsi="Arial"/>
          <w:sz w:val="18"/>
          <w:szCs w:val="18"/>
          <w:color w:val="auto"/>
        </w:rPr>
      </w:pPr>
    </w:p>
    <w:p>
      <w:pPr>
        <w:jc w:val="both"/>
        <w:ind w:right="120" w:firstLine="458"/>
        <w:spacing w:after="0" w:line="264" w:lineRule="auto"/>
        <w:tabs>
          <w:tab w:leader="none" w:pos="705"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EVIDENCE OF CONSOLIDATION, ETC. TO TRUSTEE</w:t>
      </w:r>
      <w:r>
        <w:rPr>
          <w:rFonts w:ascii="Arial" w:cs="Arial" w:eastAsia="Arial" w:hAnsi="Arial"/>
          <w:sz w:val="18"/>
          <w:szCs w:val="18"/>
          <w:color w:val="auto"/>
        </w:rPr>
        <w:t>.</w:t>
      </w:r>
    </w:p>
    <w:p>
      <w:pPr>
        <w:spacing w:after="0" w:line="117" w:lineRule="exact"/>
        <w:rPr>
          <w:sz w:val="20"/>
          <w:szCs w:val="20"/>
          <w:color w:val="auto"/>
        </w:rPr>
      </w:pPr>
    </w:p>
    <w:p>
      <w:pPr>
        <w:ind w:right="100" w:firstLine="222"/>
        <w:spacing w:after="0" w:line="308" w:lineRule="auto"/>
        <w:rPr>
          <w:sz w:val="20"/>
          <w:szCs w:val="20"/>
          <w:color w:val="auto"/>
        </w:rPr>
      </w:pPr>
      <w:r>
        <w:rPr>
          <w:rFonts w:ascii="Arial" w:cs="Arial" w:eastAsia="Arial" w:hAnsi="Arial"/>
          <w:sz w:val="17"/>
          <w:szCs w:val="17"/>
          <w:color w:val="auto"/>
        </w:rPr>
        <w:t>The Trustee, subject to the provisions of Section 7.01, may receive an Officers’ Certificate or an Opinion of Counsel as conclusive evidence that any such consolidation, merger, sale, conveyance, transfer or other disposition, and any such assumption, comply with the provisions of this Article.</w:t>
      </w:r>
    </w:p>
    <w:p>
      <w:pPr>
        <w:spacing w:after="0" w:line="25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11</w:t>
      </w:r>
    </w:p>
    <w:p>
      <w:pPr>
        <w:spacing w:after="0" w:line="117" w:lineRule="exact"/>
        <w:rPr>
          <w:sz w:val="20"/>
          <w:szCs w:val="20"/>
          <w:color w:val="auto"/>
        </w:rPr>
      </w:pPr>
    </w:p>
    <w:p>
      <w:pPr>
        <w:ind w:left="4260"/>
        <w:spacing w:after="0"/>
        <w:rPr>
          <w:sz w:val="20"/>
          <w:szCs w:val="20"/>
          <w:color w:val="auto"/>
        </w:rPr>
      </w:pPr>
      <w:r>
        <w:rPr>
          <w:rFonts w:ascii="Arial" w:cs="Arial" w:eastAsia="Arial" w:hAnsi="Arial"/>
          <w:sz w:val="18"/>
          <w:szCs w:val="18"/>
          <w:b w:val="1"/>
          <w:bCs w:val="1"/>
          <w:u w:val="single" w:color="auto"/>
          <w:color w:val="auto"/>
        </w:rPr>
        <w:t>SATISFACTION AND DISCHARGE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1" w:name="page72"/>
    <w:bookmarkEnd w:id="71"/>
    <w:p>
      <w:pPr>
        <w:ind w:right="60"/>
        <w:spacing w:after="0" w:line="291" w:lineRule="auto"/>
        <w:rPr>
          <w:sz w:val="20"/>
          <w:szCs w:val="20"/>
          <w:color w:val="auto"/>
        </w:rPr>
      </w:pPr>
      <w:r>
        <w:rPr>
          <w:rFonts w:ascii="Arial" w:cs="Arial" w:eastAsia="Arial" w:hAnsi="Arial"/>
          <w:sz w:val="16"/>
          <w:szCs w:val="16"/>
          <w:color w:val="auto"/>
        </w:rPr>
        <w:t>entire amount in moneys or Governmental Obligations or a combination thereof, sufficient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DEFEASANCE UPON DEPOSIT OF MONEYS OR U.S. GOVERNMENT OBLIGATIONS</w:t>
      </w:r>
      <w:r>
        <w:rPr>
          <w:rFonts w:ascii="Arial" w:cs="Arial" w:eastAsia="Arial" w:hAnsi="Arial"/>
          <w:sz w:val="18"/>
          <w:szCs w:val="18"/>
          <w:color w:val="auto"/>
        </w:rPr>
        <w:t>.</w:t>
      </w:r>
    </w:p>
    <w:p>
      <w:pPr>
        <w:spacing w:after="0" w:line="117" w:lineRule="exact"/>
        <w:rPr>
          <w:sz w:val="20"/>
          <w:szCs w:val="20"/>
          <w:color w:val="auto"/>
        </w:rPr>
      </w:pPr>
    </w:p>
    <w:p>
      <w:pPr>
        <w:ind w:firstLine="215"/>
        <w:spacing w:after="0" w:line="255" w:lineRule="auto"/>
        <w:rPr>
          <w:sz w:val="20"/>
          <w:szCs w:val="20"/>
          <w:color w:val="auto"/>
        </w:rPr>
      </w:pPr>
      <w:r>
        <w:rPr>
          <w:rFonts w:ascii="Arial" w:cs="Arial" w:eastAsia="Arial" w:hAnsi="Arial"/>
          <w:sz w:val="18"/>
          <w:szCs w:val="18"/>
          <w:color w:val="auto"/>
        </w:rPr>
        <w:t>At the Company’s option, either (a) the Company shall be deemed to have been Discharged (as defined below) from its obligations with respect to Securities of any series on the first day after the applicable conditions set forth below have been satisfied or (b) the Company shall cease to be under any obligation to comply with any term, provision or condition set forth in Section 4.05 and Section 5.03 with respect to Securities of any series (and, if so specified pursuant to Section 2.01, any other restrictive covenant added for the benefit of such series pursuant to Section 2.01) at any time after the applicable conditions set forth below have been satisfied (such action under clauses (a) or (b) of this paragraph in no circumstance may be construed as an Event of Default under Section 6.01):</w:t>
      </w:r>
    </w:p>
    <w:p>
      <w:pPr>
        <w:spacing w:after="0" w:line="85" w:lineRule="exact"/>
        <w:rPr>
          <w:sz w:val="20"/>
          <w:szCs w:val="20"/>
          <w:color w:val="auto"/>
        </w:rPr>
      </w:pPr>
    </w:p>
    <w:p>
      <w:pPr>
        <w:ind w:firstLine="458"/>
        <w:spacing w:after="0" w:line="255" w:lineRule="auto"/>
        <w:tabs>
          <w:tab w:leader="none" w:pos="70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 shall have deposited or caused to be deposited irrevocably with the Trustee as trust funds in trust, specifically pledged as security for, and dedicated solely to, the benefit of the Holders of the Securities of such series (i) money in an amount, or (ii) Government Obligations that through the payment of interest and principal in respect thereof in accordance with their terms will provide, not later than one day before the due date of any payment, money in an amount, or (iii) a combination of (i) and (ii), sufficient to pay and discharge each installment of principal (including any mandatory sinking fund payments) of and premium, if any, and interest on, the Outstanding Securities of such series on the dates such installments of interest or principal and premium are due;</w:t>
      </w:r>
    </w:p>
    <w:p>
      <w:pPr>
        <w:spacing w:after="0" w:line="85" w:lineRule="exact"/>
        <w:rPr>
          <w:rFonts w:ascii="Arial" w:cs="Arial" w:eastAsia="Arial" w:hAnsi="Arial"/>
          <w:sz w:val="18"/>
          <w:szCs w:val="18"/>
          <w:color w:val="auto"/>
        </w:rPr>
      </w:pPr>
    </w:p>
    <w:p>
      <w:pPr>
        <w:ind w:right="400" w:firstLine="458"/>
        <w:spacing w:after="0" w:line="277" w:lineRule="auto"/>
        <w:tabs>
          <w:tab w:leader="none" w:pos="705"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 Default with respect to the Securities of such series shall have occurred and be continuing on the date of such deposit (other than a Default resulting from the borrowing of funds and the grant of any related liens to be applied to such deposit); and</w:t>
      </w:r>
    </w:p>
    <w:p>
      <w:pPr>
        <w:spacing w:after="0" w:line="62" w:lineRule="exact"/>
        <w:rPr>
          <w:rFonts w:ascii="Arial" w:cs="Arial" w:eastAsia="Arial" w:hAnsi="Arial"/>
          <w:sz w:val="18"/>
          <w:szCs w:val="18"/>
          <w:color w:val="auto"/>
        </w:rPr>
      </w:pPr>
    </w:p>
    <w:p>
      <w:pPr>
        <w:ind w:right="20" w:firstLine="458"/>
        <w:spacing w:after="0" w:line="302" w:lineRule="auto"/>
        <w:tabs>
          <w:tab w:leader="none" w:pos="702"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Opinion of Counsel to the effect that Holders of the Securities of such series will not recognize income, gain or loss for U.S. federal income tax purposes as a result of the Company’s exercise of its option under this Section and will be subject to federal income tax on the same amounts and in the same manner and at the same times as would have been the case if such action had not been exercised and, in the case of the Securities of such series being Discharged accompanied by a ruling to that effect received from or published by the Internal Revenue Service.</w:t>
      </w:r>
    </w:p>
    <w:p>
      <w:pPr>
        <w:spacing w:after="0" w:line="46"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“Discharged” means that the Company shall be deemed to have paid and discharged the entire Indebtedness represented by, and obligations under, the Securities of such series and to have satisfied all the obligations under this Indenture relating to the Securities of such series (and the Trustee, at the expense of the Company, shall execute proper instruments acknowledging the same), except (A) the rights of Holders of Securities of such series to receive, from the trust fund described in clause (a) above,</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72" w:name="page73"/>
    <w:bookmarkEnd w:id="72"/>
    <w:p>
      <w:pPr>
        <w:spacing w:after="0"/>
        <w:rPr>
          <w:sz w:val="20"/>
          <w:szCs w:val="20"/>
          <w:color w:val="auto"/>
        </w:rPr>
      </w:pPr>
      <w:r>
        <w:rPr>
          <w:rFonts w:ascii="Arial" w:cs="Arial" w:eastAsia="Arial" w:hAnsi="Arial"/>
          <w:sz w:val="17"/>
          <w:szCs w:val="17"/>
          <w:color w:val="auto"/>
        </w:rPr>
        <w:t>payment of the principal of and premium, if any, and interest on such Securities when such payments are due and (B) Sections 7.06 and 11.05 hereof.</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DEPOSITED MONEYS TO BE HELD IN TRUST</w:t>
      </w:r>
      <w:r>
        <w:rPr>
          <w:rFonts w:ascii="Arial" w:cs="Arial" w:eastAsia="Arial" w:hAnsi="Arial"/>
          <w:sz w:val="18"/>
          <w:szCs w:val="18"/>
          <w:color w:val="auto"/>
        </w:rPr>
        <w:t>.</w:t>
      </w:r>
    </w:p>
    <w:p>
      <w:pPr>
        <w:spacing w:after="0" w:line="117" w:lineRule="exact"/>
        <w:rPr>
          <w:sz w:val="20"/>
          <w:szCs w:val="20"/>
          <w:color w:val="auto"/>
        </w:rPr>
      </w:pPr>
    </w:p>
    <w:p>
      <w:pPr>
        <w:ind w:right="80" w:firstLine="215"/>
        <w:spacing w:after="0" w:line="312" w:lineRule="auto"/>
        <w:rPr>
          <w:sz w:val="20"/>
          <w:szCs w:val="20"/>
          <w:color w:val="auto"/>
        </w:rPr>
      </w:pPr>
      <w:r>
        <w:rPr>
          <w:rFonts w:ascii="Arial" w:cs="Arial" w:eastAsia="Arial" w:hAnsi="Arial"/>
          <w:sz w:val="16"/>
          <w:szCs w:val="16"/>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PAYMENT OF MONEYS HELD BY PAYING AGENTS</w:t>
      </w:r>
      <w:r>
        <w:rPr>
          <w:rFonts w:ascii="Arial" w:cs="Arial" w:eastAsia="Arial" w:hAnsi="Arial"/>
          <w:sz w:val="18"/>
          <w:szCs w:val="18"/>
          <w:color w:val="auto"/>
        </w:rPr>
        <w:t>.</w:t>
      </w:r>
    </w:p>
    <w:p>
      <w:pPr>
        <w:spacing w:after="0" w:line="117"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w:t>
      </w:r>
    </w:p>
    <w:p>
      <w:pPr>
        <w:spacing w:after="0" w:line="117" w:lineRule="exact"/>
        <w:rPr>
          <w:sz w:val="20"/>
          <w:szCs w:val="20"/>
          <w:color w:val="auto"/>
        </w:rPr>
      </w:pPr>
    </w:p>
    <w:p>
      <w:pPr>
        <w:ind w:right="20" w:firstLine="215"/>
        <w:spacing w:after="0" w:line="272" w:lineRule="auto"/>
        <w:rPr>
          <w:sz w:val="20"/>
          <w:szCs w:val="20"/>
          <w:color w:val="auto"/>
        </w:rPr>
      </w:pPr>
      <w:r>
        <w:rPr>
          <w:rFonts w:ascii="Arial" w:cs="Arial" w:eastAsia="Arial" w:hAnsi="Arial"/>
          <w:sz w:val="17"/>
          <w:szCs w:val="17"/>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28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12</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u w:val="single" w:color="auto"/>
          <w:color w:val="auto"/>
        </w:rPr>
        <w:t>IMMUNITY OF INCORPORATORS, STOCKHOLDERS, OFFICERS AND DIRECTORS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NO RECOURSE</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of the Company, either directly or through the Company or any such predecessor or successor corporation of the Company,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of the Company,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w:t>
      </w:r>
    </w:p>
    <w:p>
      <w:pPr>
        <w:spacing w:after="0" w:line="1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73" w:name="page74"/>
    <w:bookmarkEnd w:id="73"/>
    <w:p>
      <w:pPr>
        <w:ind w:right="20"/>
        <w:spacing w:after="0" w:line="286" w:lineRule="auto"/>
        <w:rPr>
          <w:sz w:val="20"/>
          <w:szCs w:val="20"/>
          <w:color w:val="auto"/>
        </w:rPr>
      </w:pPr>
      <w:r>
        <w:rPr>
          <w:rFonts w:ascii="Arial" w:cs="Arial" w:eastAsia="Arial" w:hAnsi="Arial"/>
          <w:sz w:val="17"/>
          <w:szCs w:val="17"/>
          <w:color w:val="auto"/>
        </w:rPr>
        <w:t>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 thereof.</w:t>
      </w:r>
    </w:p>
    <w:p>
      <w:pPr>
        <w:spacing w:after="0" w:line="27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13</w:t>
      </w:r>
    </w:p>
    <w:p>
      <w:pPr>
        <w:spacing w:after="0" w:line="117" w:lineRule="exact"/>
        <w:rPr>
          <w:sz w:val="20"/>
          <w:szCs w:val="20"/>
          <w:color w:val="auto"/>
        </w:rPr>
      </w:pPr>
    </w:p>
    <w:p>
      <w:pPr>
        <w:ind w:left="4340"/>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EFFECT ON SUCCESSORS AND ASSIGNS</w:t>
      </w:r>
      <w:r>
        <w:rPr>
          <w:rFonts w:ascii="Arial" w:cs="Arial" w:eastAsia="Arial" w:hAnsi="Arial"/>
          <w:sz w:val="18"/>
          <w:szCs w:val="18"/>
          <w:color w:val="auto"/>
        </w:rPr>
        <w:t>.</w:t>
      </w:r>
    </w:p>
    <w:p>
      <w:pPr>
        <w:spacing w:after="0" w:line="117" w:lineRule="exact"/>
        <w:rPr>
          <w:sz w:val="20"/>
          <w:szCs w:val="20"/>
          <w:color w:val="auto"/>
        </w:rPr>
      </w:pPr>
    </w:p>
    <w:p>
      <w:pPr>
        <w:ind w:right="420" w:firstLine="215"/>
        <w:spacing w:after="0" w:line="277" w:lineRule="auto"/>
        <w:rPr>
          <w:sz w:val="20"/>
          <w:szCs w:val="20"/>
          <w:color w:val="auto"/>
        </w:rPr>
      </w:pPr>
      <w:r>
        <w:rPr>
          <w:rFonts w:ascii="Arial" w:cs="Arial" w:eastAsia="Arial" w:hAnsi="Arial"/>
          <w:sz w:val="18"/>
          <w:szCs w:val="18"/>
          <w:color w:val="auto"/>
        </w:rPr>
        <w:t>All the covenants, stipulations, promises and agreements in this Indenture made by or on behalf of the Company shall bind its successors and assigns, whether so expressed or not.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ACTIONS BY SUCCESSOR</w:t>
      </w:r>
      <w:r>
        <w:rPr>
          <w:rFonts w:ascii="Arial" w:cs="Arial" w:eastAsia="Arial" w:hAnsi="Arial"/>
          <w:sz w:val="18"/>
          <w:szCs w:val="18"/>
          <w:color w:val="auto"/>
        </w:rPr>
        <w:t>.</w:t>
      </w:r>
    </w:p>
    <w:p>
      <w:pPr>
        <w:spacing w:after="0" w:line="117" w:lineRule="exact"/>
        <w:rPr>
          <w:sz w:val="20"/>
          <w:szCs w:val="20"/>
          <w:color w:val="auto"/>
        </w:rPr>
      </w:pPr>
    </w:p>
    <w:p>
      <w:pPr>
        <w:ind w:firstLine="215"/>
        <w:spacing w:after="0" w:line="264" w:lineRule="auto"/>
        <w:rPr>
          <w:sz w:val="20"/>
          <w:szCs w:val="20"/>
          <w:color w:val="auto"/>
        </w:rPr>
      </w:pPr>
      <w:r>
        <w:rPr>
          <w:rFonts w:ascii="Arial" w:cs="Arial" w:eastAsia="Arial" w:hAnsi="Arial"/>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SURRENDER OF COMPANY POWERS</w:t>
      </w:r>
      <w:r>
        <w:rPr>
          <w:rFonts w:ascii="Arial" w:cs="Arial" w:eastAsia="Arial" w:hAnsi="Arial"/>
          <w:sz w:val="18"/>
          <w:szCs w:val="18"/>
          <w:color w:val="auto"/>
        </w:rPr>
        <w:t>.</w:t>
      </w:r>
    </w:p>
    <w:p>
      <w:pPr>
        <w:spacing w:after="0" w:line="117" w:lineRule="exact"/>
        <w:rPr>
          <w:sz w:val="20"/>
          <w:szCs w:val="20"/>
          <w:color w:val="auto"/>
        </w:rPr>
      </w:pPr>
    </w:p>
    <w:p>
      <w:pPr>
        <w:ind w:right="500" w:firstLine="222"/>
        <w:spacing w:after="0" w:line="342" w:lineRule="auto"/>
        <w:rPr>
          <w:sz w:val="20"/>
          <w:szCs w:val="20"/>
          <w:color w:val="auto"/>
        </w:rPr>
      </w:pPr>
      <w:r>
        <w:rPr>
          <w:rFonts w:ascii="Arial" w:cs="Arial" w:eastAsia="Arial" w:hAnsi="Arial"/>
          <w:sz w:val="16"/>
          <w:szCs w:val="16"/>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jc w:val="both"/>
        <w:ind w:right="140" w:firstLine="225"/>
        <w:spacing w:after="0" w:line="288" w:lineRule="auto"/>
        <w:rPr>
          <w:sz w:val="20"/>
          <w:szCs w:val="20"/>
          <w:color w:val="auto"/>
        </w:rPr>
      </w:pPr>
      <w:r>
        <w:rPr>
          <w:rFonts w:ascii="Arial" w:cs="Arial" w:eastAsia="Arial" w:hAnsi="Arial"/>
          <w:sz w:val="16"/>
          <w:szCs w:val="16"/>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being deposited in first class mail, postage prepaid, addressed (until another address is filed in writing by the Company with the Trustee), as follows:</w:t>
      </w:r>
    </w:p>
    <w:p>
      <w:pPr>
        <w:ind w:right="100"/>
        <w:spacing w:after="0" w:line="302" w:lineRule="auto"/>
        <w:rPr>
          <w:sz w:val="20"/>
          <w:szCs w:val="20"/>
          <w:color w:val="auto"/>
        </w:rPr>
      </w:pPr>
      <w:r>
        <w:rPr>
          <w:rFonts w:ascii="Arial" w:cs="Arial" w:eastAsia="Arial" w:hAnsi="Arial"/>
          <w:sz w:val="16"/>
          <w:szCs w:val="16"/>
          <w:color w:val="auto"/>
        </w:rPr>
        <w:t>Regeneron Pharmaceuticals, Inc., 777 Old Saw Mill River Road, Tarrytown, New York 10591 or by facsimile or other electronic means as the Trustee agrees to accept.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u w:val="single" w:color="auto"/>
          <w:color w:val="auto"/>
        </w:rPr>
        <w:t>GOVERNING LAW; WAIVER OF JURY TRIAL</w:t>
      </w:r>
      <w:r>
        <w:rPr>
          <w:rFonts w:ascii="Arial" w:cs="Arial" w:eastAsia="Arial" w:hAnsi="Arial"/>
          <w:sz w:val="18"/>
          <w:szCs w:val="18"/>
          <w:color w:val="auto"/>
        </w:rPr>
        <w:t>.</w:t>
      </w:r>
    </w:p>
    <w:p>
      <w:pPr>
        <w:spacing w:after="0" w:line="117" w:lineRule="exact"/>
        <w:rPr>
          <w:sz w:val="20"/>
          <w:szCs w:val="20"/>
          <w:color w:val="auto"/>
        </w:rPr>
      </w:pPr>
    </w:p>
    <w:p>
      <w:pPr>
        <w:ind w:right="440" w:firstLine="222"/>
        <w:spacing w:after="0" w:line="342" w:lineRule="auto"/>
        <w:rPr>
          <w:sz w:val="20"/>
          <w:szCs w:val="20"/>
          <w:color w:val="auto"/>
        </w:rPr>
      </w:pPr>
      <w:r>
        <w:rPr>
          <w:rFonts w:ascii="Arial" w:cs="Arial" w:eastAsia="Arial" w:hAnsi="Arial"/>
          <w:sz w:val="16"/>
          <w:szCs w:val="16"/>
          <w:color w:val="auto"/>
        </w:rPr>
        <w:t>This Indenture and each Security (including any guarantee thereof) shall be deemed to be a contract made under the internal laws of the State of New York, and for all purposes shall be construed in accordance with the laws of said State, except to the extent that the Trust Indenture Act is applicable.</w:t>
      </w:r>
    </w:p>
    <w:p>
      <w:pPr>
        <w:spacing w:after="0" w:line="16"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EACH PARTY HERETO, AND EACH HOLDER OF A SECURITY BY ACCEPTANCE THEREOF, HEREBY WAIVES, TO THE FULLEST EXTENT PERMITTED BY APPLICABLE LAW, ANY RIGHT IT MAY HAVE TO A TRIAL BY JURY IN RESPECT OF ANY LITIGATION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DIRECTLY OR INDIRECTLY ARISING OUT OF, UNDER OR IN CONNECTION WITH THIS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u w:val="single" w:color="auto"/>
          <w:color w:val="auto"/>
        </w:rPr>
        <w:t>CERTIFICATES AND OPINIONS AS TO CONDITIONS PRECEDENT</w:t>
      </w:r>
      <w:r>
        <w:rPr>
          <w:rFonts w:ascii="Arial" w:cs="Arial" w:eastAsia="Arial" w:hAnsi="Arial"/>
          <w:sz w:val="18"/>
          <w:szCs w:val="18"/>
          <w:color w:val="auto"/>
        </w:rPr>
        <w:t>.</w:t>
      </w:r>
    </w:p>
    <w:p>
      <w:pPr>
        <w:spacing w:after="0" w:line="117" w:lineRule="exact"/>
        <w:rPr>
          <w:sz w:val="20"/>
          <w:szCs w:val="20"/>
          <w:color w:val="auto"/>
        </w:rPr>
      </w:pPr>
    </w:p>
    <w:p>
      <w:pPr>
        <w:ind w:right="20" w:firstLine="458"/>
        <w:spacing w:after="0" w:line="255" w:lineRule="auto"/>
        <w:tabs>
          <w:tab w:leader="none" w:pos="705" w:val="left"/>
        </w:tabs>
        <w:numPr>
          <w:ilvl w:val="0"/>
          <w:numId w:val="78"/>
        </w:numPr>
        <w:rPr>
          <w:rFonts w:ascii="Arial" w:cs="Arial" w:eastAsia="Arial" w:hAnsi="Arial"/>
          <w:sz w:val="18"/>
          <w:szCs w:val="18"/>
          <w:color w:val="auto"/>
        </w:rPr>
      </w:pPr>
      <w:r>
        <w:rPr>
          <w:rFonts w:ascii="Arial" w:cs="Arial" w:eastAsia="Arial" w:hAnsi="Arial"/>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4.06)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85" w:lineRule="exact"/>
        <w:rPr>
          <w:rFonts w:ascii="Arial" w:cs="Arial" w:eastAsia="Arial" w:hAnsi="Arial"/>
          <w:sz w:val="18"/>
          <w:szCs w:val="18"/>
          <w:color w:val="auto"/>
        </w:rPr>
      </w:pPr>
    </w:p>
    <w:p>
      <w:pPr>
        <w:ind w:firstLine="458"/>
        <w:spacing w:after="0" w:line="255" w:lineRule="auto"/>
        <w:tabs>
          <w:tab w:leader="none" w:pos="705"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u w:val="single" w:color="auto"/>
          <w:color w:val="auto"/>
        </w:rPr>
        <w:t>PAYMENTS ON BUSINESS DAYS</w:t>
      </w:r>
      <w:r>
        <w:rPr>
          <w:rFonts w:ascii="Arial" w:cs="Arial" w:eastAsia="Arial" w:hAnsi="Arial"/>
          <w:sz w:val="18"/>
          <w:szCs w:val="18"/>
          <w:color w:val="auto"/>
        </w:rPr>
        <w:t>.</w:t>
      </w:r>
    </w:p>
    <w:p>
      <w:pPr>
        <w:spacing w:after="0" w:line="11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Except as provided pursuant to Section 2.01 pursuant to a Company Order,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13.08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13.09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117"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This Indenture may be executed in any number of counterparts, each of which shall be an original, but such counterparts shall together constitute but one and the same instrument.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u w:val="single" w:color="auto"/>
          <w:color w:val="auto"/>
        </w:rPr>
        <w:t>SEPARABILITY</w:t>
      </w:r>
      <w:r>
        <w:rPr>
          <w:rFonts w:ascii="Arial" w:cs="Arial" w:eastAsia="Arial" w:hAnsi="Arial"/>
          <w:sz w:val="18"/>
          <w:szCs w:val="18"/>
          <w:color w:val="auto"/>
        </w:rPr>
        <w:t>.</w:t>
      </w:r>
    </w:p>
    <w:p>
      <w:pPr>
        <w:spacing w:after="0" w:line="117"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5" w:name="page76"/>
    <w:bookmarkEnd w:id="75"/>
    <w:p>
      <w:pPr>
        <w:jc w:val="center"/>
        <w:ind w:right="-359"/>
        <w:spacing w:after="0"/>
        <w:rPr>
          <w:sz w:val="20"/>
          <w:szCs w:val="20"/>
          <w:color w:val="auto"/>
        </w:rPr>
      </w:pPr>
      <w:r>
        <w:rPr>
          <w:rFonts w:ascii="Arial" w:cs="Arial" w:eastAsia="Arial" w:hAnsi="Arial"/>
          <w:sz w:val="18"/>
          <w:szCs w:val="18"/>
          <w:b w:val="1"/>
          <w:bCs w:val="1"/>
          <w:color w:val="auto"/>
        </w:rPr>
        <w:t>ARTICLE 14</w:t>
      </w:r>
    </w:p>
    <w:p>
      <w:pPr>
        <w:spacing w:after="0" w:line="11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u w:val="single" w:color="auto"/>
          <w:color w:val="auto"/>
        </w:rPr>
        <w:t>SUBORDINATION OF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SUBORDINATION TERMS</w:t>
      </w:r>
      <w:r>
        <w:rPr>
          <w:rFonts w:ascii="Arial" w:cs="Arial" w:eastAsia="Arial" w:hAnsi="Arial"/>
          <w:sz w:val="18"/>
          <w:szCs w:val="18"/>
          <w:color w:val="auto"/>
        </w:rPr>
        <w:t>.</w:t>
      </w:r>
    </w:p>
    <w:p>
      <w:pPr>
        <w:spacing w:after="0" w:line="117"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payment by the Company of the principal of, premium, if any, and interest on any series of securities issued hereunder may be subordinated in the manner contemplated by Section 2.01.</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959" w:right="599" w:bottom="1440" w:gutter="0" w:footer="0" w:header="0"/>
        </w:sectPr>
      </w:pPr>
    </w:p>
    <w:bookmarkStart w:id="76" w:name="page77"/>
    <w:bookmarkEnd w:id="76"/>
    <w:p>
      <w:pPr>
        <w:spacing w:after="0"/>
        <w:rPr>
          <w:sz w:val="20"/>
          <w:szCs w:val="20"/>
          <w:color w:val="auto"/>
        </w:rPr>
      </w:pPr>
      <w:r>
        <w:rPr>
          <w:rFonts w:ascii="Arial" w:cs="Arial" w:eastAsia="Arial" w:hAnsi="Arial"/>
          <w:sz w:val="16"/>
          <w:szCs w:val="16"/>
          <w:color w:val="auto"/>
        </w:rPr>
        <w:t>IN WITNESS WHEREOF, the parties hereto have caused this Indenture to be duly executed all as of the day and year first above written.</w:t>
      </w:r>
    </w:p>
    <w:p>
      <w:pPr>
        <w:spacing w:after="0" w:line="24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3291840</wp:posOffset>
            </wp:positionH>
            <wp:positionV relativeFrom="paragraph">
              <wp:posOffset>-130810</wp:posOffset>
            </wp:positionV>
            <wp:extent cx="27959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AS TRUSTEE</w:t>
      </w:r>
    </w:p>
    <w:p>
      <w:pPr>
        <w:spacing w:after="0" w:line="22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3291840</wp:posOffset>
            </wp:positionH>
            <wp:positionV relativeFrom="paragraph">
              <wp:posOffset>-130810</wp:posOffset>
            </wp:positionV>
            <wp:extent cx="27959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w:t>
      </w:r>
    </w:p>
    <w:p>
      <w:pPr>
        <w:spacing w:after="0" w:line="400"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79"/>
          </w:cols>
          <w:pgMar w:left="480" w:top="935" w:right="1440"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color w:val="auto"/>
        </w:rPr>
        <w:t xml:space="preserve">CROSS-REFERENCE TABLE </w:t>
      </w:r>
      <w:r>
        <w:rPr>
          <w:rFonts w:ascii="Arial" w:cs="Arial" w:eastAsia="Arial" w:hAnsi="Arial"/>
          <w:sz w:val="15"/>
          <w:szCs w:val="15"/>
          <w:color w:val="auto"/>
        </w:rPr>
        <w:t>(1)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jc w:val="center"/>
              <w:spacing w:after="0"/>
              <w:rPr>
                <w:sz w:val="20"/>
                <w:szCs w:val="20"/>
                <w:color w:val="auto"/>
              </w:rPr>
            </w:pPr>
            <w:r>
              <w:rPr>
                <w:rFonts w:ascii="Arial" w:cs="Arial" w:eastAsia="Arial" w:hAnsi="Arial"/>
                <w:sz w:val="14"/>
                <w:szCs w:val="14"/>
                <w:color w:val="auto"/>
                <w:w w:val="98"/>
              </w:rPr>
              <w:t>SECTION OF TRUST INDENTURE ACT OF</w:t>
            </w:r>
          </w:p>
        </w:tc>
        <w:tc>
          <w:tcPr>
            <w:tcW w:w="5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9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1939, AS AMENDED</w:t>
            </w:r>
          </w:p>
        </w:tc>
        <w:tc>
          <w:tcPr>
            <w:tcW w:w="500" w:type="dxa"/>
            <w:vAlign w:val="bottom"/>
          </w:tcPr>
          <w:p>
            <w:pPr>
              <w:spacing w:after="0"/>
              <w:rPr>
                <w:sz w:val="14"/>
                <w:szCs w:val="14"/>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SECTION OF INDENTURE</w:t>
            </w:r>
          </w:p>
        </w:tc>
      </w:tr>
      <w:tr>
        <w:trPr>
          <w:trHeight w:val="210"/>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310(a)</w:t>
            </w:r>
          </w:p>
        </w:tc>
        <w:tc>
          <w:tcPr>
            <w:tcW w:w="2340" w:type="dxa"/>
            <w:vAlign w:val="bottom"/>
            <w:gridSpan w:val="2"/>
            <w:shd w:val="clear" w:color="auto" w:fill="CCEEFF"/>
          </w:tcPr>
          <w:p>
            <w:pPr>
              <w:jc w:val="right"/>
              <w:ind w:right="631"/>
              <w:spacing w:after="0"/>
              <w:rPr>
                <w:sz w:val="20"/>
                <w:szCs w:val="20"/>
                <w:color w:val="auto"/>
              </w:rPr>
            </w:pPr>
            <w:r>
              <w:rPr>
                <w:rFonts w:ascii="Arial" w:cs="Arial" w:eastAsia="Arial" w:hAnsi="Arial"/>
                <w:sz w:val="18"/>
                <w:szCs w:val="18"/>
                <w:color w:val="auto"/>
              </w:rPr>
              <w:t>7.09</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310(b)</w:t>
            </w:r>
          </w:p>
        </w:tc>
        <w:tc>
          <w:tcPr>
            <w:tcW w:w="2340" w:type="dxa"/>
            <w:vAlign w:val="bottom"/>
            <w:gridSpan w:val="2"/>
          </w:tcPr>
          <w:p>
            <w:pPr>
              <w:jc w:val="right"/>
              <w:ind w:right="631"/>
              <w:spacing w:after="0"/>
              <w:rPr>
                <w:sz w:val="20"/>
                <w:szCs w:val="20"/>
                <w:color w:val="auto"/>
              </w:rPr>
            </w:pPr>
            <w:r>
              <w:rPr>
                <w:rFonts w:ascii="Arial" w:cs="Arial" w:eastAsia="Arial" w:hAnsi="Arial"/>
                <w:sz w:val="18"/>
                <w:szCs w:val="18"/>
                <w:color w:val="auto"/>
              </w:rPr>
              <w:t>7.08</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7.10</w:t>
            </w:r>
          </w:p>
        </w:tc>
        <w:tc>
          <w:tcPr>
            <w:tcW w:w="5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310(c)</w:t>
            </w:r>
          </w:p>
        </w:tc>
        <w:tc>
          <w:tcPr>
            <w:tcW w:w="500" w:type="dxa"/>
            <w:vAlign w:val="bottom"/>
          </w:tcPr>
          <w:p>
            <w:pPr>
              <w:spacing w:after="0"/>
              <w:rPr>
                <w:sz w:val="18"/>
                <w:szCs w:val="18"/>
                <w:color w:val="auto"/>
              </w:rPr>
            </w:pPr>
          </w:p>
        </w:tc>
        <w:tc>
          <w:tcPr>
            <w:tcW w:w="1840" w:type="dxa"/>
            <w:vAlign w:val="bottom"/>
          </w:tcPr>
          <w:p>
            <w:pPr>
              <w:jc w:val="right"/>
              <w:ind w:right="391"/>
              <w:spacing w:after="0"/>
              <w:rPr>
                <w:sz w:val="20"/>
                <w:szCs w:val="20"/>
                <w:color w:val="auto"/>
              </w:rPr>
            </w:pPr>
            <w:r>
              <w:rPr>
                <w:rFonts w:ascii="Arial" w:cs="Arial" w:eastAsia="Arial" w:hAnsi="Arial"/>
                <w:sz w:val="18"/>
                <w:szCs w:val="18"/>
                <w:color w:val="auto"/>
              </w:rPr>
              <w:t>Inapplicable</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311(a)</w:t>
            </w:r>
          </w:p>
        </w:tc>
        <w:tc>
          <w:tcPr>
            <w:tcW w:w="2340" w:type="dxa"/>
            <w:vAlign w:val="bottom"/>
            <w:gridSpan w:val="2"/>
            <w:shd w:val="clear" w:color="auto" w:fill="CCEEFF"/>
          </w:tcPr>
          <w:p>
            <w:pPr>
              <w:jc w:val="right"/>
              <w:ind w:right="631"/>
              <w:spacing w:after="0"/>
              <w:rPr>
                <w:sz w:val="20"/>
                <w:szCs w:val="20"/>
                <w:color w:val="auto"/>
              </w:rPr>
            </w:pPr>
            <w:r>
              <w:rPr>
                <w:rFonts w:ascii="Arial" w:cs="Arial" w:eastAsia="Arial" w:hAnsi="Arial"/>
                <w:sz w:val="18"/>
                <w:szCs w:val="18"/>
                <w:color w:val="auto"/>
              </w:rPr>
              <w:t>7.13</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311(b)</w:t>
            </w:r>
          </w:p>
        </w:tc>
        <w:tc>
          <w:tcPr>
            <w:tcW w:w="2340" w:type="dxa"/>
            <w:vAlign w:val="bottom"/>
            <w:gridSpan w:val="2"/>
          </w:tcPr>
          <w:p>
            <w:pPr>
              <w:jc w:val="right"/>
              <w:ind w:right="631"/>
              <w:spacing w:after="0"/>
              <w:rPr>
                <w:sz w:val="20"/>
                <w:szCs w:val="20"/>
                <w:color w:val="auto"/>
              </w:rPr>
            </w:pPr>
            <w:r>
              <w:rPr>
                <w:rFonts w:ascii="Arial" w:cs="Arial" w:eastAsia="Arial" w:hAnsi="Arial"/>
                <w:sz w:val="18"/>
                <w:szCs w:val="18"/>
                <w:color w:val="auto"/>
              </w:rPr>
              <w:t>7.13</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311(c)</w:t>
            </w:r>
          </w:p>
        </w:tc>
        <w:tc>
          <w:tcPr>
            <w:tcW w:w="50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Inapplicable</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312(a)</w:t>
            </w:r>
          </w:p>
        </w:tc>
        <w:tc>
          <w:tcPr>
            <w:tcW w:w="2340" w:type="dxa"/>
            <w:vAlign w:val="bottom"/>
            <w:gridSpan w:val="2"/>
          </w:tcPr>
          <w:p>
            <w:pPr>
              <w:jc w:val="right"/>
              <w:ind w:right="631"/>
              <w:spacing w:after="0"/>
              <w:rPr>
                <w:sz w:val="20"/>
                <w:szCs w:val="20"/>
                <w:color w:val="auto"/>
              </w:rPr>
            </w:pPr>
            <w:r>
              <w:rPr>
                <w:rFonts w:ascii="Arial" w:cs="Arial" w:eastAsia="Arial" w:hAnsi="Arial"/>
                <w:sz w:val="18"/>
                <w:szCs w:val="18"/>
                <w:color w:val="auto"/>
              </w:rPr>
              <w:t>5.01</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5.02(a)</w:t>
            </w:r>
          </w:p>
        </w:tc>
        <w:tc>
          <w:tcPr>
            <w:tcW w:w="5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312(b)</w:t>
            </w:r>
          </w:p>
        </w:tc>
        <w:tc>
          <w:tcPr>
            <w:tcW w:w="500" w:type="dxa"/>
            <w:vAlign w:val="bottom"/>
          </w:tcPr>
          <w:p>
            <w:pPr>
              <w:spacing w:after="0"/>
              <w:rPr>
                <w:sz w:val="18"/>
                <w:szCs w:val="18"/>
                <w:color w:val="auto"/>
              </w:rPr>
            </w:pPr>
          </w:p>
        </w:tc>
        <w:tc>
          <w:tcPr>
            <w:tcW w:w="1840" w:type="dxa"/>
            <w:vAlign w:val="bottom"/>
          </w:tcPr>
          <w:p>
            <w:pPr>
              <w:jc w:val="right"/>
              <w:ind w:right="431"/>
              <w:spacing w:after="0"/>
              <w:rPr>
                <w:sz w:val="20"/>
                <w:szCs w:val="20"/>
                <w:color w:val="auto"/>
              </w:rPr>
            </w:pPr>
            <w:r>
              <w:rPr>
                <w:rFonts w:ascii="Arial" w:cs="Arial" w:eastAsia="Arial" w:hAnsi="Arial"/>
                <w:sz w:val="18"/>
                <w:szCs w:val="18"/>
                <w:color w:val="auto"/>
              </w:rPr>
              <w:t>5.02(c)</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312(c)</w:t>
            </w:r>
          </w:p>
        </w:tc>
        <w:tc>
          <w:tcPr>
            <w:tcW w:w="50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5.02(c)</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313(a)</w:t>
            </w:r>
          </w:p>
        </w:tc>
        <w:tc>
          <w:tcPr>
            <w:tcW w:w="500" w:type="dxa"/>
            <w:vAlign w:val="bottom"/>
          </w:tcPr>
          <w:p>
            <w:pPr>
              <w:spacing w:after="0"/>
              <w:rPr>
                <w:sz w:val="18"/>
                <w:szCs w:val="18"/>
                <w:color w:val="auto"/>
              </w:rPr>
            </w:pPr>
          </w:p>
        </w:tc>
        <w:tc>
          <w:tcPr>
            <w:tcW w:w="1840" w:type="dxa"/>
            <w:vAlign w:val="bottom"/>
          </w:tcPr>
          <w:p>
            <w:pPr>
              <w:jc w:val="right"/>
              <w:ind w:right="431"/>
              <w:spacing w:after="0"/>
              <w:rPr>
                <w:sz w:val="20"/>
                <w:szCs w:val="20"/>
                <w:color w:val="auto"/>
              </w:rPr>
            </w:pPr>
            <w:r>
              <w:rPr>
                <w:rFonts w:ascii="Arial" w:cs="Arial" w:eastAsia="Arial" w:hAnsi="Arial"/>
                <w:sz w:val="18"/>
                <w:szCs w:val="18"/>
                <w:color w:val="auto"/>
              </w:rPr>
              <w:t>5.04(a)</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313(b)</w:t>
            </w:r>
          </w:p>
        </w:tc>
        <w:tc>
          <w:tcPr>
            <w:tcW w:w="50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5.04(b)</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313(c)</w:t>
            </w:r>
          </w:p>
        </w:tc>
        <w:tc>
          <w:tcPr>
            <w:tcW w:w="500" w:type="dxa"/>
            <w:vAlign w:val="bottom"/>
          </w:tcPr>
          <w:p>
            <w:pPr>
              <w:spacing w:after="0"/>
              <w:rPr>
                <w:sz w:val="18"/>
                <w:szCs w:val="18"/>
                <w:color w:val="auto"/>
              </w:rPr>
            </w:pPr>
          </w:p>
        </w:tc>
        <w:tc>
          <w:tcPr>
            <w:tcW w:w="1840" w:type="dxa"/>
            <w:vAlign w:val="bottom"/>
          </w:tcPr>
          <w:p>
            <w:pPr>
              <w:jc w:val="right"/>
              <w:ind w:right="431"/>
              <w:spacing w:after="0"/>
              <w:rPr>
                <w:sz w:val="20"/>
                <w:szCs w:val="20"/>
                <w:color w:val="auto"/>
              </w:rPr>
            </w:pPr>
            <w:r>
              <w:rPr>
                <w:rFonts w:ascii="Arial" w:cs="Arial" w:eastAsia="Arial" w:hAnsi="Arial"/>
                <w:sz w:val="18"/>
                <w:szCs w:val="18"/>
                <w:color w:val="auto"/>
              </w:rPr>
              <w:t>5.04(a)</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5.04(b)</w:t>
            </w:r>
          </w:p>
        </w:tc>
        <w:tc>
          <w:tcPr>
            <w:tcW w:w="5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313(d)</w:t>
            </w:r>
          </w:p>
        </w:tc>
        <w:tc>
          <w:tcPr>
            <w:tcW w:w="500" w:type="dxa"/>
            <w:vAlign w:val="bottom"/>
          </w:tcPr>
          <w:p>
            <w:pPr>
              <w:spacing w:after="0"/>
              <w:rPr>
                <w:sz w:val="18"/>
                <w:szCs w:val="18"/>
                <w:color w:val="auto"/>
              </w:rPr>
            </w:pPr>
          </w:p>
        </w:tc>
        <w:tc>
          <w:tcPr>
            <w:tcW w:w="1840" w:type="dxa"/>
            <w:vAlign w:val="bottom"/>
          </w:tcPr>
          <w:p>
            <w:pPr>
              <w:jc w:val="right"/>
              <w:ind w:right="431"/>
              <w:spacing w:after="0"/>
              <w:rPr>
                <w:sz w:val="20"/>
                <w:szCs w:val="20"/>
                <w:color w:val="auto"/>
              </w:rPr>
            </w:pPr>
            <w:r>
              <w:rPr>
                <w:rFonts w:ascii="Arial" w:cs="Arial" w:eastAsia="Arial" w:hAnsi="Arial"/>
                <w:sz w:val="18"/>
                <w:szCs w:val="18"/>
                <w:color w:val="auto"/>
              </w:rPr>
              <w:t>5.04(c)</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314(a)</w:t>
            </w:r>
          </w:p>
        </w:tc>
        <w:tc>
          <w:tcPr>
            <w:tcW w:w="2340" w:type="dxa"/>
            <w:vAlign w:val="bottom"/>
            <w:gridSpan w:val="2"/>
            <w:shd w:val="clear" w:color="auto" w:fill="CCEEFF"/>
          </w:tcPr>
          <w:p>
            <w:pPr>
              <w:jc w:val="right"/>
              <w:ind w:right="631"/>
              <w:spacing w:after="0"/>
              <w:rPr>
                <w:sz w:val="20"/>
                <w:szCs w:val="20"/>
                <w:color w:val="auto"/>
              </w:rPr>
            </w:pPr>
            <w:r>
              <w:rPr>
                <w:rFonts w:ascii="Arial" w:cs="Arial" w:eastAsia="Arial" w:hAnsi="Arial"/>
                <w:sz w:val="18"/>
                <w:szCs w:val="18"/>
                <w:color w:val="auto"/>
              </w:rPr>
              <w:t>5.03</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13.12</w:t>
            </w:r>
          </w:p>
        </w:tc>
        <w:tc>
          <w:tcPr>
            <w:tcW w:w="5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314(b)</w:t>
            </w:r>
          </w:p>
        </w:tc>
        <w:tc>
          <w:tcPr>
            <w:tcW w:w="50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Inapplicable</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314(c)</w:t>
            </w:r>
          </w:p>
        </w:tc>
        <w:tc>
          <w:tcPr>
            <w:tcW w:w="500" w:type="dxa"/>
            <w:vAlign w:val="bottom"/>
          </w:tcPr>
          <w:p>
            <w:pPr>
              <w:spacing w:after="0"/>
              <w:rPr>
                <w:sz w:val="18"/>
                <w:szCs w:val="18"/>
                <w:color w:val="auto"/>
              </w:rPr>
            </w:pPr>
          </w:p>
        </w:tc>
        <w:tc>
          <w:tcPr>
            <w:tcW w:w="1840" w:type="dxa"/>
            <w:vAlign w:val="bottom"/>
          </w:tcPr>
          <w:p>
            <w:pPr>
              <w:jc w:val="right"/>
              <w:ind w:right="431"/>
              <w:spacing w:after="0"/>
              <w:rPr>
                <w:sz w:val="20"/>
                <w:szCs w:val="20"/>
                <w:color w:val="auto"/>
              </w:rPr>
            </w:pPr>
            <w:r>
              <w:rPr>
                <w:rFonts w:ascii="Arial" w:cs="Arial" w:eastAsia="Arial" w:hAnsi="Arial"/>
                <w:sz w:val="18"/>
                <w:szCs w:val="18"/>
                <w:color w:val="auto"/>
              </w:rPr>
              <w:t>13.07(a)</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314(d)</w:t>
            </w:r>
          </w:p>
        </w:tc>
        <w:tc>
          <w:tcPr>
            <w:tcW w:w="50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Inapplicable</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314(e)</w:t>
            </w:r>
          </w:p>
        </w:tc>
        <w:tc>
          <w:tcPr>
            <w:tcW w:w="500" w:type="dxa"/>
            <w:vAlign w:val="bottom"/>
          </w:tcPr>
          <w:p>
            <w:pPr>
              <w:spacing w:after="0"/>
              <w:rPr>
                <w:sz w:val="18"/>
                <w:szCs w:val="18"/>
                <w:color w:val="auto"/>
              </w:rPr>
            </w:pPr>
          </w:p>
        </w:tc>
        <w:tc>
          <w:tcPr>
            <w:tcW w:w="1840" w:type="dxa"/>
            <w:vAlign w:val="bottom"/>
          </w:tcPr>
          <w:p>
            <w:pPr>
              <w:jc w:val="right"/>
              <w:ind w:right="411"/>
              <w:spacing w:after="0"/>
              <w:rPr>
                <w:sz w:val="20"/>
                <w:szCs w:val="20"/>
                <w:color w:val="auto"/>
              </w:rPr>
            </w:pPr>
            <w:r>
              <w:rPr>
                <w:rFonts w:ascii="Arial" w:cs="Arial" w:eastAsia="Arial" w:hAnsi="Arial"/>
                <w:sz w:val="18"/>
                <w:szCs w:val="18"/>
                <w:color w:val="auto"/>
              </w:rPr>
              <w:t>13.07(b)</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314(f)</w:t>
            </w:r>
          </w:p>
        </w:tc>
        <w:tc>
          <w:tcPr>
            <w:tcW w:w="50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Inapplicable</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315(a)</w:t>
            </w:r>
          </w:p>
        </w:tc>
        <w:tc>
          <w:tcPr>
            <w:tcW w:w="500" w:type="dxa"/>
            <w:vAlign w:val="bottom"/>
          </w:tcPr>
          <w:p>
            <w:pPr>
              <w:spacing w:after="0"/>
              <w:rPr>
                <w:sz w:val="18"/>
                <w:szCs w:val="18"/>
                <w:color w:val="auto"/>
              </w:rPr>
            </w:pPr>
          </w:p>
        </w:tc>
        <w:tc>
          <w:tcPr>
            <w:tcW w:w="1840" w:type="dxa"/>
            <w:vAlign w:val="bottom"/>
          </w:tcPr>
          <w:p>
            <w:pPr>
              <w:jc w:val="right"/>
              <w:ind w:right="431"/>
              <w:spacing w:after="0"/>
              <w:rPr>
                <w:sz w:val="20"/>
                <w:szCs w:val="20"/>
                <w:color w:val="auto"/>
              </w:rPr>
            </w:pPr>
            <w:r>
              <w:rPr>
                <w:rFonts w:ascii="Arial" w:cs="Arial" w:eastAsia="Arial" w:hAnsi="Arial"/>
                <w:sz w:val="18"/>
                <w:szCs w:val="18"/>
                <w:color w:val="auto"/>
              </w:rPr>
              <w:t>7.01(a)</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7.01(b)</w:t>
            </w:r>
          </w:p>
        </w:tc>
        <w:tc>
          <w:tcPr>
            <w:tcW w:w="5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315(b)</w:t>
            </w:r>
          </w:p>
        </w:tc>
        <w:tc>
          <w:tcPr>
            <w:tcW w:w="2340" w:type="dxa"/>
            <w:vAlign w:val="bottom"/>
            <w:gridSpan w:val="2"/>
          </w:tcPr>
          <w:p>
            <w:pPr>
              <w:jc w:val="right"/>
              <w:ind w:right="631"/>
              <w:spacing w:after="0"/>
              <w:rPr>
                <w:sz w:val="20"/>
                <w:szCs w:val="20"/>
                <w:color w:val="auto"/>
              </w:rPr>
            </w:pPr>
            <w:r>
              <w:rPr>
                <w:rFonts w:ascii="Arial" w:cs="Arial" w:eastAsia="Arial" w:hAnsi="Arial"/>
                <w:sz w:val="18"/>
                <w:szCs w:val="18"/>
                <w:color w:val="auto"/>
              </w:rPr>
              <w:t>7.14</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315(c)</w:t>
            </w:r>
          </w:p>
        </w:tc>
        <w:tc>
          <w:tcPr>
            <w:tcW w:w="2340" w:type="dxa"/>
            <w:vAlign w:val="bottom"/>
            <w:gridSpan w:val="2"/>
            <w:shd w:val="clear" w:color="auto" w:fill="CCEEFF"/>
          </w:tcPr>
          <w:p>
            <w:pPr>
              <w:jc w:val="right"/>
              <w:ind w:right="631"/>
              <w:spacing w:after="0"/>
              <w:rPr>
                <w:sz w:val="20"/>
                <w:szCs w:val="20"/>
                <w:color w:val="auto"/>
              </w:rPr>
            </w:pPr>
            <w:r>
              <w:rPr>
                <w:rFonts w:ascii="Arial" w:cs="Arial" w:eastAsia="Arial" w:hAnsi="Arial"/>
                <w:sz w:val="18"/>
                <w:szCs w:val="18"/>
                <w:color w:val="auto"/>
              </w:rPr>
              <w:t>7.01</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315(d)</w:t>
            </w:r>
          </w:p>
        </w:tc>
        <w:tc>
          <w:tcPr>
            <w:tcW w:w="500" w:type="dxa"/>
            <w:vAlign w:val="bottom"/>
          </w:tcPr>
          <w:p>
            <w:pPr>
              <w:spacing w:after="0"/>
              <w:rPr>
                <w:sz w:val="18"/>
                <w:szCs w:val="18"/>
                <w:color w:val="auto"/>
              </w:rPr>
            </w:pPr>
          </w:p>
        </w:tc>
        <w:tc>
          <w:tcPr>
            <w:tcW w:w="1840" w:type="dxa"/>
            <w:vAlign w:val="bottom"/>
          </w:tcPr>
          <w:p>
            <w:pPr>
              <w:jc w:val="right"/>
              <w:ind w:right="411"/>
              <w:spacing w:after="0"/>
              <w:rPr>
                <w:sz w:val="20"/>
                <w:szCs w:val="20"/>
                <w:color w:val="auto"/>
              </w:rPr>
            </w:pPr>
            <w:r>
              <w:rPr>
                <w:rFonts w:ascii="Arial" w:cs="Arial" w:eastAsia="Arial" w:hAnsi="Arial"/>
                <w:sz w:val="18"/>
                <w:szCs w:val="18"/>
                <w:color w:val="auto"/>
              </w:rPr>
              <w:t>7.01(b)</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315(e)</w:t>
            </w:r>
          </w:p>
        </w:tc>
        <w:tc>
          <w:tcPr>
            <w:tcW w:w="2340" w:type="dxa"/>
            <w:vAlign w:val="bottom"/>
            <w:gridSpan w:val="2"/>
            <w:shd w:val="clear" w:color="auto" w:fill="CCEEFF"/>
          </w:tcPr>
          <w:p>
            <w:pPr>
              <w:jc w:val="right"/>
              <w:ind w:right="631"/>
              <w:spacing w:after="0"/>
              <w:rPr>
                <w:sz w:val="20"/>
                <w:szCs w:val="20"/>
                <w:color w:val="auto"/>
              </w:rPr>
            </w:pPr>
            <w:r>
              <w:rPr>
                <w:rFonts w:ascii="Arial" w:cs="Arial" w:eastAsia="Arial" w:hAnsi="Arial"/>
                <w:sz w:val="18"/>
                <w:szCs w:val="18"/>
                <w:color w:val="auto"/>
              </w:rPr>
              <w:t>6.07</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316(a)</w:t>
            </w:r>
          </w:p>
        </w:tc>
        <w:tc>
          <w:tcPr>
            <w:tcW w:w="2340" w:type="dxa"/>
            <w:vAlign w:val="bottom"/>
            <w:gridSpan w:val="2"/>
          </w:tcPr>
          <w:p>
            <w:pPr>
              <w:jc w:val="right"/>
              <w:ind w:right="631"/>
              <w:spacing w:after="0"/>
              <w:rPr>
                <w:sz w:val="20"/>
                <w:szCs w:val="20"/>
                <w:color w:val="auto"/>
              </w:rPr>
            </w:pPr>
            <w:r>
              <w:rPr>
                <w:rFonts w:ascii="Arial" w:cs="Arial" w:eastAsia="Arial" w:hAnsi="Arial"/>
                <w:sz w:val="18"/>
                <w:szCs w:val="18"/>
                <w:color w:val="auto"/>
              </w:rPr>
              <w:t>6.06</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8.04</w:t>
            </w:r>
          </w:p>
        </w:tc>
        <w:tc>
          <w:tcPr>
            <w:tcW w:w="5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316(b)</w:t>
            </w:r>
          </w:p>
        </w:tc>
        <w:tc>
          <w:tcPr>
            <w:tcW w:w="2340" w:type="dxa"/>
            <w:vAlign w:val="bottom"/>
            <w:gridSpan w:val="2"/>
          </w:tcPr>
          <w:p>
            <w:pPr>
              <w:jc w:val="right"/>
              <w:ind w:right="631"/>
              <w:spacing w:after="0"/>
              <w:rPr>
                <w:sz w:val="20"/>
                <w:szCs w:val="20"/>
                <w:color w:val="auto"/>
              </w:rPr>
            </w:pPr>
            <w:r>
              <w:rPr>
                <w:rFonts w:ascii="Arial" w:cs="Arial" w:eastAsia="Arial" w:hAnsi="Arial"/>
                <w:sz w:val="18"/>
                <w:szCs w:val="18"/>
                <w:color w:val="auto"/>
              </w:rPr>
              <w:t>6.04</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316(c)</w:t>
            </w:r>
          </w:p>
        </w:tc>
        <w:tc>
          <w:tcPr>
            <w:tcW w:w="2340" w:type="dxa"/>
            <w:vAlign w:val="bottom"/>
            <w:gridSpan w:val="2"/>
            <w:shd w:val="clear" w:color="auto" w:fill="CCEEFF"/>
          </w:tcPr>
          <w:p>
            <w:pPr>
              <w:jc w:val="right"/>
              <w:ind w:right="631"/>
              <w:spacing w:after="0"/>
              <w:rPr>
                <w:sz w:val="20"/>
                <w:szCs w:val="20"/>
                <w:color w:val="auto"/>
              </w:rPr>
            </w:pPr>
            <w:r>
              <w:rPr>
                <w:rFonts w:ascii="Arial" w:cs="Arial" w:eastAsia="Arial" w:hAnsi="Arial"/>
                <w:sz w:val="18"/>
                <w:szCs w:val="18"/>
                <w:color w:val="auto"/>
              </w:rPr>
              <w:t>8.01</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317(a)</w:t>
            </w:r>
          </w:p>
        </w:tc>
        <w:tc>
          <w:tcPr>
            <w:tcW w:w="2340" w:type="dxa"/>
            <w:vAlign w:val="bottom"/>
            <w:gridSpan w:val="2"/>
          </w:tcPr>
          <w:p>
            <w:pPr>
              <w:jc w:val="right"/>
              <w:ind w:right="631"/>
              <w:spacing w:after="0"/>
              <w:rPr>
                <w:sz w:val="20"/>
                <w:szCs w:val="20"/>
                <w:color w:val="auto"/>
              </w:rPr>
            </w:pPr>
            <w:r>
              <w:rPr>
                <w:rFonts w:ascii="Arial" w:cs="Arial" w:eastAsia="Arial" w:hAnsi="Arial"/>
                <w:sz w:val="18"/>
                <w:szCs w:val="18"/>
                <w:color w:val="auto"/>
              </w:rPr>
              <w:t>6.02</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317(b)</w:t>
            </w:r>
          </w:p>
        </w:tc>
        <w:tc>
          <w:tcPr>
            <w:tcW w:w="2340" w:type="dxa"/>
            <w:vAlign w:val="bottom"/>
            <w:gridSpan w:val="2"/>
            <w:shd w:val="clear" w:color="auto" w:fill="CCEEFF"/>
          </w:tcPr>
          <w:p>
            <w:pPr>
              <w:jc w:val="right"/>
              <w:ind w:right="631"/>
              <w:spacing w:after="0"/>
              <w:rPr>
                <w:sz w:val="20"/>
                <w:szCs w:val="20"/>
                <w:color w:val="auto"/>
              </w:rPr>
            </w:pPr>
            <w:r>
              <w:rPr>
                <w:rFonts w:ascii="Arial" w:cs="Arial" w:eastAsia="Arial" w:hAnsi="Arial"/>
                <w:sz w:val="18"/>
                <w:szCs w:val="18"/>
                <w:color w:val="auto"/>
              </w:rPr>
              <w:t>4.03</w:t>
            </w:r>
          </w:p>
        </w:tc>
      </w:tr>
      <w:tr>
        <w:trPr>
          <w:trHeight w:val="230"/>
        </w:trPr>
        <w:tc>
          <w:tcPr>
            <w:tcW w:w="20" w:type="dxa"/>
            <w:vAlign w:val="bottom"/>
          </w:tcPr>
          <w:p>
            <w:pPr>
              <w:spacing w:after="0"/>
              <w:rPr>
                <w:sz w:val="20"/>
                <w:szCs w:val="20"/>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318(a)</w:t>
            </w:r>
          </w:p>
        </w:tc>
        <w:tc>
          <w:tcPr>
            <w:tcW w:w="2340" w:type="dxa"/>
            <w:vAlign w:val="bottom"/>
            <w:gridSpan w:val="2"/>
          </w:tcPr>
          <w:p>
            <w:pPr>
              <w:jc w:val="right"/>
              <w:ind w:right="631"/>
              <w:spacing w:after="0"/>
              <w:rPr>
                <w:sz w:val="20"/>
                <w:szCs w:val="20"/>
                <w:color w:val="auto"/>
              </w:rPr>
            </w:pPr>
            <w:r>
              <w:rPr>
                <w:rFonts w:ascii="Arial" w:cs="Arial" w:eastAsia="Arial" w:hAnsi="Arial"/>
                <w:sz w:val="18"/>
                <w:szCs w:val="18"/>
                <w:color w:val="auto"/>
              </w:rPr>
              <w:t>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760" w:hanging="452"/>
        <w:spacing w:after="0" w:line="277"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962"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5.1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 Times Square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10036</w:t>
      </w:r>
    </w:p>
    <w:p>
      <w:pPr>
        <w:spacing w:after="0" w:line="10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October 6,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10591-6707</w:t>
      </w:r>
    </w:p>
    <w:p>
      <w:pPr>
        <w:spacing w:after="0" w:line="21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Re: Regeneron Pharmaceuticals, Inc.</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u w:val="single" w:color="auto"/>
          <w:color w:val="auto"/>
        </w:rPr>
        <w:t>Registration Statement on Form S-3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447"/>
        <w:spacing w:after="0" w:line="269" w:lineRule="auto"/>
        <w:rPr>
          <w:sz w:val="20"/>
          <w:szCs w:val="20"/>
          <w:color w:val="auto"/>
        </w:rPr>
      </w:pPr>
      <w:r>
        <w:rPr>
          <w:rFonts w:ascii="Arial" w:cs="Arial" w:eastAsia="Arial" w:hAnsi="Arial"/>
          <w:sz w:val="17"/>
          <w:szCs w:val="17"/>
          <w:color w:val="auto"/>
        </w:rPr>
        <w:t>We have acted as special counsel to Regeneron Pharmaceuticals, Inc., a New York corporation (the “Company”), in connection with the registration statement on Form S-3 (the “Registration Statement”) to be filed by the Company with the Securities and Exchange Commission (the “Commission”) on the date hereof under the Securities Act of 1933, as amended (the “Act”). The Registration Statement relates to the issuance and sale by the Company from time to time, pursuant to Rule 415 of the rules and regulations promulgated under the Act, of an unspecified amount of securities of the Company for unspecified aggregate proceeds, consisting of: (i) shares of common stock of the Company, $0.001 par value (the “Common Stock”); (ii) shares of preferred stock of the Company, $0.01 par value, to be issued in one or more series (the “Preferred Stock”); (iii) senior debt securities, senior subordinated debt securities, subordinated debt securities or junior subordinated securities, which may be convertible or non-convertible (the “Debt Securities”) to be issued in one or more series under the indenture proposed to be entered into between the Company and a trustee to be named therein (the “Trustee”), the form of which is filed as an exhibit to the Registration Statement (the “Indenture”); and (iv) warrants for the purchase of Common Stock, Preferred Stock or Debt Securities (the “Warrants”) pursuant to one or more warrant agreements (each, a “Warrant Agreement”) proposed to be entered into between the Company and warrant agents to be named therein (a “Warrant Agent” or “Warrant Agents”). The Common Stock, Preferred Stock, Debt Securities and Warrants are collectively referred to herein as the “Offered Securities.”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opinion is being delivered in accordance with the requirements of Item 601(b)(5) of Regulation S-K under the Act.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connection with this opinion, we have examined originals or copies, certified or otherwise identified to our satisfaction,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6,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03" w:lineRule="exact"/>
        <w:rPr>
          <w:sz w:val="20"/>
          <w:szCs w:val="20"/>
          <w:color w:val="auto"/>
        </w:rPr>
      </w:pPr>
    </w:p>
    <w:p>
      <w:pPr>
        <w:ind w:left="660" w:hanging="43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Registration Statement relating to the Offered Securities;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form of the Indenture between the Company and the Trustee;</w:t>
      </w:r>
    </w:p>
    <w:p>
      <w:pPr>
        <w:spacing w:after="0" w:line="130" w:lineRule="exact"/>
        <w:rPr>
          <w:rFonts w:ascii="Arial" w:cs="Arial" w:eastAsia="Arial" w:hAnsi="Arial"/>
          <w:sz w:val="18"/>
          <w:szCs w:val="18"/>
          <w:color w:val="auto"/>
        </w:rPr>
      </w:pPr>
    </w:p>
    <w:p>
      <w:pPr>
        <w:ind w:left="660" w:right="680" w:hanging="436"/>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Restated Certificate of Incorporation of the Company, as certified by the Secretary of State of the State of New York (the “Certificate of Incorporation”);</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By-Laws of the Company, as amended and in effect on the date hereof, and as certified by the Secretary of the Company (the “By-Laws”);</w:t>
      </w:r>
    </w:p>
    <w:p>
      <w:pPr>
        <w:spacing w:after="0" w:line="142" w:lineRule="exact"/>
        <w:rPr>
          <w:rFonts w:ascii="Arial" w:cs="Arial" w:eastAsia="Arial" w:hAnsi="Arial"/>
          <w:sz w:val="17"/>
          <w:szCs w:val="17"/>
          <w:color w:val="auto"/>
        </w:rPr>
      </w:pPr>
    </w:p>
    <w:p>
      <w:pPr>
        <w:ind w:left="660" w:right="240" w:hanging="436"/>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certain resolutions adopted on October 5, 2010 by the Board of Directors of the Company relating to the registration of the Offered Securities and related matters; and</w:t>
      </w:r>
    </w:p>
    <w:p>
      <w:pPr>
        <w:spacing w:after="0" w:line="75" w:lineRule="exact"/>
        <w:rPr>
          <w:rFonts w:ascii="Arial" w:cs="Arial" w:eastAsia="Arial" w:hAnsi="Arial"/>
          <w:sz w:val="18"/>
          <w:szCs w:val="18"/>
          <w:color w:val="auto"/>
        </w:rPr>
      </w:pPr>
    </w:p>
    <w:p>
      <w:pPr>
        <w:ind w:left="660" w:right="300" w:hanging="436"/>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Statement of Eligibility and Qualification on Form T-1 under the Trust Indenture Act of 1939, as amended (the “Trust Indenture Act”), of the Trustee, filed as an exhibit to the Registration Statement.</w:t>
      </w:r>
    </w:p>
    <w:p>
      <w:pPr>
        <w:spacing w:after="0" w:line="62"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certificates and records as we have deemed necessary or appropriate as a basis for the opinions set forth herein.</w:t>
      </w:r>
    </w:p>
    <w:p>
      <w:pPr>
        <w:spacing w:after="0" w:line="73"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In our examination, we have assumed the legal capacity of all natural persons, the genuineness of all signatures, including endorsements, the authenticity of all documents submitted to us as originals, the conformity to original documents of all documents submitted to us as facsimile, electronic, certified, conformed or photostatic copies and the authenticity of the originals of such copies. In making our examination of executed documents or documents to be executed, we have assumed that the parties thereto, other than the Company, had or will have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We have also assumed that the Indenture and any supplemental indenture pursuant to the Indenture establishing the terms of any Debt Securities will be duly authorized, executed and delivered by the Trustee and that any Debt Securities that may be issued pursuant to the Indenture will be manually signed or countersigned, as the case may be, by duly authorized officers of the Trustee. In addition, we have assumed that the terms of the Offered Securities will have been established so as not to, and that the execution and delivery by the Company of, and the performance of its obligations under, the Indenture, any supplemental indenture to be entered into in connection with the issuance of Debt Securities, any Warrant Agreement to be entered into in connection with the issuance of Warrants and the Offered Securities, will not, violate, conflict with or constitute a default under (i) any agreement or instrument to which the Company or its properties are subject (other than the exhibits to the Registration Statement), (ii) any law, rule or regulation to which the Company or its properties is subject, (iii) any judicial or regulatory order or decree of any governmental authority; or (iv) any consent, approval,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382270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6,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authorization or validation of, or filing, recording or registration with, any governmental authority. In addition, we have assumed that the Indenture will be executed and delivered in substantially the form reviewed by us. As to any facts material to the opinions expressed herein which were not independently established or verified, we have relied upon oral or written statements and representations of officers and other representatives of the Company and others and of public officials.</w:t>
      </w:r>
    </w:p>
    <w:p>
      <w:pPr>
        <w:spacing w:after="0" w:line="7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Our opinion set forth below is limited to the laws of the State of New York that, in our experience, are normally applicable to transactions of the type contemplated by the Registration Statement and, to the extent that judicial or regulatory orders or decrees or consents, approvals, licenses, authorizations, validations, filings, recordings or registrations with governmental authorities are relevant, to those required under such laws (all of the foregoing being referred to as “Opined on Law”). We do not express any opinion with respect to the law of any jurisdiction other than Opined on Law or as to the effect of any such non-Opined on Law on the opinions herein stated.</w:t>
      </w:r>
    </w:p>
    <w:p>
      <w:pPr>
        <w:spacing w:after="0" w:line="80"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Offered Securities may be issued from time to time on a delayed or continuous basis, and this opinion is limited to the laws, including the rules and regulations, as in effect on the date hereof, which laws are subject to change with possible retroactive effect.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Based upon and subject to the foregoing and to the limitations, qualifications, exceptions and assumptions set forth herein, we are of the opinion that:</w:t>
      </w:r>
    </w:p>
    <w:p>
      <w:pPr>
        <w:spacing w:after="0" w:line="140" w:lineRule="exact"/>
        <w:rPr>
          <w:sz w:val="20"/>
          <w:szCs w:val="20"/>
          <w:color w:val="auto"/>
        </w:rPr>
      </w:pPr>
    </w:p>
    <w:p>
      <w:pPr>
        <w:ind w:left="900" w:right="20" w:hanging="446"/>
        <w:spacing w:after="0" w:line="286"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With respect to any series of Debt Securities to be offered by the Company pursuant to the Registration Statement (the “Offered Debt Securities”), when (i) the Registration Statement (including all necessary post-effective amendments) has become effective under the Act and the Indenture has been qualified under the Trust Indenture Act; (ii) an appropriate prospectus supplement with respect to the Offered Debt Securities has been prepared, delivered and filed in compliance with the Act and the applicable rules and regulations thereunder; (iii) if the Offered Debt Securities are to be sold pursuant to a firm commitment underwritten offering, the underwriting agreement with respect to the Offered Debt Securities has been duly authorized, executed and delivered by the Company and the other parties thereto; (iv) the Board of Directors, including any appropriate committee appointed thereby, and appropriate officers of the Company have taken all necessary corporate action to approve the issuance, sale and terms of the Offered Debt Securities and related matters; (v) the Indenture and any supplemental indenture in respect of such Offered Debt Securities have been duly authorized, executed and delivered by each party thereto; (vi) the terms of the Offered Debt Securities and of their issuance and sale have been duly established in conformity with the Indenture and any supplemental indenture, officers’ certificate or board resolution to be entered into or adopted in connection with the issuance of such Offered Debt Securities so as not to violate any applicable law, the Certificate of Incorporation or By-Laws or result in a default under or breach of any agreement or instrument binding upon the Company, and so as to comply with any requirement or restriction imposed by any court or governmental body having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6,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03" w:lineRule="exact"/>
        <w:rPr>
          <w:sz w:val="20"/>
          <w:szCs w:val="20"/>
          <w:color w:val="auto"/>
        </w:rPr>
      </w:pPr>
    </w:p>
    <w:p>
      <w:pPr>
        <w:ind w:left="900" w:right="100"/>
        <w:spacing w:after="0" w:line="285" w:lineRule="auto"/>
        <w:rPr>
          <w:sz w:val="20"/>
          <w:szCs w:val="20"/>
          <w:color w:val="auto"/>
        </w:rPr>
      </w:pPr>
      <w:r>
        <w:rPr>
          <w:rFonts w:ascii="Arial" w:cs="Arial" w:eastAsia="Arial" w:hAnsi="Arial"/>
          <w:sz w:val="16"/>
          <w:szCs w:val="16"/>
          <w:color w:val="auto"/>
        </w:rPr>
        <w:t>jurisdiction over the Company; and (vii) the Offered Debt Securities have been issued in a form that complies with the Indenture and have been duly executed and authenticated in accordance with the provisions of the Indenture and any supplemental indenture, officers’ certificate or board resolution to be entered into or adopted in connection with the issuance of such Offered Debt Securities and duly delivered to the purchasers thereof upon payment of the agreed-upon consideration therefor, the Offered Debt Securities (including any Debt Securities duly issued upon conversion, exchange or exercise of any Debt Securities or Preferred Stock), when issued and sold in accordance with the Indenture and any supplemental indenture, officers’ certificate or board resolution to be entered into or adopted in connection with the issuance of such Offered Debt Securities and the applicable underwriting agreement, if any, or any other duly authorized, executed and delivered valid and binding purchase or agency agreement, will be valid and binding obligations of the Company, enforceable against the Company in accordance with their respective terms, except to the extent that enforcement thereof may be limited by (a) bankruptcy, insolvency, reorganization, fraudulent conveyance, moratorium or other similar laws now or hereafter in effect relating to creditors’ rights generally, (b) general principles of equity (regardless of whether enforceability is considered in a proceeding at law or in equity), (c) public policy considerations which may limit the rights of parties to obtain remedies, (d) waivers of any usury defense contained in the Indenture or Offered Debt Securities which may be unenforceable, (e) requirements that a claim with respect to any Offered Debt Securities denominated in a currency, currency unit or composite currency other than United States dollars (or a judgment denominated other than in United States dollars in respect of such claim) be converted into United States dollars at a rate of exchange prevailing on a date determined pursuant to applicable law, and (f) governmental authority to limit, delay or prohibit the making of payments outside the United States or in foreign currencies, currency units or composite currencies.</w:t>
      </w:r>
    </w:p>
    <w:p>
      <w:pPr>
        <w:spacing w:after="0" w:line="83" w:lineRule="exact"/>
        <w:rPr>
          <w:sz w:val="20"/>
          <w:szCs w:val="20"/>
          <w:color w:val="auto"/>
        </w:rPr>
      </w:pPr>
    </w:p>
    <w:p>
      <w:pPr>
        <w:ind w:left="900" w:hanging="446"/>
        <w:spacing w:after="0" w:line="270"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With respect to the shares of any Common Stock to be offered by the Company (the “Offered Common Stock”), when (i) the Registration Statement (including all necessary post-effective amendments) has become effective under the Act; (ii) an appropriate prospectus supplement with respect to the Offered Common Stock has been prepared, delivered and filed in compliance with the Act and the applicable rules and regulations thereunder; (iii) if the Offered Common Stock is to be sold pursuant to a firm commitment underwritten offering, the underwriting agreement with respect to the Offered Common Stock has been duly authorized, executed and delivered by the Company and the other parties thereto; (iv) the Board of Directors, including any appropriate committee appointed thereby, and appropriate officers of the Company have taken all necessary corporate action to approve the issuance of the Offered Common Stock and related matters; and (v) certificates in the form required under New York corporate law representing the shares of Offered Common Stock are duly executed, countersigned, registered and delivered upon payment of the agreed upon consideration therefor, the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3"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6,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03" w:lineRule="exact"/>
        <w:rPr>
          <w:sz w:val="20"/>
          <w:szCs w:val="20"/>
          <w:color w:val="auto"/>
        </w:rPr>
      </w:pPr>
    </w:p>
    <w:p>
      <w:pPr>
        <w:ind w:left="900" w:right="300"/>
        <w:spacing w:after="0" w:line="279" w:lineRule="auto"/>
        <w:rPr>
          <w:sz w:val="20"/>
          <w:szCs w:val="20"/>
          <w:color w:val="auto"/>
        </w:rPr>
      </w:pPr>
      <w:r>
        <w:rPr>
          <w:rFonts w:ascii="Arial" w:cs="Arial" w:eastAsia="Arial" w:hAnsi="Arial"/>
          <w:sz w:val="17"/>
          <w:szCs w:val="17"/>
          <w:color w:val="auto"/>
        </w:rPr>
        <w:t>Offered Common Stock (including any Common Stock duly issued upon conversion, exchange or exercise of any Preferred Stock, Debt Securities or Warrants), when issued and sold in accordance with the applicable underwriting agreement, if any, or any other duly authorized, executed and delivered valid and binding purchase or agency agreement, will be duly authorized, validly issued, fully paid and nonassessable, provided that the consideration therefore is not less than $0.001 per share of Common Stock.</w:t>
      </w:r>
    </w:p>
    <w:p>
      <w:pPr>
        <w:spacing w:after="0" w:line="77" w:lineRule="exact"/>
        <w:rPr>
          <w:sz w:val="20"/>
          <w:szCs w:val="20"/>
          <w:color w:val="auto"/>
        </w:rPr>
      </w:pPr>
    </w:p>
    <w:p>
      <w:pPr>
        <w:ind w:left="900" w:right="20" w:hanging="446"/>
        <w:spacing w:after="0" w:line="285"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With respect to the shares of any series of Preferred Stock to be offered by the Company (the “Offered Preferred Stock”), when (i) the Registration Statement (including all necessary post-effective amendments) has become effective under the Act; (ii) an appropriate prospectus supplement with respect to the Offered Preferred Stock has been prepared, delivered and filed in compliance with the Act and the applicable rules and regulations thereunder; (iii) if the Offered Preferred Stock is to be sold pursuant to a firm commitment underwritten offering, the underwriting agreement with respect to the Offered Preferred Stock has been duly authorized, executed and delivered by the Company and the other parties thereto; (iv) the Board of Directors, including any appropriate committee appointed thereby, and appropriate officers of the Company have taken all necessary corporate action to approve the issuance, sale and terms of the Offered Preferred Stock and related matters, including the adoption of a Certificate of Designation for the Offered Preferred Stock in accordance with the applicable provisions of the corporate laws of the State of New York (the “Certificate of Designation”); (v) the filing of the Certificate of Designation with the Secretary of State of the State of New York has duly occurred; (vi) the terms of the Offered Preferred Stock and of their issuance and sale have been duly established in conformity with the Certificate of Incorporation, including the Certificate of Designation relating to the Offered Preferred Stock, and the By-laws of the Company so as not to violate any applicable law, the Certificate of Incorporation or By-laws or result in a default under or breach of any agreement or instrument binding upon the Company and so as to comply with any requirement or restriction imposed by any court or governmental body having jurisdiction over the Company; and (vii) certificates in the form required under New York corporate law representing the shares of Offered Preferred Stock are duly executed, countersigned, registered and delivered upon payment of the agreed-upon consideration therefor, the shares of the Offered Preferred Stock (including any Preferred Stock duly issued upon conversion, exchange or exercise of any Preferred Stock, Debt Securities or Warrants), when issued and sold in accordance with the applicable underwriting agreement, if any, or any other duly authorized, executed and delivered valid and binding purchase or agency agreement, will be duly authorized, validly issued, fully paid and nonassessable, provided that the consideration therefore is not less than $0.01 per share of Preferred Stock.</w:t>
      </w:r>
    </w:p>
    <w:p>
      <w:pPr>
        <w:spacing w:after="0" w:line="75"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With respect to any Warrants to be offered by the Company (the “Offered Warrants”), when (i) the Registration Statement (including all necessary post-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3"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6,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03" w:lineRule="exact"/>
        <w:rPr>
          <w:sz w:val="20"/>
          <w:szCs w:val="20"/>
          <w:color w:val="auto"/>
        </w:rPr>
      </w:pPr>
    </w:p>
    <w:p>
      <w:pPr>
        <w:ind w:left="900"/>
        <w:spacing w:after="0" w:line="285" w:lineRule="auto"/>
        <w:rPr>
          <w:sz w:val="20"/>
          <w:szCs w:val="20"/>
          <w:color w:val="auto"/>
        </w:rPr>
      </w:pPr>
      <w:r>
        <w:rPr>
          <w:rFonts w:ascii="Arial" w:cs="Arial" w:eastAsia="Arial" w:hAnsi="Arial"/>
          <w:sz w:val="16"/>
          <w:szCs w:val="16"/>
          <w:color w:val="auto"/>
        </w:rPr>
        <w:t>effective amendments) has become effective under the Act; (ii) an appropriate prospectus supplement with respect to the Offered Warrants has been prepared, delivered and filed in compliance with the Act and the applicable rules and regulations thereunder; (iii) if the Offered Warrants are to be sold pursuant to a firm commitment underwritten offering, the underwriting agreement with respect to the Offered Warrants has been duly authorized, executed and delivered by the Company and the other parties thereto; (iv) the Board of Directors of the Company, including any appropriate committee appointed thereby, and appropriate officers of the Company have taken all necessary corporate action to approve the issuance and terms of the Offered Warrants and the Offered Securities of the Company into which the Offered Warrants are exercisable, the consideration to be received therefor and related matters; (v) a Warrant Agreement relating to the Offered Warrants has been duly authorized, executed and delivered by the Company and the other parties thereto; (vi) the terms of the Offered Warrants and of their issuance and sale have been duly established in conformity with the applicable Warrant Agreement so as not to violate any applicable law, the Certificate of Incorporation or By-laws or result in a default under or breach of any agreement or instrument binding upon the Company, and so as to comply with any requirement or restriction imposed by any court or governmental body having jurisdiction over the Company and the applicable Warrant Agent; and (vii) the Offered Warrants have been duly executed, delivered and countersigned in accordance with the provisions of the applicable Warrant Agreement and duly issued and sold in the applicable form to be filed as an exhibit to the Registration Statement or any amendment thereto and in the manner contemplated in the Registration Statement or any prospectus supplement relating thereto, the Offered Warrants, when issued and sold in accordance with the applicable Warrant Agreement and the applicable underwriting agreement or any other duly authorized, executed and delivered valid and binding purchase or agency agreement, will be duly authorized and validly issued and will constitute valid and binding obligations of the Company, enforceable against the Company in accordance with their respective terms, except to the extent that enforcement thereof may be limited by (a) bankruptcy, insolvency, reorganization, fraudulent conveyance, moratorium or other similar laws now or hereafter in effect relating to creditors’ rights generally, (b) general principles of equity (regardless of whether enforceability is considered in a proceeding at law or in equity) and (c) public policy considerations which may limit the rights of parties to obtain remedies.</w:t>
      </w:r>
    </w:p>
    <w:p>
      <w:pPr>
        <w:spacing w:after="0" w:line="60" w:lineRule="exact"/>
        <w:rPr>
          <w:sz w:val="20"/>
          <w:szCs w:val="20"/>
          <w:color w:val="auto"/>
        </w:rPr>
      </w:pPr>
    </w:p>
    <w:p>
      <w:pPr>
        <w:jc w:val="both"/>
        <w:ind w:right="140" w:firstLine="222"/>
        <w:spacing w:after="0" w:line="279" w:lineRule="auto"/>
        <w:rPr>
          <w:sz w:val="20"/>
          <w:szCs w:val="20"/>
          <w:color w:val="auto"/>
        </w:rPr>
      </w:pPr>
      <w:r>
        <w:rPr>
          <w:rFonts w:ascii="Arial" w:cs="Arial" w:eastAsia="Arial" w:hAnsi="Arial"/>
          <w:sz w:val="17"/>
          <w:szCs w:val="17"/>
          <w:color w:val="auto"/>
        </w:rPr>
        <w:t>We hereby consent to the filing of this opinion with the Commission as an exhibit to the Registration Statement. We also hereby consent to the use of our name under the heading “Legal Matters” in the prospectus which forms a part of the Registration Statement. In giving this consent, we do not thereby admit that we are within the category of persons whose consent is required under Section 7 of the Act or the rules and regulations of the Commission promulgated thereunder. This opinion is expressed as of the date hereof unless otherwise expressly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3" w:right="25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6,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we disclaim any undertaking to advise you of any subsequent changes in the facts stated or assumed herein or of any subsequent changes in applicable laws.</w:t>
      </w:r>
    </w:p>
    <w:p>
      <w:pPr>
        <w:spacing w:after="0" w:line="6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Skadden, Arps, Slate, Meagher &amp; Flom LLP</w:t>
      </w:r>
    </w:p>
    <w:p>
      <w:pPr>
        <w:sectPr>
          <w:pgSz w:w="11900" w:h="16838" w:orient="portrait"/>
          <w:cols w:equalWidth="0" w:num="1">
            <w:col w:w="11140"/>
          </w:cols>
          <w:pgMar w:left="240" w:top="935" w:right="51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12.1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60" w:type="dxa"/>
            <w:vAlign w:val="bottom"/>
            <w:gridSpan w:val="3"/>
          </w:tcPr>
          <w:p>
            <w:pPr>
              <w:jc w:val="center"/>
              <w:ind w:right="360"/>
              <w:spacing w:after="0"/>
              <w:rPr>
                <w:sz w:val="20"/>
                <w:szCs w:val="20"/>
                <w:color w:val="auto"/>
              </w:rPr>
            </w:pPr>
            <w:r>
              <w:rPr>
                <w:rFonts w:ascii="Arial" w:cs="Arial" w:eastAsia="Arial" w:hAnsi="Arial"/>
                <w:sz w:val="14"/>
                <w:szCs w:val="14"/>
                <w:color w:val="auto"/>
                <w:w w:val="95"/>
              </w:rPr>
              <w:t>Six Months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620"/>
              <w:spacing w:after="0"/>
              <w:rPr>
                <w:sz w:val="20"/>
                <w:szCs w:val="20"/>
                <w:color w:val="auto"/>
              </w:rPr>
            </w:pPr>
            <w:r>
              <w:rPr>
                <w:rFonts w:ascii="Arial" w:cs="Arial" w:eastAsia="Arial" w:hAnsi="Arial"/>
                <w:sz w:val="14"/>
                <w:szCs w:val="14"/>
                <w:color w:val="auto"/>
                <w:w w:val="88"/>
              </w:rPr>
              <w:t>Ended</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20" w:type="dxa"/>
            <w:vAlign w:val="bottom"/>
            <w:gridSpan w:val="4"/>
            <w:vMerge w:val="restart"/>
          </w:tcPr>
          <w:p>
            <w:pPr>
              <w:ind w:left="280"/>
              <w:spacing w:after="0"/>
              <w:rPr>
                <w:sz w:val="20"/>
                <w:szCs w:val="20"/>
                <w:color w:val="auto"/>
              </w:rPr>
            </w:pPr>
            <w:r>
              <w:rPr>
                <w:rFonts w:ascii="Arial" w:cs="Arial" w:eastAsia="Arial" w:hAnsi="Arial"/>
                <w:sz w:val="14"/>
                <w:szCs w:val="14"/>
                <w:color w:val="auto"/>
                <w:w w:val="97"/>
              </w:rPr>
              <w:t>Year Ended December 31,</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center"/>
              <w:ind w:right="620"/>
              <w:spacing w:after="0" w:line="154" w:lineRule="exact"/>
              <w:rPr>
                <w:sz w:val="20"/>
                <w:szCs w:val="20"/>
                <w:color w:val="auto"/>
              </w:rPr>
            </w:pPr>
            <w:r>
              <w:rPr>
                <w:rFonts w:ascii="Arial" w:cs="Arial" w:eastAsia="Arial" w:hAnsi="Arial"/>
                <w:sz w:val="14"/>
                <w:szCs w:val="14"/>
                <w:color w:val="auto"/>
                <w:w w:val="89"/>
              </w:rPr>
              <w:t>June 30,</w:t>
            </w: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4"/>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center"/>
              <w:ind w:right="174"/>
              <w:spacing w:after="0" w:line="142" w:lineRule="exact"/>
              <w:rPr>
                <w:sz w:val="20"/>
                <w:szCs w:val="20"/>
                <w:color w:val="auto"/>
              </w:rPr>
            </w:pPr>
            <w:r>
              <w:rPr>
                <w:rFonts w:ascii="Arial" w:cs="Arial" w:eastAsia="Arial" w:hAnsi="Arial"/>
                <w:sz w:val="14"/>
                <w:szCs w:val="14"/>
                <w:color w:val="auto"/>
                <w:w w:val="89"/>
              </w:rPr>
              <w:t>2010</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12"/>
              <w:spacing w:after="0" w:line="142" w:lineRule="exact"/>
              <w:rPr>
                <w:sz w:val="20"/>
                <w:szCs w:val="20"/>
                <w:color w:val="auto"/>
              </w:rPr>
            </w:pPr>
            <w:r>
              <w:rPr>
                <w:rFonts w:ascii="Arial" w:cs="Arial" w:eastAsia="Arial" w:hAnsi="Arial"/>
                <w:sz w:val="14"/>
                <w:szCs w:val="14"/>
                <w:color w:val="auto"/>
              </w:rPr>
              <w:t>2009</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192"/>
              <w:spacing w:after="0" w:line="142" w:lineRule="exact"/>
              <w:rPr>
                <w:sz w:val="20"/>
                <w:szCs w:val="20"/>
                <w:color w:val="auto"/>
              </w:rPr>
            </w:pPr>
            <w:r>
              <w:rPr>
                <w:rFonts w:ascii="Arial" w:cs="Arial" w:eastAsia="Arial" w:hAnsi="Arial"/>
                <w:sz w:val="14"/>
                <w:szCs w:val="14"/>
                <w:color w:val="auto"/>
              </w:rPr>
              <w:t>2008 (B)</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352"/>
              <w:spacing w:after="0" w:line="142" w:lineRule="exact"/>
              <w:rPr>
                <w:sz w:val="20"/>
                <w:szCs w:val="20"/>
                <w:color w:val="auto"/>
              </w:rPr>
            </w:pPr>
            <w:r>
              <w:rPr>
                <w:rFonts w:ascii="Arial" w:cs="Arial" w:eastAsia="Arial" w:hAnsi="Arial"/>
                <w:sz w:val="14"/>
                <w:szCs w:val="14"/>
                <w:color w:val="auto"/>
              </w:rPr>
              <w:t>2007</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372"/>
              <w:spacing w:after="0" w:line="142" w:lineRule="exact"/>
              <w:rPr>
                <w:sz w:val="20"/>
                <w:szCs w:val="20"/>
                <w:color w:val="auto"/>
              </w:rPr>
            </w:pPr>
            <w:r>
              <w:rPr>
                <w:rFonts w:ascii="Arial" w:cs="Arial" w:eastAsia="Arial" w:hAnsi="Arial"/>
                <w:sz w:val="14"/>
                <w:szCs w:val="14"/>
                <w:color w:val="auto"/>
              </w:rPr>
              <w:t>2006</w:t>
            </w:r>
          </w:p>
        </w:tc>
        <w:tc>
          <w:tcPr>
            <w:tcW w:w="1480" w:type="dxa"/>
            <w:vAlign w:val="bottom"/>
            <w:gridSpan w:val="2"/>
          </w:tcPr>
          <w:p>
            <w:pPr>
              <w:jc w:val="right"/>
              <w:ind w:right="310"/>
              <w:spacing w:after="0" w:line="142" w:lineRule="exact"/>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tcPr>
          <w:p>
            <w:pPr>
              <w:ind w:left="200"/>
              <w:spacing w:after="0" w:line="201" w:lineRule="exact"/>
              <w:rPr>
                <w:sz w:val="20"/>
                <w:szCs w:val="20"/>
                <w:color w:val="auto"/>
              </w:rPr>
            </w:pPr>
            <w:r>
              <w:rPr>
                <w:rFonts w:ascii="Arial" w:cs="Arial" w:eastAsia="Arial" w:hAnsi="Arial"/>
                <w:sz w:val="18"/>
                <w:szCs w:val="18"/>
                <w:color w:val="auto"/>
              </w:rPr>
              <w:t>Pretax income (loss) from</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40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400"/>
              <w:spacing w:after="0"/>
              <w:rPr>
                <w:sz w:val="20"/>
                <w:szCs w:val="20"/>
                <w:color w:val="auto"/>
              </w:rPr>
            </w:pPr>
            <w:r>
              <w:rPr>
                <w:rFonts w:ascii="Arial" w:cs="Arial" w:eastAsia="Arial" w:hAnsi="Arial"/>
                <w:sz w:val="18"/>
                <w:szCs w:val="18"/>
                <w:color w:val="auto"/>
              </w:rPr>
              <w:t>before income (loss) from</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ind w:left="400"/>
              <w:spacing w:after="0"/>
              <w:rPr>
                <w:sz w:val="20"/>
                <w:szCs w:val="20"/>
                <w:color w:val="auto"/>
              </w:rPr>
            </w:pPr>
            <w:r>
              <w:rPr>
                <w:rFonts w:ascii="Arial" w:cs="Arial" w:eastAsia="Arial" w:hAnsi="Arial"/>
                <w:sz w:val="18"/>
                <w:szCs w:val="18"/>
                <w:color w:val="auto"/>
              </w:rPr>
              <w:t>equity investee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4"/>
              <w:spacing w:after="0"/>
              <w:rPr>
                <w:sz w:val="20"/>
                <w:szCs w:val="20"/>
                <w:color w:val="auto"/>
              </w:rPr>
            </w:pPr>
            <w:r>
              <w:rPr>
                <w:rFonts w:ascii="Arial" w:cs="Arial" w:eastAsia="Arial" w:hAnsi="Arial"/>
                <w:sz w:val="18"/>
                <w:szCs w:val="18"/>
                <w:color w:val="auto"/>
                <w:w w:val="89"/>
              </w:rPr>
              <w:t>(55,996)</w:t>
            </w:r>
          </w:p>
        </w:tc>
        <w:tc>
          <w:tcPr>
            <w:tcW w:w="3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w w:val="89"/>
              </w:rPr>
              <w:t>(71,952)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w w:val="89"/>
              </w:rPr>
              <w:t>(76,778)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w w:val="88"/>
              </w:rPr>
              <w:t>(106,519)</w:t>
            </w:r>
          </w:p>
        </w:tc>
        <w:tc>
          <w:tcPr>
            <w:tcW w:w="3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w w:val="88"/>
              </w:rPr>
              <w:t>(103,150)</w:t>
            </w: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$(95,456)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8,517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5,558</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8"/>
              </w:rPr>
              <w:t>10,067</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14,014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13,643</w:t>
            </w:r>
          </w:p>
        </w:tc>
        <w:tc>
          <w:tcPr>
            <w:tcW w:w="14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13,687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capitalized</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ind w:left="400"/>
              <w:spacing w:after="0"/>
              <w:rPr>
                <w:sz w:val="20"/>
                <w:szCs w:val="20"/>
                <w:color w:val="auto"/>
              </w:rPr>
            </w:pPr>
            <w:r>
              <w:rPr>
                <w:rFonts w:ascii="Arial" w:cs="Arial" w:eastAsia="Arial" w:hAnsi="Arial"/>
                <w:sz w:val="18"/>
                <w:szCs w:val="18"/>
                <w:color w:val="auto"/>
              </w:rPr>
              <w:t>interest</w:t>
            </w:r>
          </w:p>
        </w:tc>
        <w:tc>
          <w:tcPr>
            <w:tcW w:w="240" w:type="dxa"/>
            <w:vAlign w:val="bottom"/>
          </w:tcPr>
          <w:p>
            <w:pPr>
              <w:spacing w:after="0"/>
              <w:rPr>
                <w:sz w:val="20"/>
                <w:szCs w:val="20"/>
                <w:color w:val="auto"/>
              </w:rPr>
            </w:pPr>
          </w:p>
        </w:tc>
        <w:tc>
          <w:tcPr>
            <w:tcW w:w="860" w:type="dxa"/>
            <w:vAlign w:val="bottom"/>
          </w:tcPr>
          <w:p>
            <w:pPr>
              <w:jc w:val="right"/>
              <w:ind w:right="214"/>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92"/>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92"/>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73</w:t>
            </w:r>
          </w:p>
        </w:tc>
        <w:tc>
          <w:tcPr>
            <w:tcW w:w="1480" w:type="dxa"/>
            <w:vAlign w:val="bottom"/>
            <w:gridSpan w:val="2"/>
          </w:tcPr>
          <w:p>
            <w:pPr>
              <w:jc w:val="right"/>
              <w:ind w:right="2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capitalized</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(2,836)</w:t>
            </w:r>
          </w:p>
        </w:tc>
        <w:tc>
          <w:tcPr>
            <w:tcW w:w="3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(516)</w:t>
            </w:r>
          </w:p>
        </w:tc>
        <w:tc>
          <w:tcPr>
            <w:tcW w:w="3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9"/>
        </w:trPr>
        <w:tc>
          <w:tcPr>
            <w:tcW w:w="2820" w:type="dxa"/>
            <w:vAlign w:val="bottom"/>
            <w:gridSpan w:val="2"/>
          </w:tcPr>
          <w:p>
            <w:pPr>
              <w:spacing w:after="0"/>
              <w:rPr>
                <w:sz w:val="20"/>
                <w:szCs w:val="20"/>
                <w:color w:val="auto"/>
              </w:rPr>
            </w:pPr>
            <w:r>
              <w:rPr>
                <w:rFonts w:ascii="Arial" w:cs="Arial" w:eastAsia="Arial" w:hAnsi="Arial"/>
                <w:sz w:val="18"/>
                <w:szCs w:val="18"/>
                <w:color w:val="auto"/>
              </w:rPr>
              <w:t>Adjusted earnings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89"/>
              </w:rPr>
              <w:t>(50,305)</w:t>
            </w: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9"/>
              </w:rPr>
              <w:t>(66,890)</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9"/>
              </w:rPr>
              <w:t>(66,691)</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(92,482)</w:t>
            </w: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(89,434)</w:t>
            </w:r>
          </w:p>
        </w:tc>
        <w:tc>
          <w:tcPr>
            <w:tcW w:w="14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$(81,691)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4"/>
              <w:spacing w:after="0"/>
              <w:rPr>
                <w:sz w:val="20"/>
                <w:szCs w:val="20"/>
                <w:color w:val="auto"/>
              </w:rPr>
            </w:pPr>
            <w:r>
              <w:rPr>
                <w:rFonts w:ascii="Arial" w:cs="Arial" w:eastAsia="Arial" w:hAnsi="Arial"/>
                <w:sz w:val="18"/>
                <w:szCs w:val="18"/>
                <w:color w:val="auto"/>
              </w:rPr>
              <w:t>4,426</w:t>
            </w:r>
          </w:p>
        </w:tc>
        <w:tc>
          <w:tcPr>
            <w:tcW w:w="3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2"/>
              <w:spacing w:after="0"/>
              <w:rPr>
                <w:sz w:val="20"/>
                <w:szCs w:val="20"/>
                <w:color w:val="auto"/>
              </w:rPr>
            </w:pPr>
            <w:r>
              <w:rPr>
                <w:rFonts w:ascii="Arial" w:cs="Arial" w:eastAsia="Arial" w:hAnsi="Arial"/>
                <w:sz w:val="18"/>
                <w:szCs w:val="18"/>
                <w:color w:val="auto"/>
              </w:rPr>
              <w:t>2,337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2"/>
              <w:spacing w:after="0"/>
              <w:rPr>
                <w:sz w:val="20"/>
                <w:szCs w:val="20"/>
                <w:color w:val="auto"/>
              </w:rPr>
            </w:pPr>
            <w:r>
              <w:rPr>
                <w:rFonts w:ascii="Arial" w:cs="Arial" w:eastAsia="Arial" w:hAnsi="Arial"/>
                <w:sz w:val="18"/>
                <w:szCs w:val="18"/>
                <w:color w:val="auto"/>
              </w:rPr>
              <w:t>7,752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12,043</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12,043</w:t>
            </w:r>
          </w:p>
        </w:tc>
        <w:tc>
          <w:tcPr>
            <w:tcW w:w="1480" w:type="dxa"/>
            <w:vAlign w:val="bottom"/>
            <w:gridSpan w:val="2"/>
          </w:tcPr>
          <w:p>
            <w:pPr>
              <w:jc w:val="right"/>
              <w:ind w:right="210"/>
              <w:spacing w:after="0"/>
              <w:rPr>
                <w:sz w:val="20"/>
                <w:szCs w:val="20"/>
                <w:color w:val="auto"/>
              </w:rPr>
            </w:pPr>
            <w:r>
              <w:rPr>
                <w:rFonts w:ascii="Arial" w:cs="Arial" w:eastAsia="Arial" w:hAnsi="Arial"/>
                <w:sz w:val="18"/>
                <w:szCs w:val="18"/>
                <w:color w:val="auto"/>
              </w:rPr>
              <w:t>$ 12,046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capitalized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2,836</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516</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tcPr>
          <w:p>
            <w:pPr>
              <w:ind w:left="200"/>
              <w:spacing w:after="0" w:line="201" w:lineRule="exact"/>
              <w:rPr>
                <w:sz w:val="20"/>
                <w:szCs w:val="20"/>
                <w:color w:val="auto"/>
              </w:rPr>
            </w:pPr>
            <w:r>
              <w:rPr>
                <w:rFonts w:ascii="Arial" w:cs="Arial" w:eastAsia="Arial" w:hAnsi="Arial"/>
                <w:sz w:val="18"/>
                <w:szCs w:val="18"/>
                <w:color w:val="auto"/>
              </w:rPr>
              <w:t>Assumed interest component</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ind w:left="400"/>
              <w:spacing w:after="0"/>
              <w:rPr>
                <w:sz w:val="20"/>
                <w:szCs w:val="20"/>
                <w:color w:val="auto"/>
              </w:rPr>
            </w:pPr>
            <w:r>
              <w:rPr>
                <w:rFonts w:ascii="Arial" w:cs="Arial" w:eastAsia="Arial" w:hAnsi="Arial"/>
                <w:sz w:val="18"/>
                <w:szCs w:val="18"/>
                <w:color w:val="auto"/>
              </w:rPr>
              <w:t>of rental charges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1,255</w:t>
            </w: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2,705</w:t>
            </w: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2,315</w:t>
            </w: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1,971</w:t>
            </w: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1,600</w:t>
            </w:r>
          </w:p>
        </w:tc>
        <w:tc>
          <w:tcPr>
            <w:tcW w:w="14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8,517</w:t>
            </w:r>
          </w:p>
        </w:tc>
        <w:tc>
          <w:tcPr>
            <w:tcW w:w="3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5,558</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8"/>
              </w:rPr>
              <w:t>10,067</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14,014</w:t>
            </w:r>
          </w:p>
        </w:tc>
        <w:tc>
          <w:tcPr>
            <w:tcW w:w="3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13,643</w:t>
            </w:r>
          </w:p>
        </w:tc>
        <w:tc>
          <w:tcPr>
            <w:tcW w:w="148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$ 13,687</w:t>
            </w:r>
          </w:p>
        </w:tc>
        <w:tc>
          <w:tcPr>
            <w:tcW w:w="0" w:type="dxa"/>
            <w:vAlign w:val="bottom"/>
          </w:tcPr>
          <w:p>
            <w:pPr>
              <w:spacing w:after="0"/>
              <w:rPr>
                <w:sz w:val="1"/>
                <w:szCs w:val="1"/>
                <w:color w:val="auto"/>
              </w:rPr>
            </w:pPr>
          </w:p>
        </w:tc>
      </w:tr>
      <w:tr>
        <w:trPr>
          <w:trHeight w:val="20"/>
        </w:trPr>
        <w:tc>
          <w:tcPr>
            <w:tcW w:w="282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82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240" w:type="dxa"/>
            <w:vAlign w:val="bottom"/>
          </w:tcPr>
          <w:p>
            <w:pPr>
              <w:spacing w:after="0"/>
              <w:rPr>
                <w:sz w:val="24"/>
                <w:szCs w:val="24"/>
                <w:color w:val="auto"/>
              </w:rPr>
            </w:pPr>
          </w:p>
        </w:tc>
        <w:tc>
          <w:tcPr>
            <w:tcW w:w="1220" w:type="dxa"/>
            <w:vAlign w:val="bottom"/>
            <w:gridSpan w:val="2"/>
          </w:tcPr>
          <w:p>
            <w:pPr>
              <w:ind w:left="500"/>
              <w:spacing w:after="0"/>
              <w:rPr>
                <w:sz w:val="20"/>
                <w:szCs w:val="20"/>
                <w:color w:val="auto"/>
              </w:rPr>
            </w:pPr>
            <w:r>
              <w:rPr>
                <w:rFonts w:ascii="Arial" w:cs="Arial" w:eastAsia="Arial" w:hAnsi="Arial"/>
                <w:sz w:val="18"/>
                <w:szCs w:val="18"/>
                <w:color w:val="auto"/>
              </w:rPr>
              <w:t>(A)</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(A)</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(A)</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(A)</w:t>
            </w:r>
          </w:p>
        </w:tc>
        <w:tc>
          <w:tcPr>
            <w:tcW w:w="26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(A)</w:t>
            </w:r>
          </w:p>
        </w:tc>
        <w:tc>
          <w:tcPr>
            <w:tcW w:w="38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jc w:val="both"/>
        <w:ind w:left="460" w:right="20" w:hanging="452"/>
        <w:spacing w:after="0" w:line="325"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Due to the registrant’s losses for the six months ended June 30, 2010 and for the years ended December 31, 2009, 2008, 2007, 2006, and 2005, the ratio coverage was less than 1:1. To achieve a coverage ratio of 1:1, the registrant must generate additional earnings of the amounts shown in the table below.</w:t>
      </w:r>
    </w:p>
    <w:p>
      <w:pPr>
        <w:spacing w:after="0" w:line="1" w:lineRule="exact"/>
        <w:rPr>
          <w:rFonts w:ascii="Arial" w:cs="Arial" w:eastAsia="Arial" w:hAnsi="Arial"/>
          <w:sz w:val="16"/>
          <w:szCs w:val="16"/>
          <w:color w:val="auto"/>
        </w:rPr>
      </w:pPr>
    </w:p>
    <w:p>
      <w:pPr>
        <w:ind w:left="460" w:right="260" w:hanging="452"/>
        <w:spacing w:after="0" w:line="277"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During the year ended December 31, 2008, the registrant repurchased $82.5 million and repaid the remaining $117.5 million of its convertible senior subordinate notes. As of December 31, 2008, the registrant therefore did not have any registered debt outstanding.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Six Months</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Ended</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60" w:type="dxa"/>
            <w:vAlign w:val="bottom"/>
            <w:gridSpan w:val="3"/>
            <w:vMerge w:val="restart"/>
          </w:tcPr>
          <w:p>
            <w:pPr>
              <w:ind w:left="260"/>
              <w:spacing w:after="0"/>
              <w:rPr>
                <w:sz w:val="20"/>
                <w:szCs w:val="20"/>
                <w:color w:val="auto"/>
              </w:rPr>
            </w:pPr>
            <w:r>
              <w:rPr>
                <w:rFonts w:ascii="Arial" w:cs="Arial" w:eastAsia="Arial" w:hAnsi="Arial"/>
                <w:sz w:val="14"/>
                <w:szCs w:val="14"/>
                <w:color w:val="auto"/>
              </w:rPr>
              <w:t>Year Ended December 31,</w:t>
            </w: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880" w:type="dxa"/>
            <w:vAlign w:val="bottom"/>
          </w:tcPr>
          <w:p>
            <w:pPr>
              <w:spacing w:after="0"/>
              <w:rPr>
                <w:sz w:val="13"/>
                <w:szCs w:val="13"/>
                <w:color w:val="auto"/>
              </w:rPr>
            </w:pPr>
          </w:p>
        </w:tc>
        <w:tc>
          <w:tcPr>
            <w:tcW w:w="1540" w:type="dxa"/>
            <w:vAlign w:val="bottom"/>
            <w:gridSpan w:val="2"/>
          </w:tcPr>
          <w:p>
            <w:pPr>
              <w:jc w:val="center"/>
              <w:ind w:right="420"/>
              <w:spacing w:after="0" w:line="154" w:lineRule="exact"/>
              <w:rPr>
                <w:sz w:val="20"/>
                <w:szCs w:val="20"/>
                <w:color w:val="auto"/>
              </w:rPr>
            </w:pPr>
            <w:r>
              <w:rPr>
                <w:rFonts w:ascii="Arial" w:cs="Arial" w:eastAsia="Arial" w:hAnsi="Arial"/>
                <w:sz w:val="14"/>
                <w:szCs w:val="14"/>
                <w:color w:val="auto"/>
                <w:w w:val="89"/>
              </w:rPr>
              <w:t>June 30,</w:t>
            </w:r>
          </w:p>
        </w:tc>
        <w:tc>
          <w:tcPr>
            <w:tcW w:w="10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vMerge w:val="continue"/>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80" w:type="dxa"/>
            <w:vAlign w:val="bottom"/>
            <w:vMerge w:val="restart"/>
          </w:tcPr>
          <w:p>
            <w:pPr>
              <w:spacing w:after="0"/>
              <w:rPr>
                <w:sz w:val="20"/>
                <w:szCs w:val="20"/>
                <w:color w:val="auto"/>
              </w:rPr>
            </w:pPr>
            <w:r>
              <w:rPr>
                <w:rFonts w:ascii="Arial" w:cs="Arial" w:eastAsia="Arial" w:hAnsi="Arial"/>
                <w:sz w:val="18"/>
                <w:szCs w:val="18"/>
                <w:color w:val="auto"/>
              </w:rPr>
              <w:t>Coverage deficiency</w:t>
            </w:r>
          </w:p>
        </w:tc>
        <w:tc>
          <w:tcPr>
            <w:tcW w:w="1140" w:type="dxa"/>
            <w:vAlign w:val="bottom"/>
          </w:tcPr>
          <w:p>
            <w:pPr>
              <w:jc w:val="center"/>
              <w:spacing w:after="0" w:line="142" w:lineRule="exact"/>
              <w:rPr>
                <w:sz w:val="20"/>
                <w:szCs w:val="20"/>
                <w:color w:val="auto"/>
              </w:rPr>
            </w:pPr>
            <w:r>
              <w:rPr>
                <w:rFonts w:ascii="Arial" w:cs="Arial" w:eastAsia="Arial" w:hAnsi="Arial"/>
                <w:sz w:val="14"/>
                <w:szCs w:val="14"/>
                <w:color w:val="auto"/>
                <w:w w:val="89"/>
              </w:rPr>
              <w:t>2010</w:t>
            </w:r>
          </w:p>
        </w:tc>
        <w:tc>
          <w:tcPr>
            <w:tcW w:w="400" w:type="dxa"/>
            <w:vAlign w:val="bottom"/>
          </w:tcPr>
          <w:p>
            <w:pPr>
              <w:spacing w:after="0"/>
              <w:rPr>
                <w:sz w:val="12"/>
                <w:szCs w:val="12"/>
                <w:color w:val="auto"/>
              </w:rPr>
            </w:pPr>
          </w:p>
        </w:tc>
        <w:tc>
          <w:tcPr>
            <w:tcW w:w="1040" w:type="dxa"/>
            <w:vAlign w:val="bottom"/>
          </w:tcPr>
          <w:p>
            <w:pPr>
              <w:jc w:val="right"/>
              <w:ind w:right="299"/>
              <w:spacing w:after="0" w:line="142" w:lineRule="exact"/>
              <w:rPr>
                <w:sz w:val="20"/>
                <w:szCs w:val="20"/>
                <w:color w:val="auto"/>
              </w:rPr>
            </w:pPr>
            <w:r>
              <w:rPr>
                <w:rFonts w:ascii="Arial" w:cs="Arial" w:eastAsia="Arial" w:hAnsi="Arial"/>
                <w:sz w:val="14"/>
                <w:szCs w:val="14"/>
                <w:color w:val="auto"/>
              </w:rPr>
              <w:t>2009</w:t>
            </w:r>
          </w:p>
        </w:tc>
        <w:tc>
          <w:tcPr>
            <w:tcW w:w="400" w:type="dxa"/>
            <w:vAlign w:val="bottom"/>
          </w:tcPr>
          <w:p>
            <w:pPr>
              <w:spacing w:after="0"/>
              <w:rPr>
                <w:sz w:val="12"/>
                <w:szCs w:val="12"/>
                <w:color w:val="auto"/>
              </w:rPr>
            </w:pPr>
          </w:p>
        </w:tc>
        <w:tc>
          <w:tcPr>
            <w:tcW w:w="1040" w:type="dxa"/>
            <w:vAlign w:val="bottom"/>
          </w:tcPr>
          <w:p>
            <w:pPr>
              <w:jc w:val="right"/>
              <w:ind w:right="179"/>
              <w:spacing w:after="0" w:line="142" w:lineRule="exact"/>
              <w:rPr>
                <w:sz w:val="20"/>
                <w:szCs w:val="20"/>
                <w:color w:val="auto"/>
              </w:rPr>
            </w:pPr>
            <w:r>
              <w:rPr>
                <w:rFonts w:ascii="Arial" w:cs="Arial" w:eastAsia="Arial" w:hAnsi="Arial"/>
                <w:sz w:val="14"/>
                <w:szCs w:val="14"/>
                <w:color w:val="auto"/>
              </w:rPr>
              <w:t>2008 (B)</w:t>
            </w:r>
          </w:p>
        </w:tc>
        <w:tc>
          <w:tcPr>
            <w:tcW w:w="1540" w:type="dxa"/>
            <w:vAlign w:val="bottom"/>
            <w:gridSpan w:val="2"/>
          </w:tcPr>
          <w:p>
            <w:pPr>
              <w:jc w:val="right"/>
              <w:ind w:right="330"/>
              <w:spacing w:after="0" w:line="142" w:lineRule="exact"/>
              <w:rPr>
                <w:sz w:val="20"/>
                <w:szCs w:val="20"/>
                <w:color w:val="auto"/>
              </w:rPr>
            </w:pPr>
            <w:r>
              <w:rPr>
                <w:rFonts w:ascii="Arial" w:cs="Arial" w:eastAsia="Arial" w:hAnsi="Arial"/>
                <w:sz w:val="14"/>
                <w:szCs w:val="14"/>
                <w:color w:val="auto"/>
              </w:rPr>
              <w:t>2007</w:t>
            </w:r>
          </w:p>
        </w:tc>
        <w:tc>
          <w:tcPr>
            <w:tcW w:w="420" w:type="dxa"/>
            <w:vAlign w:val="bottom"/>
          </w:tcPr>
          <w:p>
            <w:pPr>
              <w:spacing w:after="0"/>
              <w:rPr>
                <w:sz w:val="12"/>
                <w:szCs w:val="12"/>
                <w:color w:val="auto"/>
              </w:rPr>
            </w:pPr>
          </w:p>
        </w:tc>
        <w:tc>
          <w:tcPr>
            <w:tcW w:w="1120" w:type="dxa"/>
            <w:vAlign w:val="bottom"/>
          </w:tcPr>
          <w:p>
            <w:pPr>
              <w:jc w:val="right"/>
              <w:ind w:right="339"/>
              <w:spacing w:after="0" w:line="142" w:lineRule="exact"/>
              <w:rPr>
                <w:sz w:val="20"/>
                <w:szCs w:val="20"/>
                <w:color w:val="auto"/>
              </w:rPr>
            </w:pPr>
            <w:r>
              <w:rPr>
                <w:rFonts w:ascii="Arial" w:cs="Arial" w:eastAsia="Arial" w:hAnsi="Arial"/>
                <w:sz w:val="14"/>
                <w:szCs w:val="14"/>
                <w:color w:val="auto"/>
              </w:rPr>
              <w:t>2006</w:t>
            </w:r>
          </w:p>
        </w:tc>
        <w:tc>
          <w:tcPr>
            <w:tcW w:w="1440" w:type="dxa"/>
            <w:vAlign w:val="bottom"/>
            <w:gridSpan w:val="2"/>
          </w:tcPr>
          <w:p>
            <w:pPr>
              <w:jc w:val="right"/>
              <w:ind w:right="270"/>
              <w:spacing w:after="0" w:line="142" w:lineRule="exact"/>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224"/>
        </w:trPr>
        <w:tc>
          <w:tcPr>
            <w:tcW w:w="2880" w:type="dxa"/>
            <w:vAlign w:val="bottom"/>
            <w:vMerge w:val="continue"/>
          </w:tcPr>
          <w:p>
            <w:pPr>
              <w:spacing w:after="0"/>
              <w:rPr>
                <w:sz w:val="19"/>
                <w:szCs w:val="19"/>
                <w:color w:val="auto"/>
              </w:rPr>
            </w:pPr>
          </w:p>
        </w:tc>
        <w:tc>
          <w:tcPr>
            <w:tcW w:w="1140" w:type="dxa"/>
            <w:vAlign w:val="bottom"/>
            <w:tcBorders>
              <w:top w:val="single" w:sz="8" w:color="auto"/>
            </w:tcBorders>
          </w:tcPr>
          <w:p>
            <w:pPr>
              <w:jc w:val="right"/>
              <w:ind w:right="244"/>
              <w:spacing w:after="0"/>
              <w:rPr>
                <w:sz w:val="20"/>
                <w:szCs w:val="20"/>
                <w:color w:val="auto"/>
              </w:rPr>
            </w:pPr>
            <w:r>
              <w:rPr>
                <w:rFonts w:ascii="Arial" w:cs="Arial" w:eastAsia="Arial" w:hAnsi="Arial"/>
                <w:sz w:val="18"/>
                <w:szCs w:val="18"/>
                <w:color w:val="auto"/>
              </w:rPr>
              <w:t>$58,822</w:t>
            </w:r>
          </w:p>
        </w:tc>
        <w:tc>
          <w:tcPr>
            <w:tcW w:w="400" w:type="dxa"/>
            <w:vAlign w:val="bottom"/>
          </w:tcPr>
          <w:p>
            <w:pPr>
              <w:spacing w:after="0"/>
              <w:rPr>
                <w:sz w:val="19"/>
                <w:szCs w:val="19"/>
                <w:color w:val="auto"/>
              </w:rPr>
            </w:pPr>
          </w:p>
        </w:tc>
        <w:tc>
          <w:tcPr>
            <w:tcW w:w="1040" w:type="dxa"/>
            <w:vAlign w:val="bottom"/>
            <w:tcBorders>
              <w:top w:val="single" w:sz="8" w:color="auto"/>
            </w:tcBorders>
          </w:tcPr>
          <w:p>
            <w:pPr>
              <w:jc w:val="right"/>
              <w:ind w:right="179"/>
              <w:spacing w:after="0"/>
              <w:rPr>
                <w:sz w:val="20"/>
                <w:szCs w:val="20"/>
                <w:color w:val="auto"/>
              </w:rPr>
            </w:pPr>
            <w:r>
              <w:rPr>
                <w:rFonts w:ascii="Arial" w:cs="Arial" w:eastAsia="Arial" w:hAnsi="Arial"/>
                <w:sz w:val="18"/>
                <w:szCs w:val="18"/>
                <w:color w:val="auto"/>
              </w:rPr>
              <w:t>$72,448</w:t>
            </w:r>
          </w:p>
        </w:tc>
        <w:tc>
          <w:tcPr>
            <w:tcW w:w="400" w:type="dxa"/>
            <w:vAlign w:val="bottom"/>
          </w:tcPr>
          <w:p>
            <w:pPr>
              <w:spacing w:after="0"/>
              <w:rPr>
                <w:sz w:val="19"/>
                <w:szCs w:val="19"/>
                <w:color w:val="auto"/>
              </w:rPr>
            </w:pPr>
          </w:p>
        </w:tc>
        <w:tc>
          <w:tcPr>
            <w:tcW w:w="1040" w:type="dxa"/>
            <w:vAlign w:val="bottom"/>
            <w:tcBorders>
              <w:top w:val="single" w:sz="8" w:color="auto"/>
            </w:tcBorders>
          </w:tcPr>
          <w:p>
            <w:pPr>
              <w:jc w:val="right"/>
              <w:ind w:right="179"/>
              <w:spacing w:after="0"/>
              <w:rPr>
                <w:sz w:val="20"/>
                <w:szCs w:val="20"/>
                <w:color w:val="auto"/>
              </w:rPr>
            </w:pPr>
            <w:r>
              <w:rPr>
                <w:rFonts w:ascii="Arial" w:cs="Arial" w:eastAsia="Arial" w:hAnsi="Arial"/>
                <w:sz w:val="18"/>
                <w:szCs w:val="18"/>
                <w:color w:val="auto"/>
              </w:rPr>
              <w:t>$76,758</w:t>
            </w:r>
          </w:p>
        </w:tc>
        <w:tc>
          <w:tcPr>
            <w:tcW w:w="420" w:type="dxa"/>
            <w:vAlign w:val="bottom"/>
          </w:tcPr>
          <w:p>
            <w:pPr>
              <w:spacing w:after="0"/>
              <w:rPr>
                <w:sz w:val="19"/>
                <w:szCs w:val="19"/>
                <w:color w:val="auto"/>
              </w:rPr>
            </w:pPr>
          </w:p>
        </w:tc>
        <w:tc>
          <w:tcPr>
            <w:tcW w:w="11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$106,496</w:t>
            </w:r>
          </w:p>
        </w:tc>
        <w:tc>
          <w:tcPr>
            <w:tcW w:w="420" w:type="dxa"/>
            <w:vAlign w:val="bottom"/>
          </w:tcPr>
          <w:p>
            <w:pPr>
              <w:spacing w:after="0"/>
              <w:rPr>
                <w:sz w:val="19"/>
                <w:szCs w:val="19"/>
                <w:color w:val="auto"/>
              </w:rPr>
            </w:pPr>
          </w:p>
        </w:tc>
        <w:tc>
          <w:tcPr>
            <w:tcW w:w="1120" w:type="dxa"/>
            <w:vAlign w:val="bottom"/>
            <w:tcBorders>
              <w:top w:val="single" w:sz="8" w:color="auto"/>
            </w:tcBorders>
          </w:tcPr>
          <w:p>
            <w:pPr>
              <w:jc w:val="right"/>
              <w:ind w:right="179"/>
              <w:spacing w:after="0"/>
              <w:rPr>
                <w:sz w:val="20"/>
                <w:szCs w:val="20"/>
                <w:color w:val="auto"/>
              </w:rPr>
            </w:pPr>
            <w:r>
              <w:rPr>
                <w:rFonts w:ascii="Arial" w:cs="Arial" w:eastAsia="Arial" w:hAnsi="Arial"/>
                <w:sz w:val="18"/>
                <w:szCs w:val="18"/>
                <w:color w:val="auto"/>
              </w:rPr>
              <w:t>$103,077</w:t>
            </w:r>
          </w:p>
        </w:tc>
        <w:tc>
          <w:tcPr>
            <w:tcW w:w="420" w:type="dxa"/>
            <w:vAlign w:val="bottom"/>
          </w:tcPr>
          <w:p>
            <w:pPr>
              <w:spacing w:after="0"/>
              <w:rPr>
                <w:sz w:val="19"/>
                <w:szCs w:val="19"/>
                <w:color w:val="auto"/>
              </w:rPr>
            </w:pPr>
          </w:p>
        </w:tc>
        <w:tc>
          <w:tcPr>
            <w:tcW w:w="10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$95,378</w:t>
            </w:r>
          </w:p>
        </w:tc>
        <w:tc>
          <w:tcPr>
            <w:tcW w:w="0" w:type="dxa"/>
            <w:vAlign w:val="bottom"/>
          </w:tcPr>
          <w:p>
            <w:pPr>
              <w:spacing w:after="0"/>
              <w:rPr>
                <w:sz w:val="1"/>
                <w:szCs w:val="1"/>
                <w:color w:val="auto"/>
              </w:rPr>
            </w:pPr>
          </w:p>
        </w:tc>
      </w:tr>
      <w:tr>
        <w:trPr>
          <w:trHeight w:val="391"/>
        </w:trPr>
        <w:tc>
          <w:tcPr>
            <w:tcW w:w="2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gridSpan w:val="2"/>
          </w:tcPr>
          <w:p>
            <w:pPr>
              <w:jc w:val="right"/>
              <w:ind w:right="979"/>
              <w:spacing w:after="0"/>
              <w:rPr>
                <w:sz w:val="20"/>
                <w:szCs w:val="20"/>
                <w:color w:val="auto"/>
              </w:rPr>
            </w:pPr>
            <w:r>
              <w:rPr>
                <w:rFonts w:ascii="Arial" w:cs="Arial" w:eastAsia="Arial" w:hAnsi="Arial"/>
                <w:sz w:val="18"/>
                <w:szCs w:val="18"/>
                <w:color w:val="auto"/>
              </w:rPr>
              <w:t>S-6</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auto"/>
        </w:rPr>
        <w:t>Exhibit 23.1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hereby consent to the incorporation by reference in this Registration Statement on Form S-3 of our report dated February 18, 2010 relating to the financial statements and the effectiveness of internal control over financial reporting, which appears in Regeneron Pharmaceuticals, Inc.’s Annual Report on Form 10-K for the year ended December 31, 2009. We also consent to the reference to us under the heading “Experts” in such Registration Statement.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October 6, 2010</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1)"/>
      <w:numFmt w:val="decimal"/>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1)"/>
      <w:numFmt w:val="decimal"/>
      <w:start w:val="914"/>
    </w:lvl>
  </w:abstractNum>
  <w:abstractNum w:abstractNumId="3">
    <w:nsid w:val="725A06FB"/>
    <w:multiLevelType w:val="hybridMultilevel"/>
    <w:lvl w:ilvl="0">
      <w:lvlJc w:val="left"/>
      <w:lvlText w:val="(%1)"/>
      <w:numFmt w:val="upperLetter"/>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o"/>
      <w:numFmt w:val="bullet"/>
      <w:start w:val="1"/>
    </w:lvl>
  </w:abstractNum>
  <w:abstractNum w:abstractNumId="7">
    <w:nsid w:val="4B588F54"/>
    <w:multiLevelType w:val="hybridMultilevel"/>
    <w:lvl w:ilvl="0">
      <w:lvlJc w:val="left"/>
      <w:lvlText w:val="•"/>
      <w:numFmt w:val="bullet"/>
      <w:start w:val="1"/>
    </w:lvl>
    <w:lvl w:ilvl="1">
      <w:lvlJc w:val="left"/>
      <w:lvlText w:val="o"/>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1)"/>
      <w:numFmt w:val="lowerRoman"/>
      <w:start w:val="1"/>
    </w:lvl>
  </w:abstractNum>
  <w:abstractNum w:abstractNumId="31">
    <w:nsid w:val="235BA861"/>
    <w:multiLevelType w:val="hybridMultilevel"/>
    <w:lvl w:ilvl="0">
      <w:lvlJc w:val="left"/>
      <w:lvlText w:val="(%1)"/>
      <w:numFmt w:val="decimal"/>
      <w:start w:val="2"/>
    </w:lvl>
    <w:lvl w:ilvl="1">
      <w:lvlJc w:val="left"/>
      <w:lvlText w:val="%2."/>
      <w:numFmt w:val="upperLetter"/>
      <w:start w:val="1"/>
    </w:lvl>
  </w:abstractNum>
  <w:abstractNum w:abstractNumId="32">
    <w:nsid w:val="47398C89"/>
    <w:multiLevelType w:val="hybridMultilevel"/>
    <w:lvl w:ilvl="0">
      <w:lvlJc w:val="left"/>
      <w:lvlText w:val="(%1)"/>
      <w:numFmt w:val="decimal"/>
      <w:start w:val="5"/>
    </w:lvl>
    <w:lvl w:ilvl="1">
      <w:lvlJc w:val="left"/>
      <w:lvlText w:val="(%2)"/>
      <w:numFmt w:val="lowerRoman"/>
      <w:start w:val="1"/>
    </w:lvl>
  </w:abstractNum>
  <w:abstractNum w:abstractNumId="33">
    <w:nsid w:val="354FE9F9"/>
    <w:multiLevelType w:val="hybridMultilevel"/>
    <w:lvl w:ilvl="0">
      <w:lvlJc w:val="left"/>
      <w:lvlText w:val="(%1)"/>
      <w:numFmt w:val="upperLetter"/>
      <w:start w:val="2"/>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1"/>
      <w:numFmt w:val="bullet"/>
      <w:start w:val="1"/>
    </w:lvl>
  </w:abstractNum>
  <w:abstractNum w:abstractNumId="36">
    <w:nsid w:val="D34B6A8"/>
    <w:multiLevelType w:val="hybridMultilevel"/>
    <w:lvl w:ilvl="0">
      <w:lvlJc w:val="left"/>
      <w:lvlText w:val="(%1)"/>
      <w:numFmt w:val="decimal"/>
      <w:start w:val="1"/>
    </w:lvl>
  </w:abstractNum>
  <w:abstractNum w:abstractNumId="37">
    <w:nsid w:val="10233C99"/>
    <w:multiLevelType w:val="hybridMultilevel"/>
    <w:lvl w:ilvl="0">
      <w:lvlJc w:val="left"/>
      <w:lvlText w:val="(%1)"/>
      <w:numFmt w:val="lowerRoman"/>
      <w:start w:val="1"/>
    </w:lvl>
  </w:abstractNum>
  <w:abstractNum w:abstractNumId="38">
    <w:nsid w:val="3F6AB60F"/>
    <w:multiLevelType w:val="hybridMultilevel"/>
    <w:lvl w:ilvl="0">
      <w:lvlJc w:val="left"/>
      <w:lvlText w:val="(%1)"/>
      <w:numFmt w:val="lowerRoman"/>
      <w:start w:val="13"/>
    </w:lvl>
  </w:abstractNum>
  <w:abstractNum w:abstractNumId="39">
    <w:nsid w:val="61574095"/>
    <w:multiLevelType w:val="hybridMultilevel"/>
    <w:lvl w:ilvl="0">
      <w:lvlJc w:val="left"/>
      <w:lvlText w:val="(%1)"/>
      <w:numFmt w:val="lowerRoman"/>
      <w:start w:val="1"/>
    </w:lvl>
  </w:abstractNum>
  <w:abstractNum w:abstractNumId="40">
    <w:nsid w:val="7E0C57B1"/>
    <w:multiLevelType w:val="hybridMultilevel"/>
    <w:lvl w:ilvl="0">
      <w:lvlJc w:val="left"/>
      <w:lvlText w:val="(%1)"/>
      <w:numFmt w:val="decimal"/>
      <w:start w:val="1"/>
    </w:lvl>
  </w:abstractNum>
  <w:abstractNum w:abstractNumId="41">
    <w:nsid w:val="77AE35EB"/>
    <w:multiLevelType w:val="hybridMultilevel"/>
    <w:lvl w:ilvl="0">
      <w:lvlJc w:val="left"/>
      <w:lvlText w:val="(%1)"/>
      <w:numFmt w:val="decimal"/>
      <w:start w:val="3"/>
    </w:lvl>
  </w:abstractNum>
  <w:abstractNum w:abstractNumId="42">
    <w:nsid w:val="579BE4F1"/>
    <w:multiLevelType w:val="hybridMultilevel"/>
    <w:lvl w:ilvl="0">
      <w:lvlJc w:val="left"/>
      <w:lvlText w:val="(%1)"/>
      <w:numFmt w:val="decimal"/>
      <w:start w:val="1"/>
    </w:lvl>
  </w:abstractNum>
  <w:abstractNum w:abstractNumId="43">
    <w:nsid w:val="310C50B3"/>
    <w:multiLevelType w:val="hybridMultilevel"/>
    <w:lvl w:ilvl="0">
      <w:lvlJc w:val="left"/>
      <w:lvlText w:val="(%1)"/>
      <w:numFmt w:val="decimal"/>
      <w:start w:val="1"/>
    </w:lvl>
  </w:abstractNum>
  <w:abstractNum w:abstractNumId="44">
    <w:nsid w:val="5FF87E05"/>
    <w:multiLevelType w:val="hybridMultilevel"/>
    <w:lvl w:ilvl="0">
      <w:lvlJc w:val="left"/>
      <w:lvlText w:val="(%1)"/>
      <w:numFmt w:val="decimal"/>
      <w:start w:val="2"/>
    </w:lvl>
  </w:abstractNum>
  <w:abstractNum w:abstractNumId="45">
    <w:nsid w:val="2F305DEF"/>
    <w:multiLevelType w:val="hybridMultilevel"/>
    <w:lvl w:ilvl="0">
      <w:lvlJc w:val="left"/>
      <w:lvlText w:val="(%1)"/>
      <w:numFmt w:val="decimal"/>
      <w:start w:val="1"/>
    </w:lvl>
  </w:abstractNum>
  <w:abstractNum w:abstractNumId="46">
    <w:nsid w:val="25A70BF7"/>
    <w:multiLevelType w:val="hybridMultilevel"/>
    <w:lvl w:ilvl="0">
      <w:lvlJc w:val="left"/>
      <w:lvlText w:val="(%1)"/>
      <w:numFmt w:val="lowerRoman"/>
      <w:start w:val="1"/>
    </w:lvl>
  </w:abstractNum>
  <w:abstractNum w:abstractNumId="47">
    <w:nsid w:val="1DBABF00"/>
    <w:multiLevelType w:val="hybridMultilevel"/>
    <w:lvl w:ilvl="0">
      <w:lvlJc w:val="left"/>
      <w:lvlText w:val="(%1)"/>
      <w:numFmt w:val="decimal"/>
      <w:start w:val="1"/>
    </w:lvl>
    <w:lvl w:ilvl="1">
      <w:lvlJc w:val="left"/>
      <w:lvlText w:val="(%2)"/>
      <w:numFmt w:val="lowerRoman"/>
      <w:start w:val="1"/>
    </w:lvl>
  </w:abstractNum>
  <w:abstractNum w:abstractNumId="48">
    <w:nsid w:val="4AD084E9"/>
    <w:multiLevelType w:val="hybridMultilevel"/>
    <w:lvl w:ilvl="0">
      <w:lvlJc w:val="left"/>
      <w:lvlText w:val="(%1)"/>
      <w:numFmt w:val="decimal"/>
      <w:start w:val="1"/>
    </w:lvl>
  </w:abstractNum>
  <w:abstractNum w:abstractNumId="49">
    <w:nsid w:val="1F48EAA1"/>
    <w:multiLevelType w:val="hybridMultilevel"/>
    <w:lvl w:ilvl="0">
      <w:lvlJc w:val="left"/>
      <w:lvlText w:val="(%1)"/>
      <w:numFmt w:val="decimal"/>
      <w:start w:val="3"/>
    </w:lvl>
  </w:abstractNum>
  <w:abstractNum w:abstractNumId="50">
    <w:nsid w:val="1381823A"/>
    <w:multiLevelType w:val="hybridMultilevel"/>
    <w:lvl w:ilvl="0">
      <w:lvlJc w:val="left"/>
      <w:lvlText w:val="(%1)"/>
      <w:numFmt w:val="decimal"/>
      <w:start w:val="1"/>
    </w:lvl>
  </w:abstractNum>
  <w:abstractNum w:abstractNumId="51">
    <w:nsid w:val="5DB70AE5"/>
    <w:multiLevelType w:val="hybridMultilevel"/>
    <w:lvl w:ilvl="0">
      <w:lvlJc w:val="left"/>
      <w:lvlText w:val="(%1)"/>
      <w:numFmt w:val="decimal"/>
      <w:start w:val="1"/>
    </w:lvl>
    <w:lvl w:ilvl="1">
      <w:lvlJc w:val="left"/>
      <w:lvlText w:val="(%2)"/>
      <w:numFmt w:val="lowerRoman"/>
      <w:start w:val="1"/>
    </w:lvl>
  </w:abstractNum>
  <w:abstractNum w:abstractNumId="52">
    <w:nsid w:val="100F8FCA"/>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2"/>
    </w:lvl>
  </w:abstractNum>
  <w:abstractNum w:abstractNumId="53">
    <w:nsid w:val="6590700B"/>
    <w:multiLevelType w:val="hybridMultilevel"/>
    <w:lvl w:ilvl="0">
      <w:lvlJc w:val="left"/>
      <w:lvlText w:val="(%1)"/>
      <w:numFmt w:val="lowerRoman"/>
      <w:start w:val="2"/>
    </w:lvl>
    <w:lvl w:ilvl="1">
      <w:lvlJc w:val="left"/>
      <w:lvlText w:val="(%2)"/>
      <w:numFmt w:val="decimal"/>
      <w:start w:val="2"/>
    </w:lvl>
    <w:lvl w:ilvl="2">
      <w:lvlJc w:val="left"/>
      <w:lvlText w:val="%3"/>
      <w:numFmt w:val="lowerRoman"/>
      <w:start w:val="1"/>
    </w:lvl>
  </w:abstractNum>
  <w:abstractNum w:abstractNumId="54">
    <w:nsid w:val="15014ACB"/>
    <w:multiLevelType w:val="hybridMultilevel"/>
    <w:lvl w:ilvl="0">
      <w:lvlJc w:val="left"/>
      <w:lvlText w:val="(%1)"/>
      <w:numFmt w:val="lowerRoman"/>
      <w:start w:val="2"/>
    </w:lvl>
  </w:abstractNum>
  <w:abstractNum w:abstractNumId="55">
    <w:nsid w:val="5F5E7FD0"/>
    <w:multiLevelType w:val="hybridMultilevel"/>
    <w:lvl w:ilvl="0">
      <w:lvlJc w:val="left"/>
      <w:lvlText w:val="(%1)"/>
      <w:numFmt w:val="decimal"/>
      <w:start w:val="4"/>
    </w:lvl>
  </w:abstractNum>
  <w:abstractNum w:abstractNumId="56">
    <w:nsid w:val="98A3148"/>
    <w:multiLevelType w:val="hybridMultilevel"/>
    <w:lvl w:ilvl="0">
      <w:lvlJc w:val="left"/>
      <w:lvlText w:val="(%1)"/>
      <w:numFmt w:val="decimal"/>
      <w:start w:val="1"/>
    </w:lvl>
  </w:abstractNum>
  <w:abstractNum w:abstractNumId="57">
    <w:nsid w:val="799D0247"/>
    <w:multiLevelType w:val="hybridMultilevel"/>
    <w:lvl w:ilvl="0">
      <w:lvlJc w:val="left"/>
      <w:lvlText w:val="(%1)"/>
      <w:numFmt w:val="decimal"/>
      <w:start w:val="4"/>
    </w:lvl>
  </w:abstractNum>
  <w:abstractNum w:abstractNumId="58">
    <w:nsid w:val="6B94764"/>
    <w:multiLevelType w:val="hybridMultilevel"/>
    <w:lvl w:ilvl="0">
      <w:lvlJc w:val="left"/>
      <w:lvlText w:val="(%1)"/>
      <w:numFmt w:val="decimal"/>
      <w:start w:val="1"/>
    </w:lvl>
  </w:abstractNum>
  <w:abstractNum w:abstractNumId="59">
    <w:nsid w:val="42C296BD"/>
    <w:multiLevelType w:val="hybridMultilevel"/>
    <w:lvl w:ilvl="0">
      <w:lvlJc w:val="left"/>
      <w:lvlText w:val="(%1)"/>
      <w:numFmt w:val="decimal"/>
      <w:start w:val="1"/>
    </w:lvl>
  </w:abstractNum>
  <w:abstractNum w:abstractNumId="60">
    <w:nsid w:val="168E121F"/>
    <w:multiLevelType w:val="hybridMultilevel"/>
    <w:lvl w:ilvl="0">
      <w:lvlJc w:val="left"/>
      <w:lvlText w:val="(%1)"/>
      <w:numFmt w:val="upperLetter"/>
      <w:start w:val="1"/>
    </w:lvl>
  </w:abstractNum>
  <w:abstractNum w:abstractNumId="61">
    <w:nsid w:val="1EBA5D23"/>
    <w:multiLevelType w:val="hybridMultilevel"/>
    <w:lvl w:ilvl="0">
      <w:lvlJc w:val="left"/>
      <w:lvlText w:val="(%1)"/>
      <w:numFmt w:val="decimal"/>
      <w:start w:val="1"/>
    </w:lvl>
  </w:abstractNum>
  <w:abstractNum w:abstractNumId="62">
    <w:nsid w:val="661E3F1E"/>
    <w:multiLevelType w:val="hybridMultilevel"/>
    <w:lvl w:ilvl="0">
      <w:lvlJc w:val="left"/>
      <w:lvlText w:val="(%1)"/>
      <w:numFmt w:val="decimal"/>
      <w:start w:val="4"/>
    </w:lvl>
  </w:abstractNum>
  <w:abstractNum w:abstractNumId="63">
    <w:nsid w:val="5DC79EA8"/>
    <w:multiLevelType w:val="hybridMultilevel"/>
    <w:lvl w:ilvl="0">
      <w:lvlJc w:val="left"/>
      <w:lvlText w:val="(%1)"/>
      <w:numFmt w:val="decimal"/>
      <w:start w:val="1"/>
    </w:lvl>
  </w:abstractNum>
  <w:abstractNum w:abstractNumId="64">
    <w:nsid w:val="540A471C"/>
    <w:multiLevelType w:val="hybridMultilevel"/>
    <w:lvl w:ilvl="0">
      <w:lvlJc w:val="left"/>
      <w:lvlText w:val="(%1)"/>
      <w:numFmt w:val="decimal"/>
      <w:start w:val="3"/>
    </w:lvl>
  </w:abstractNum>
  <w:abstractNum w:abstractNumId="65">
    <w:nsid w:val="7BD3EE7B"/>
    <w:multiLevelType w:val="hybridMultilevel"/>
    <w:lvl w:ilvl="0">
      <w:lvlJc w:val="left"/>
      <w:lvlText w:val="(%1)"/>
      <w:numFmt w:val="decimal"/>
      <w:start w:val="1"/>
    </w:lvl>
  </w:abstractNum>
  <w:abstractNum w:abstractNumId="66">
    <w:nsid w:val="51D9C564"/>
    <w:multiLevelType w:val="hybridMultilevel"/>
    <w:lvl w:ilvl="0">
      <w:lvlJc w:val="left"/>
      <w:lvlText w:val="(%1)"/>
      <w:numFmt w:val="decimal"/>
      <w:start w:val="1"/>
    </w:lvl>
  </w:abstractNum>
  <w:abstractNum w:abstractNumId="67">
    <w:nsid w:val="613EFDC5"/>
    <w:multiLevelType w:val="hybridMultilevel"/>
    <w:lvl w:ilvl="0">
      <w:lvlJc w:val="left"/>
      <w:lvlText w:val="(%1)"/>
      <w:numFmt w:val="decimal"/>
      <w:start w:val="2"/>
    </w:lvl>
    <w:lvl w:ilvl="1">
      <w:lvlJc w:val="left"/>
      <w:lvlText w:val="(%2)"/>
      <w:numFmt w:val="upperLetter"/>
      <w:start w:val="1"/>
    </w:lvl>
  </w:abstractNum>
  <w:abstractNum w:abstractNumId="68">
    <w:nsid w:val="BF72B14"/>
    <w:multiLevelType w:val="hybridMultilevel"/>
    <w:lvl w:ilvl="0">
      <w:lvlJc w:val="left"/>
      <w:lvlText w:val="(%1)"/>
      <w:numFmt w:val="upperLetter"/>
      <w:start w:val="2"/>
    </w:lvl>
  </w:abstractNum>
  <w:abstractNum w:abstractNumId="69">
    <w:nsid w:val="11447B73"/>
    <w:multiLevelType w:val="hybridMultilevel"/>
    <w:lvl w:ilvl="0">
      <w:lvlJc w:val="left"/>
      <w:lvlText w:val="(%1)"/>
      <w:numFmt w:val="decimal"/>
      <w:start w:val="3"/>
    </w:lvl>
  </w:abstractNum>
  <w:abstractNum w:abstractNumId="70">
    <w:nsid w:val="42963E5A"/>
    <w:multiLevelType w:val="hybridMultilevel"/>
    <w:lvl w:ilvl="0">
      <w:lvlJc w:val="left"/>
      <w:lvlText w:val="(%1)"/>
      <w:numFmt w:val="decimal"/>
      <w:start w:val="1"/>
    </w:lvl>
  </w:abstractNum>
  <w:abstractNum w:abstractNumId="71">
    <w:nsid w:val="A0382C5"/>
    <w:multiLevelType w:val="hybridMultilevel"/>
    <w:lvl w:ilvl="0">
      <w:lvlJc w:val="left"/>
      <w:lvlText w:val="(%1)"/>
      <w:numFmt w:val="decimal"/>
      <w:start w:val="3"/>
    </w:lvl>
  </w:abstractNum>
  <w:abstractNum w:abstractNumId="72">
    <w:nsid w:val="8F2B15E"/>
    <w:multiLevelType w:val="hybridMultilevel"/>
    <w:lvl w:ilvl="0">
      <w:lvlJc w:val="left"/>
      <w:lvlText w:val="(%1)"/>
      <w:numFmt w:val="decimal"/>
      <w:start w:val="1"/>
    </w:lvl>
  </w:abstractNum>
  <w:abstractNum w:abstractNumId="73">
    <w:nsid w:val="1A32234B"/>
    <w:multiLevelType w:val="hybridMultilevel"/>
    <w:lvl w:ilvl="0">
      <w:lvlJc w:val="left"/>
      <w:lvlText w:val="(%1)"/>
      <w:numFmt w:val="decimal"/>
      <w:start w:val="1"/>
    </w:lvl>
  </w:abstractNum>
  <w:abstractNum w:abstractNumId="74">
    <w:nsid w:val="3B0FD379"/>
    <w:multiLevelType w:val="hybridMultilevel"/>
    <w:lvl w:ilvl="0">
      <w:lvlJc w:val="left"/>
      <w:lvlText w:val="(%1)"/>
      <w:numFmt w:val="decimal"/>
      <w:start w:val="10"/>
    </w:lvl>
  </w:abstractNum>
  <w:abstractNum w:abstractNumId="75">
    <w:nsid w:val="68EB2F63"/>
    <w:multiLevelType w:val="hybridMultilevel"/>
    <w:lvl w:ilvl="0">
      <w:lvlJc w:val="left"/>
      <w:lvlText w:val="(%1)"/>
      <w:numFmt w:val="decimal"/>
      <w:start w:val="1"/>
    </w:lvl>
  </w:abstractNum>
  <w:abstractNum w:abstractNumId="76">
    <w:nsid w:val="4962813B"/>
    <w:multiLevelType w:val="hybridMultilevel"/>
    <w:lvl w:ilvl="0">
      <w:lvlJc w:val="left"/>
      <w:lvlText w:val="(%1)"/>
      <w:numFmt w:val="decimal"/>
      <w:start w:val="1"/>
    </w:lvl>
  </w:abstractNum>
  <w:abstractNum w:abstractNumId="77">
    <w:nsid w:val="60B6DF70"/>
    <w:multiLevelType w:val="hybridMultilevel"/>
    <w:lvl w:ilvl="0">
      <w:lvlJc w:val="left"/>
      <w:lvlText w:val="(%1)"/>
      <w:numFmt w:val="decimal"/>
      <w:start w:val="1"/>
    </w:lvl>
  </w:abstractNum>
  <w:abstractNum w:abstractNumId="78">
    <w:nsid w:val="6A5EE64"/>
    <w:multiLevelType w:val="hybridMultilevel"/>
    <w:lvl w:ilvl="0">
      <w:lvlJc w:val="left"/>
      <w:lvlText w:val="(%1)"/>
      <w:numFmt w:val="decimal"/>
      <w:start w:val="1"/>
    </w:lvl>
  </w:abstractNum>
  <w:abstractNum w:abstractNumId="79">
    <w:nsid w:val="14330624"/>
    <w:multiLevelType w:val="hybridMultilevel"/>
    <w:lvl w:ilvl="0">
      <w:lvlJc w:val="left"/>
      <w:lvlText w:val="(%1)"/>
      <w:numFmt w:val="lowerRoman"/>
      <w:start w:val="1"/>
    </w:lvl>
  </w:abstractNum>
  <w:abstractNum w:abstractNumId="80">
    <w:nsid w:val="7FFFCA11"/>
    <w:multiLevelType w:val="hybridMultilevel"/>
    <w:lvl w:ilvl="0">
      <w:lvlJc w:val="left"/>
      <w:lvlText w:val="%1."/>
      <w:numFmt w:val="decimal"/>
      <w:start w:val="1"/>
    </w:lvl>
  </w:abstractNum>
  <w:abstractNum w:abstractNumId="81">
    <w:nsid w:val="1A27709E"/>
    <w:multiLevelType w:val="hybridMultilevel"/>
    <w:lvl w:ilvl="0">
      <w:lvlJc w:val="left"/>
      <w:lvlText w:val="%1."/>
      <w:numFmt w:val="decimal"/>
      <w:start w:val="2"/>
    </w:lvl>
  </w:abstractNum>
  <w:abstractNum w:abstractNumId="82">
    <w:nsid w:val="71EA1109"/>
    <w:multiLevelType w:val="hybridMultilevel"/>
    <w:lvl w:ilvl="0">
      <w:lvlJc w:val="left"/>
      <w:lvlText w:val="%1."/>
      <w:numFmt w:val="decimal"/>
      <w:start w:val="3"/>
    </w:lvl>
  </w:abstractNum>
  <w:abstractNum w:abstractNumId="83">
    <w:nsid w:val="100F59DC"/>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2019-12-10T08:52:11Z</dcterms:created>
  <dcterms:modified xsi:type="dcterms:W3CDTF">2019-12-10T08:52:11Z</dcterms:modified>
</cp:coreProperties>
</file>