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30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QUARTERLY REPORT PURSUANT TO</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SECTION 13 OR 15(d) OF THE SECURITIES</w:t>
      </w:r>
    </w:p>
    <w:p>
      <w:pPr>
        <w:spacing w:after="0" w:line="9" w:lineRule="exact"/>
        <w:rPr>
          <w:sz w:val="24"/>
          <w:szCs w:val="24"/>
          <w:color w:val="auto"/>
        </w:rPr>
      </w:pPr>
    </w:p>
    <w:p>
      <w:pPr>
        <w:ind w:left="540" w:hanging="505"/>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EXCHANGE ACT OF 1934</w:t>
      </w:r>
    </w:p>
    <w:p>
      <w:pPr>
        <w:spacing w:after="0" w:line="314"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March 31, 2013</w:t>
      </w:r>
    </w:p>
    <w:p>
      <w:pPr>
        <w:spacing w:after="0" w:line="337"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TRANSITION REPORT PURSUANT TO</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SECTION 13 OR 15(d) OF THE SECURITIES</w:t>
      </w:r>
    </w:p>
    <w:p>
      <w:pPr>
        <w:spacing w:after="0" w:line="9" w:lineRule="exact"/>
        <w:rPr>
          <w:sz w:val="24"/>
          <w:szCs w:val="24"/>
          <w:color w:val="auto"/>
        </w:rPr>
      </w:pPr>
    </w:p>
    <w:p>
      <w:pPr>
        <w:ind w:left="40"/>
        <w:spacing w:after="0"/>
        <w:tabs>
          <w:tab w:leader="none" w:pos="52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EXCHANGE ACT OF 1934</w:t>
      </w:r>
    </w:p>
    <w:p>
      <w:pPr>
        <w:spacing w:after="0" w:line="31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For the transition period from __________ to</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__________</w:t>
      </w:r>
    </w:p>
    <w:p>
      <w:pPr>
        <w:spacing w:after="0" w:line="400" w:lineRule="exact"/>
        <w:rPr>
          <w:sz w:val="24"/>
          <w:szCs w:val="24"/>
          <w:color w:val="auto"/>
        </w:rPr>
      </w:pPr>
    </w:p>
    <w:tbl>
      <w:tblPr>
        <w:tblLayout w:type="fixed"/>
        <w:tblInd w:w="284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Commission File Number</w:t>
            </w:r>
          </w:p>
        </w:tc>
        <w:tc>
          <w:tcPr>
            <w:tcW w:w="940" w:type="dxa"/>
            <w:vAlign w:val="bottom"/>
          </w:tcPr>
          <w:p>
            <w:pPr>
              <w:jc w:val="right"/>
              <w:spacing w:after="0"/>
              <w:rPr>
                <w:sz w:val="20"/>
                <w:szCs w:val="20"/>
                <w:color w:val="auto"/>
              </w:rPr>
            </w:pPr>
            <w:r>
              <w:rPr>
                <w:rFonts w:ascii="Arial" w:cs="Arial" w:eastAsia="Arial" w:hAnsi="Arial"/>
                <w:sz w:val="18"/>
                <w:szCs w:val="18"/>
                <w:color w:val="auto"/>
              </w:rPr>
              <w:t>0-19034</w:t>
            </w:r>
          </w:p>
        </w:tc>
      </w:tr>
    </w:tbl>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3229610</wp:posOffset>
            </wp:positionH>
            <wp:positionV relativeFrom="paragraph">
              <wp:posOffset>-139700</wp:posOffset>
            </wp:positionV>
            <wp:extent cx="7461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40" w:type="dxa"/>
            <w:vAlign w:val="bottom"/>
          </w:tcPr>
          <w:p>
            <w:pPr>
              <w:spacing w:after="0"/>
              <w:rPr>
                <w:sz w:val="18"/>
                <w:szCs w:val="18"/>
                <w:color w:val="auto"/>
              </w:rPr>
            </w:pPr>
          </w:p>
        </w:tc>
        <w:tc>
          <w:tcPr>
            <w:tcW w:w="3800" w:type="dxa"/>
            <w:vAlign w:val="bottom"/>
            <w:gridSpan w:val="3"/>
          </w:tcPr>
          <w:p>
            <w:pPr>
              <w:jc w:val="center"/>
              <w:ind w:right="3060"/>
              <w:spacing w:after="0"/>
              <w:rPr>
                <w:sz w:val="20"/>
                <w:szCs w:val="20"/>
                <w:color w:val="auto"/>
              </w:rPr>
            </w:pPr>
            <w:r>
              <w:rPr>
                <w:rFonts w:ascii="Arial" w:cs="Arial" w:eastAsia="Arial" w:hAnsi="Arial"/>
                <w:sz w:val="18"/>
                <w:szCs w:val="18"/>
                <w:color w:val="auto"/>
                <w:w w:val="94"/>
              </w:rPr>
              <w:t>New York</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13-3444607</w:t>
            </w:r>
          </w:p>
        </w:tc>
      </w:tr>
      <w:tr>
        <w:trPr>
          <w:trHeight w:val="20"/>
        </w:trPr>
        <w:tc>
          <w:tcPr>
            <w:tcW w:w="1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40" w:type="dxa"/>
            <w:vAlign w:val="bottom"/>
            <w:gridSpan w:val="4"/>
          </w:tcPr>
          <w:p>
            <w:pPr>
              <w:jc w:val="center"/>
              <w:ind w:right="1520"/>
              <w:spacing w:after="0"/>
              <w:rPr>
                <w:sz w:val="20"/>
                <w:szCs w:val="20"/>
                <w:color w:val="auto"/>
              </w:rPr>
            </w:pPr>
            <w:r>
              <w:rPr>
                <w:rFonts w:ascii="Arial" w:cs="Arial" w:eastAsia="Arial" w:hAnsi="Arial"/>
                <w:sz w:val="18"/>
                <w:szCs w:val="18"/>
                <w:color w:val="auto"/>
                <w:w w:val="93"/>
              </w:rPr>
              <w:t>(State or other jurisdiction of</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340" w:type="dxa"/>
            <w:vAlign w:val="bottom"/>
            <w:gridSpan w:val="4"/>
          </w:tcPr>
          <w:p>
            <w:pPr>
              <w:jc w:val="center"/>
              <w:ind w:right="1500"/>
              <w:spacing w:after="0"/>
              <w:rPr>
                <w:sz w:val="20"/>
                <w:szCs w:val="20"/>
                <w:color w:val="auto"/>
              </w:rPr>
            </w:pPr>
            <w:r>
              <w:rPr>
                <w:rFonts w:ascii="Arial" w:cs="Arial" w:eastAsia="Arial" w:hAnsi="Arial"/>
                <w:sz w:val="18"/>
                <w:szCs w:val="18"/>
                <w:color w:val="auto"/>
                <w:w w:val="92"/>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5340" w:type="dxa"/>
            <w:vAlign w:val="bottom"/>
            <w:gridSpan w:val="4"/>
          </w:tcPr>
          <w:p>
            <w:pPr>
              <w:jc w:val="center"/>
              <w:ind w:right="1520"/>
              <w:spacing w:after="0"/>
              <w:rPr>
                <w:sz w:val="20"/>
                <w:szCs w:val="20"/>
                <w:color w:val="auto"/>
              </w:rPr>
            </w:pPr>
            <w:r>
              <w:rPr>
                <w:rFonts w:ascii="Arial" w:cs="Arial" w:eastAsia="Arial" w:hAnsi="Arial"/>
                <w:sz w:val="18"/>
                <w:szCs w:val="18"/>
                <w:color w:val="auto"/>
                <w:w w:val="93"/>
              </w:rPr>
              <w:t>777 Old Saw Mill River Road, Tarrytown, New York</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10591-6707</w:t>
            </w:r>
          </w:p>
        </w:tc>
      </w:tr>
      <w:tr>
        <w:trPr>
          <w:trHeight w:val="291"/>
        </w:trPr>
        <w:tc>
          <w:tcPr>
            <w:tcW w:w="38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880" w:type="dxa"/>
            <w:vAlign w:val="bottom"/>
          </w:tcPr>
          <w:p>
            <w:pPr>
              <w:spacing w:after="0"/>
              <w:rPr>
                <w:sz w:val="24"/>
                <w:szCs w:val="24"/>
                <w:color w:val="auto"/>
              </w:rPr>
            </w:pPr>
          </w:p>
        </w:tc>
      </w:tr>
    </w:tbl>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(914) 847-7000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40"/>
        <w:spacing w:after="0"/>
        <w:tabs>
          <w:tab w:leader="none" w:pos="4420" w:val="left"/>
          <w:tab w:leader="none" w:pos="8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5596255</wp:posOffset>
            </wp:positionH>
            <wp:positionV relativeFrom="paragraph">
              <wp:posOffset>31750</wp:posOffset>
            </wp:positionV>
            <wp:extent cx="420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31750</wp:posOffset>
            </wp:positionV>
            <wp:extent cx="420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40"/>
        <w:spacing w:after="0"/>
        <w:tabs>
          <w:tab w:leader="none" w:pos="4420" w:val="left"/>
          <w:tab w:leader="none" w:pos="85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5596255</wp:posOffset>
            </wp:positionH>
            <wp:positionV relativeFrom="paragraph">
              <wp:posOffset>31750</wp:posOffset>
            </wp:positionV>
            <wp:extent cx="420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31750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80" w:type="dxa"/>
            <w:vAlign w:val="bottom"/>
          </w:tcPr>
          <w:p>
            <w:pPr>
              <w:ind w:left="200"/>
              <w:spacing w:after="0"/>
              <w:rPr>
                <w:sz w:val="20"/>
                <w:szCs w:val="20"/>
                <w:color w:val="auto"/>
              </w:rPr>
            </w:pPr>
            <w:r>
              <w:rPr>
                <w:rFonts w:ascii="Arial" w:cs="Arial" w:eastAsia="Arial" w:hAnsi="Arial"/>
                <w:sz w:val="18"/>
                <w:szCs w:val="18"/>
                <w:color w:val="auto"/>
              </w:rPr>
              <w:t>X</w:t>
            </w:r>
          </w:p>
        </w:tc>
        <w:tc>
          <w:tcPr>
            <w:tcW w:w="3880" w:type="dxa"/>
            <w:vAlign w:val="bottom"/>
          </w:tcPr>
          <w:p>
            <w:pPr>
              <w:spacing w:after="0"/>
              <w:rPr>
                <w:sz w:val="20"/>
                <w:szCs w:val="20"/>
                <w:color w:val="auto"/>
              </w:rPr>
            </w:pPr>
          </w:p>
        </w:tc>
        <w:tc>
          <w:tcPr>
            <w:tcW w:w="2460" w:type="dxa"/>
            <w:vAlign w:val="bottom"/>
          </w:tcPr>
          <w:p>
            <w:pPr>
              <w:ind w:left="48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82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80" w:type="dxa"/>
            <w:vAlign w:val="bottom"/>
            <w:tcBorders>
              <w:bottom w:val="single" w:sz="8" w:color="auto"/>
            </w:tcBorders>
          </w:tcPr>
          <w:p>
            <w:pPr>
              <w:spacing w:after="0"/>
              <w:rPr>
                <w:sz w:val="2"/>
                <w:szCs w:val="2"/>
                <w:color w:val="auto"/>
              </w:rPr>
            </w:pPr>
          </w:p>
        </w:tc>
        <w:tc>
          <w:tcPr>
            <w:tcW w:w="3880" w:type="dxa"/>
            <w:vAlign w:val="bottom"/>
            <w:vMerge w:val="restart"/>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460" w:type="dxa"/>
            <w:vAlign w:val="bottom"/>
            <w:vMerge w:val="restart"/>
          </w:tcPr>
          <w:p>
            <w:pPr>
              <w:ind w:left="480"/>
              <w:spacing w:after="0"/>
              <w:rPr>
                <w:sz w:val="20"/>
                <w:szCs w:val="20"/>
                <w:color w:val="auto"/>
              </w:rPr>
            </w:pPr>
            <w:r>
              <w:rPr>
                <w:rFonts w:ascii="Arial" w:cs="Arial" w:eastAsia="Arial" w:hAnsi="Arial"/>
                <w:sz w:val="18"/>
                <w:szCs w:val="18"/>
                <w:color w:val="auto"/>
                <w:w w:val="91"/>
              </w:rPr>
              <w:t>Smaller reporting company</w:t>
            </w:r>
          </w:p>
        </w:tc>
        <w:tc>
          <w:tcPr>
            <w:tcW w:w="0" w:type="dxa"/>
            <w:vAlign w:val="bottom"/>
          </w:tcPr>
          <w:p>
            <w:pPr>
              <w:spacing w:after="0"/>
              <w:rPr>
                <w:sz w:val="1"/>
                <w:szCs w:val="1"/>
                <w:color w:val="auto"/>
              </w:rPr>
            </w:pPr>
          </w:p>
        </w:tc>
      </w:tr>
      <w:tr>
        <w:trPr>
          <w:trHeight w:val="237"/>
        </w:trPr>
        <w:tc>
          <w:tcPr>
            <w:tcW w:w="282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3880" w:type="dxa"/>
            <w:vAlign w:val="bottom"/>
            <w:vMerge w:val="continue"/>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6805930</wp:posOffset>
            </wp:positionH>
            <wp:positionV relativeFrom="paragraph">
              <wp:posOffset>-8255</wp:posOffset>
            </wp:positionV>
            <wp:extent cx="428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-187960</wp:posOffset>
            </wp:positionV>
            <wp:extent cx="428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40"/>
        <w:spacing w:after="0"/>
        <w:tabs>
          <w:tab w:leader="none" w:pos="8500" w:val="left"/>
          <w:tab w:leader="none" w:pos="90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5596255</wp:posOffset>
            </wp:positionH>
            <wp:positionV relativeFrom="paragraph">
              <wp:posOffset>31750</wp:posOffset>
            </wp:positionV>
            <wp:extent cx="420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31750</wp:posOffset>
            </wp:positionV>
            <wp:extent cx="4203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April 17, 2013:</w:t>
      </w:r>
    </w:p>
    <w:p>
      <w:pPr>
        <w:spacing w:after="0" w:line="171" w:lineRule="exact"/>
        <w:rPr>
          <w:sz w:val="24"/>
          <w:szCs w:val="24"/>
          <w:color w:val="auto"/>
        </w:rPr>
      </w:pPr>
    </w:p>
    <w:tbl>
      <w:tblPr>
        <w:tblLayout w:type="fixed"/>
        <w:tblInd w:w="2280" w:type="dxa"/>
        <w:tblCellMar>
          <w:top w:w="0" w:type="dxa"/>
          <w:left w:w="0" w:type="dxa"/>
          <w:bottom w:w="0" w:type="dxa"/>
          <w:right w:w="0" w:type="dxa"/>
        </w:tblCellMar>
      </w:tblPr>
      <w:tr>
        <w:trPr>
          <w:trHeight w:val="230"/>
        </w:trPr>
        <w:tc>
          <w:tcPr>
            <w:tcW w:w="36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Class of Common Stock</w:t>
            </w:r>
          </w:p>
        </w:tc>
        <w:tc>
          <w:tcPr>
            <w:tcW w:w="3220" w:type="dxa"/>
            <w:vAlign w:val="bottom"/>
          </w:tcPr>
          <w:p>
            <w:pPr>
              <w:ind w:left="940"/>
              <w:spacing w:after="0"/>
              <w:rPr>
                <w:sz w:val="20"/>
                <w:szCs w:val="20"/>
                <w:color w:val="auto"/>
              </w:rPr>
            </w:pPr>
            <w:r>
              <w:rPr>
                <w:rFonts w:ascii="Arial" w:cs="Arial" w:eastAsia="Arial" w:hAnsi="Arial"/>
                <w:sz w:val="18"/>
                <w:szCs w:val="18"/>
                <w:color w:val="auto"/>
              </w:rPr>
              <w:t>Number of Shares</w:t>
            </w:r>
          </w:p>
        </w:tc>
      </w:tr>
      <w:tr>
        <w:trPr>
          <w:trHeight w:val="27"/>
        </w:trPr>
        <w:tc>
          <w:tcPr>
            <w:tcW w:w="33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Class A Stock, $0.001 par value</w:t>
            </w:r>
          </w:p>
        </w:tc>
        <w:tc>
          <w:tcPr>
            <w:tcW w:w="3220" w:type="dxa"/>
            <w:vAlign w:val="bottom"/>
          </w:tcPr>
          <w:p>
            <w:pPr>
              <w:jc w:val="right"/>
              <w:ind w:right="1170"/>
              <w:spacing w:after="0"/>
              <w:rPr>
                <w:sz w:val="20"/>
                <w:szCs w:val="20"/>
                <w:color w:val="auto"/>
              </w:rPr>
            </w:pPr>
            <w:r>
              <w:rPr>
                <w:rFonts w:ascii="Arial" w:cs="Arial" w:eastAsia="Arial" w:hAnsi="Arial"/>
                <w:sz w:val="18"/>
                <w:szCs w:val="18"/>
                <w:color w:val="auto"/>
              </w:rPr>
              <w:t>2,058,057</w:t>
            </w:r>
          </w:p>
        </w:tc>
      </w:tr>
      <w:tr>
        <w:trPr>
          <w:trHeight w:val="270"/>
        </w:trPr>
        <w:tc>
          <w:tcPr>
            <w:tcW w:w="36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Common Stock, $0.001 par value</w:t>
            </w:r>
          </w:p>
        </w:tc>
        <w:tc>
          <w:tcPr>
            <w:tcW w:w="3220" w:type="dxa"/>
            <w:vAlign w:val="bottom"/>
          </w:tcPr>
          <w:p>
            <w:pPr>
              <w:jc w:val="right"/>
              <w:ind w:right="1130"/>
              <w:spacing w:after="0"/>
              <w:rPr>
                <w:sz w:val="20"/>
                <w:szCs w:val="20"/>
                <w:color w:val="auto"/>
              </w:rPr>
            </w:pPr>
            <w:r>
              <w:rPr>
                <w:rFonts w:ascii="Arial" w:cs="Arial" w:eastAsia="Arial" w:hAnsi="Arial"/>
                <w:sz w:val="18"/>
                <w:szCs w:val="18"/>
                <w:color w:val="auto"/>
              </w:rPr>
              <w:t>95,908,088</w:t>
            </w:r>
          </w:p>
        </w:tc>
      </w:tr>
    </w:tbl>
    <w:p>
      <w:pPr>
        <w:sectPr>
          <w:pgSz w:w="11900" w:h="16838" w:orient="portrait"/>
          <w:cols w:equalWidth="0" w:num="1">
            <w:col w:w="11420"/>
          </w:cols>
          <w:pgMar w:left="240" w:top="908" w:right="239" w:bottom="616"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600" w:type="dxa"/>
            <w:vAlign w:val="bottom"/>
            <w:gridSpan w:val="3"/>
          </w:tcPr>
          <w:p>
            <w:pPr>
              <w:ind w:left="240"/>
              <w:spacing w:after="0"/>
              <w:rPr>
                <w:sz w:val="20"/>
                <w:szCs w:val="20"/>
                <w:color w:val="auto"/>
              </w:rPr>
            </w:pPr>
            <w:r>
              <w:rPr>
                <w:rFonts w:ascii="Arial" w:cs="Arial" w:eastAsia="Arial" w:hAnsi="Arial"/>
                <w:sz w:val="18"/>
                <w:szCs w:val="18"/>
                <w:b w:val="1"/>
                <w:bCs w:val="1"/>
                <w:color w:val="auto"/>
              </w:rPr>
              <w:t>Page Numbers</w:t>
            </w:r>
          </w:p>
        </w:tc>
      </w:tr>
      <w:tr>
        <w:trPr>
          <w:trHeight w:val="27"/>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1300" w:type="dxa"/>
            <w:vAlign w:val="bottom"/>
            <w:gridSpan w:val="5"/>
            <w:shd w:val="clear" w:color="auto" w:fill="CCEEFF"/>
          </w:tcPr>
          <w:p>
            <w:pPr>
              <w:ind w:left="40"/>
              <w:spacing w:after="0" w:line="19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8520" w:type="dxa"/>
            <w:vAlign w:val="bottom"/>
            <w:gridSpan w:val="21"/>
            <w:shd w:val="clear" w:color="auto" w:fill="CCEEFF"/>
          </w:tcPr>
          <w:p>
            <w:pPr>
              <w:spacing w:after="0" w:line="196"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7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r>
              <w:rPr>
                <w:rFonts w:ascii="Arial" w:cs="Arial" w:eastAsia="Arial" w:hAnsi="Arial"/>
                <w:sz w:val="18"/>
                <w:szCs w:val="18"/>
                <w:color w:val="000000"/>
              </w:rPr>
              <w:t>.</w:t>
            </w: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at March 31, 2013 and</w:t>
              </w:r>
            </w:hyperlink>
          </w:p>
        </w:tc>
        <w:tc>
          <w:tcPr>
            <w:tcW w:w="900" w:type="dxa"/>
            <w:vAlign w:val="bottom"/>
            <w:tcBorders>
              <w:right w:val="single" w:sz="8" w:color="CCEEFF"/>
            </w:tcBorders>
            <w:gridSpan w:val="2"/>
            <w:shd w:val="clear" w:color="auto" w:fill="CCEEFF"/>
          </w:tcPr>
          <w:p>
            <w:pPr>
              <w:jc w:val="center"/>
              <w:ind w:left="610"/>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70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460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December 31, 2012</w:t>
              </w:r>
            </w:hyperlink>
          </w:p>
        </w:tc>
        <w:tc>
          <w:tcPr>
            <w:tcW w:w="3920" w:type="dxa"/>
            <w:vAlign w:val="bottom"/>
            <w:tcBorders>
              <w:top w:val="single" w:sz="8" w:color="CCEEFF"/>
            </w:tcBorders>
            <w:gridSpan w:val="5"/>
            <w:shd w:val="clear" w:color="auto" w:fill="CCEEFF"/>
          </w:tcPr>
          <w:p>
            <w:pPr>
              <w:spacing w:after="0"/>
              <w:rPr>
                <w:sz w:val="21"/>
                <w:szCs w:val="21"/>
                <w:color w:val="auto"/>
              </w:rPr>
            </w:pPr>
          </w:p>
        </w:tc>
        <w:tc>
          <w:tcPr>
            <w:tcW w:w="760" w:type="dxa"/>
            <w:vAlign w:val="bottom"/>
            <w:tcBorders>
              <w:top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0000FF"/>
              <w:right w:val="single" w:sz="8" w:color="CCEE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and</w:t>
              </w:r>
            </w:hyperlink>
          </w:p>
        </w:tc>
        <w:tc>
          <w:tcPr>
            <w:tcW w:w="900" w:type="dxa"/>
            <w:vAlign w:val="bottom"/>
            <w:tcBorders>
              <w:right w:val="single" w:sz="8" w:color="CCEEFF"/>
            </w:tcBorders>
            <w:gridSpan w:val="2"/>
            <w:shd w:val="clear" w:color="auto" w:fill="CCEEFF"/>
          </w:tcPr>
          <w:p>
            <w:pPr>
              <w:jc w:val="center"/>
              <w:ind w:left="610"/>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700" w:type="dxa"/>
            <w:vAlign w:val="bottom"/>
            <w:shd w:val="clear" w:color="auto" w:fill="CCEEFF"/>
          </w:tcPr>
          <w:p>
            <w:pPr>
              <w:spacing w:after="0"/>
              <w:rPr>
                <w:sz w:val="17"/>
                <w:szCs w:val="17"/>
                <w:color w:val="auto"/>
              </w:rPr>
            </w:pPr>
          </w:p>
        </w:tc>
      </w:tr>
      <w:tr>
        <w:trPr>
          <w:trHeight w:val="20"/>
        </w:trPr>
        <w:tc>
          <w:tcPr>
            <w:tcW w:w="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tcBorders>
              <w:right w:val="single" w:sz="8" w:color="CCEEFF"/>
            </w:tcBorders>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7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0000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000" w:type="dxa"/>
            <w:vAlign w:val="bottom"/>
            <w:tcBorders>
              <w:bottom w:val="single" w:sz="8" w:color="0000FF"/>
            </w:tcBorders>
            <w:gridSpan w:val="20"/>
            <w:shd w:val="clear" w:color="auto" w:fill="CCEEFF"/>
          </w:tcPr>
          <w:p>
            <w:pPr>
              <w:spacing w:after="0" w:line="196"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Comprehensive Income for the Three Months Ended March 31, 2013</w:t>
              </w:r>
            </w:hyperlink>
          </w:p>
        </w:tc>
        <w:tc>
          <w:tcPr>
            <w:tcW w:w="3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CCEEFF"/>
            </w:tcBorders>
            <w:shd w:val="clear" w:color="auto" w:fill="CCEEFF"/>
          </w:tcPr>
          <w:p>
            <w:pPr>
              <w:spacing w:after="0"/>
              <w:rPr>
                <w:sz w:val="17"/>
                <w:szCs w:val="17"/>
                <w:color w:val="auto"/>
              </w:rPr>
            </w:pPr>
          </w:p>
        </w:tc>
        <w:tc>
          <w:tcPr>
            <w:tcW w:w="140" w:type="dxa"/>
            <w:vAlign w:val="bottom"/>
            <w:tcBorders>
              <w:bottom w:val="single" w:sz="8" w:color="CCEEFF"/>
              <w:right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520" w:type="dxa"/>
            <w:vAlign w:val="bottom"/>
            <w:gridSpan w:val="21"/>
            <w:shd w:val="clear" w:color="auto" w:fill="CCEEFF"/>
          </w:tcPr>
          <w:p>
            <w:pPr>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and 2012</w:t>
              </w:r>
            </w:hyperlink>
          </w:p>
        </w:tc>
        <w:tc>
          <w:tcPr>
            <w:tcW w:w="7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900" w:type="dxa"/>
            <w:vAlign w:val="bottom"/>
            <w:gridSpan w:val="19"/>
            <w:shd w:val="clear" w:color="auto" w:fill="CCEEFF"/>
          </w:tcPr>
          <w:p>
            <w:pPr>
              <w:spacing w:after="0" w:line="202" w:lineRule="exact"/>
              <w:rPr>
                <w:rFonts w:ascii="Arial" w:cs="Arial" w:eastAsia="Arial" w:hAnsi="Arial"/>
                <w:sz w:val="18"/>
                <w:szCs w:val="18"/>
                <w:color w:val="0000FF"/>
                <w:w w:val="90"/>
              </w:rPr>
            </w:pPr>
            <w:hyperlink w:anchor="page4">
              <w:r>
                <w:rPr>
                  <w:rFonts w:ascii="Arial" w:cs="Arial" w:eastAsia="Arial" w:hAnsi="Arial"/>
                  <w:sz w:val="18"/>
                  <w:szCs w:val="18"/>
                  <w:color w:val="0000FF"/>
                  <w:w w:val="90"/>
                </w:rPr>
                <w:t>Condensed Consolidated Statements of Stockholders' Equity for the</w:t>
              </w:r>
            </w:hyperlink>
          </w:p>
        </w:tc>
        <w:tc>
          <w:tcPr>
            <w:tcW w:w="3620" w:type="dxa"/>
            <w:vAlign w:val="bottom"/>
            <w:gridSpan w:val="2"/>
            <w:shd w:val="clear" w:color="auto" w:fill="CCEEFF"/>
          </w:tcPr>
          <w:p>
            <w:pPr>
              <w:spacing w:after="0"/>
              <w:rPr>
                <w:sz w:val="17"/>
                <w:szCs w:val="17"/>
                <w:color w:val="auto"/>
              </w:rPr>
            </w:pPr>
          </w:p>
        </w:tc>
        <w:tc>
          <w:tcPr>
            <w:tcW w:w="900" w:type="dxa"/>
            <w:vAlign w:val="bottom"/>
            <w:tcBorders>
              <w:right w:val="single" w:sz="8" w:color="CCEEFF"/>
            </w:tcBorders>
            <w:gridSpan w:val="2"/>
            <w:shd w:val="clear" w:color="auto" w:fill="CCEEFF"/>
          </w:tcPr>
          <w:p>
            <w:pPr>
              <w:jc w:val="center"/>
              <w:ind w:left="610"/>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70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490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Three Months Ended March 31, 2013 and 2012</w:t>
              </w:r>
            </w:hyperlink>
          </w:p>
        </w:tc>
        <w:tc>
          <w:tcPr>
            <w:tcW w:w="3620" w:type="dxa"/>
            <w:vAlign w:val="bottom"/>
            <w:tcBorders>
              <w:top w:val="single" w:sz="8" w:color="CCEEFF"/>
            </w:tcBorders>
            <w:gridSpan w:val="2"/>
            <w:shd w:val="clear" w:color="auto" w:fill="CCEEFF"/>
          </w:tcPr>
          <w:p>
            <w:pPr>
              <w:spacing w:after="0"/>
              <w:rPr>
                <w:sz w:val="21"/>
                <w:szCs w:val="21"/>
                <w:color w:val="auto"/>
              </w:rPr>
            </w:pPr>
          </w:p>
        </w:tc>
        <w:tc>
          <w:tcPr>
            <w:tcW w:w="760" w:type="dxa"/>
            <w:vAlign w:val="bottom"/>
            <w:tcBorders>
              <w:top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0000FF"/>
              <w:right w:val="single" w:sz="8" w:color="CCEE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for the Three</w:t>
              </w:r>
            </w:hyperlink>
          </w:p>
        </w:tc>
        <w:tc>
          <w:tcPr>
            <w:tcW w:w="900" w:type="dxa"/>
            <w:vAlign w:val="bottom"/>
            <w:tcBorders>
              <w:right w:val="single" w:sz="8" w:color="CCEEFF"/>
            </w:tcBorders>
            <w:gridSpan w:val="2"/>
            <w:shd w:val="clear" w:color="auto" w:fill="CCEEFF"/>
          </w:tcPr>
          <w:p>
            <w:pPr>
              <w:jc w:val="center"/>
              <w:ind w:left="610"/>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70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470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Months Ended March 31, 2013 and 2012</w:t>
              </w:r>
            </w:hyperlink>
          </w:p>
        </w:tc>
        <w:tc>
          <w:tcPr>
            <w:tcW w:w="3820" w:type="dxa"/>
            <w:vAlign w:val="bottom"/>
            <w:tcBorders>
              <w:top w:val="single" w:sz="8" w:color="CCEEFF"/>
            </w:tcBorders>
            <w:gridSpan w:val="4"/>
            <w:shd w:val="clear" w:color="auto" w:fill="CCEEFF"/>
          </w:tcPr>
          <w:p>
            <w:pPr>
              <w:spacing w:after="0"/>
              <w:rPr>
                <w:sz w:val="21"/>
                <w:szCs w:val="21"/>
                <w:color w:val="auto"/>
              </w:rPr>
            </w:pPr>
          </w:p>
        </w:tc>
        <w:tc>
          <w:tcPr>
            <w:tcW w:w="760" w:type="dxa"/>
            <w:vAlign w:val="bottom"/>
            <w:tcBorders>
              <w:top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0000FF"/>
              <w:right w:val="single" w:sz="8" w:color="CCEE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900" w:type="dxa"/>
            <w:vAlign w:val="bottom"/>
            <w:tcBorders>
              <w:right w:val="single" w:sz="8" w:color="CCEEFF"/>
            </w:tcBorders>
            <w:gridSpan w:val="2"/>
            <w:shd w:val="clear" w:color="auto" w:fill="CCEEFF"/>
          </w:tcPr>
          <w:p>
            <w:pPr>
              <w:jc w:val="center"/>
              <w:ind w:left="610"/>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70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03"/>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Item 2</w:t>
              </w:r>
            </w:hyperlink>
            <w:r>
              <w:rPr>
                <w:rFonts w:ascii="Arial" w:cs="Arial" w:eastAsia="Arial" w:hAnsi="Arial"/>
                <w:sz w:val="18"/>
                <w:szCs w:val="18"/>
                <w:color w:val="000000"/>
              </w:rPr>
              <w:t>.</w:t>
            </w: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Management's Discussion and Analysis of Financial Condition and</w:t>
              </w:r>
            </w:hyperlink>
          </w:p>
        </w:tc>
        <w:tc>
          <w:tcPr>
            <w:tcW w:w="900" w:type="dxa"/>
            <w:vAlign w:val="bottom"/>
            <w:tcBorders>
              <w:right w:val="single" w:sz="8" w:color="CCEEFF"/>
            </w:tcBorders>
            <w:gridSpan w:val="2"/>
            <w:shd w:val="clear" w:color="auto" w:fill="CCEEFF"/>
          </w:tcPr>
          <w:p>
            <w:pPr>
              <w:jc w:val="center"/>
              <w:ind w:left="630"/>
              <w:spacing w:after="0" w:line="202" w:lineRule="exact"/>
              <w:rPr>
                <w:rFonts w:ascii="Arial" w:cs="Arial" w:eastAsia="Arial" w:hAnsi="Arial"/>
                <w:sz w:val="18"/>
                <w:szCs w:val="18"/>
                <w:color w:val="0000FF"/>
                <w:w w:val="89"/>
              </w:rPr>
            </w:pPr>
            <w:hyperlink w:anchor="page15">
              <w:r>
                <w:rPr>
                  <w:rFonts w:ascii="Arial" w:cs="Arial" w:eastAsia="Arial" w:hAnsi="Arial"/>
                  <w:sz w:val="18"/>
                  <w:szCs w:val="18"/>
                  <w:color w:val="0000FF"/>
                  <w:w w:val="89"/>
                </w:rPr>
                <w:t>16</w:t>
              </w:r>
            </w:hyperlink>
          </w:p>
        </w:tc>
        <w:tc>
          <w:tcPr>
            <w:tcW w:w="70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0000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484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rPr>
            </w:pPr>
            <w:hyperlink w:anchor="page15">
              <w:r>
                <w:rPr>
                  <w:rFonts w:ascii="Arial" w:cs="Arial" w:eastAsia="Arial" w:hAnsi="Arial"/>
                  <w:sz w:val="18"/>
                  <w:szCs w:val="18"/>
                  <w:color w:val="0000FF"/>
                </w:rPr>
                <w:t>Results of Operations</w:t>
              </w:r>
            </w:hyperlink>
          </w:p>
        </w:tc>
        <w:tc>
          <w:tcPr>
            <w:tcW w:w="3680" w:type="dxa"/>
            <w:vAlign w:val="bottom"/>
            <w:tcBorders>
              <w:top w:val="single" w:sz="8" w:color="CCEEFF"/>
            </w:tcBorders>
            <w:gridSpan w:val="3"/>
            <w:shd w:val="clear" w:color="auto" w:fill="CCEEFF"/>
          </w:tcPr>
          <w:p>
            <w:pPr>
              <w:spacing w:after="0"/>
              <w:rPr>
                <w:sz w:val="21"/>
                <w:szCs w:val="21"/>
                <w:color w:val="auto"/>
              </w:rPr>
            </w:pPr>
          </w:p>
        </w:tc>
        <w:tc>
          <w:tcPr>
            <w:tcW w:w="760" w:type="dxa"/>
            <w:vAlign w:val="bottom"/>
            <w:tcBorders>
              <w:top w:val="single" w:sz="8" w:color="CCEEFF"/>
              <w:right w:val="single" w:sz="8" w:color="CCEEFF"/>
            </w:tcBorders>
            <w:shd w:val="clear" w:color="auto" w:fill="CCEEFF"/>
          </w:tcPr>
          <w:p>
            <w:pPr>
              <w:spacing w:after="0"/>
              <w:rPr>
                <w:sz w:val="21"/>
                <w:szCs w:val="21"/>
                <w:color w:val="auto"/>
              </w:rPr>
            </w:pPr>
          </w:p>
        </w:tc>
        <w:tc>
          <w:tcPr>
            <w:tcW w:w="140" w:type="dxa"/>
            <w:vAlign w:val="bottom"/>
            <w:tcBorders>
              <w:top w:val="single" w:sz="8" w:color="0000FF"/>
              <w:right w:val="single" w:sz="8" w:color="CCEE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Item 3</w:t>
              </w:r>
            </w:hyperlink>
            <w:r>
              <w:rPr>
                <w:rFonts w:ascii="Arial" w:cs="Arial" w:eastAsia="Arial" w:hAnsi="Arial"/>
                <w:sz w:val="18"/>
                <w:szCs w:val="18"/>
                <w:color w:val="000000"/>
              </w:rPr>
              <w:t>.</w:t>
            </w: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900" w:type="dxa"/>
            <w:vAlign w:val="bottom"/>
            <w:tcBorders>
              <w:right w:val="single" w:sz="8" w:color="CCEEFF"/>
            </w:tcBorders>
            <w:gridSpan w:val="2"/>
            <w:shd w:val="clear" w:color="auto" w:fill="CCEEFF"/>
          </w:tcPr>
          <w:p>
            <w:pPr>
              <w:jc w:val="center"/>
              <w:ind w:left="630"/>
              <w:spacing w:after="0" w:line="202"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c>
          <w:tcPr>
            <w:tcW w:w="70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Item 4</w:t>
              </w:r>
            </w:hyperlink>
            <w:r>
              <w:rPr>
                <w:rFonts w:ascii="Arial" w:cs="Arial" w:eastAsia="Arial" w:hAnsi="Arial"/>
                <w:sz w:val="18"/>
                <w:szCs w:val="18"/>
                <w:color w:val="000000"/>
              </w:rPr>
              <w:t>.</w:t>
            </w: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Controls and Procedures</w:t>
              </w:r>
            </w:hyperlink>
          </w:p>
        </w:tc>
        <w:tc>
          <w:tcPr>
            <w:tcW w:w="900" w:type="dxa"/>
            <w:vAlign w:val="bottom"/>
            <w:tcBorders>
              <w:right w:val="single" w:sz="8" w:color="CCEEFF"/>
            </w:tcBorders>
            <w:gridSpan w:val="2"/>
            <w:shd w:val="clear" w:color="auto" w:fill="CCEEFF"/>
          </w:tcPr>
          <w:p>
            <w:pPr>
              <w:jc w:val="center"/>
              <w:ind w:left="630"/>
              <w:spacing w:after="0" w:line="202"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38</w:t>
              </w:r>
            </w:hyperlink>
          </w:p>
        </w:tc>
        <w:tc>
          <w:tcPr>
            <w:tcW w:w="70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w:t>
              </w:r>
            </w:hyperlink>
          </w:p>
        </w:tc>
        <w:tc>
          <w:tcPr>
            <w:tcW w:w="8520" w:type="dxa"/>
            <w:vAlign w:val="bottom"/>
            <w:gridSpan w:val="21"/>
            <w:shd w:val="clear" w:color="auto" w:fill="CCEEFF"/>
          </w:tcPr>
          <w:p>
            <w:pPr>
              <w:spacing w:after="0" w:line="202" w:lineRule="exact"/>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OTHER INFORMATION</w:t>
              </w:r>
            </w:hyperlink>
          </w:p>
        </w:tc>
        <w:tc>
          <w:tcPr>
            <w:tcW w:w="76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Item 1</w:t>
              </w:r>
            </w:hyperlink>
            <w:r>
              <w:rPr>
                <w:rFonts w:ascii="Arial" w:cs="Arial" w:eastAsia="Arial" w:hAnsi="Arial"/>
                <w:sz w:val="18"/>
                <w:szCs w:val="18"/>
                <w:color w:val="000000"/>
              </w:rPr>
              <w:t>.</w:t>
            </w: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900" w:type="dxa"/>
            <w:vAlign w:val="bottom"/>
            <w:tcBorders>
              <w:right w:val="single" w:sz="8" w:color="CCEEFF"/>
            </w:tcBorders>
            <w:gridSpan w:val="2"/>
            <w:shd w:val="clear" w:color="auto" w:fill="CCEEFF"/>
          </w:tcPr>
          <w:p>
            <w:pPr>
              <w:jc w:val="center"/>
              <w:ind w:left="630"/>
              <w:spacing w:after="0" w:line="20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70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Item 1A</w:t>
              </w:r>
            </w:hyperlink>
            <w:r>
              <w:rPr>
                <w:rFonts w:ascii="Arial" w:cs="Arial" w:eastAsia="Arial" w:hAnsi="Arial"/>
                <w:sz w:val="18"/>
                <w:szCs w:val="18"/>
                <w:color w:val="000000"/>
              </w:rPr>
              <w:t>.</w:t>
            </w: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900" w:type="dxa"/>
            <w:vAlign w:val="bottom"/>
            <w:tcBorders>
              <w:right w:val="single" w:sz="8" w:color="CCEEFF"/>
            </w:tcBorders>
            <w:gridSpan w:val="2"/>
            <w:shd w:val="clear" w:color="auto" w:fill="CCEEFF"/>
          </w:tcPr>
          <w:p>
            <w:pPr>
              <w:jc w:val="center"/>
              <w:ind w:left="630"/>
              <w:spacing w:after="0" w:line="202" w:lineRule="exact"/>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70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50"/>
        </w:trPr>
        <w:tc>
          <w:tcPr>
            <w:tcW w:w="1300" w:type="dxa"/>
            <w:vAlign w:val="bottom"/>
            <w:gridSpan w:val="5"/>
            <w:shd w:val="clear" w:color="auto" w:fill="CCEEFF"/>
          </w:tcPr>
          <w:p>
            <w:pPr>
              <w:ind w:left="4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Item 6</w:t>
              </w:r>
            </w:hyperlink>
            <w:r>
              <w:rPr>
                <w:rFonts w:ascii="Arial" w:cs="Arial" w:eastAsia="Arial" w:hAnsi="Arial"/>
                <w:sz w:val="18"/>
                <w:szCs w:val="18"/>
                <w:color w:val="000000"/>
              </w:rPr>
              <w:t>.</w:t>
            </w:r>
          </w:p>
        </w:tc>
        <w:tc>
          <w:tcPr>
            <w:tcW w:w="8520" w:type="dxa"/>
            <w:vAlign w:val="bottom"/>
            <w:gridSpan w:val="21"/>
            <w:shd w:val="clear" w:color="auto" w:fill="CCEEFF"/>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Exhibits</w:t>
              </w:r>
            </w:hyperlink>
          </w:p>
        </w:tc>
        <w:tc>
          <w:tcPr>
            <w:tcW w:w="900" w:type="dxa"/>
            <w:vAlign w:val="bottom"/>
            <w:tcBorders>
              <w:right w:val="single" w:sz="8" w:color="CCEEFF"/>
            </w:tcBorders>
            <w:gridSpan w:val="2"/>
            <w:shd w:val="clear" w:color="auto" w:fill="CCEEFF"/>
          </w:tcPr>
          <w:p>
            <w:pPr>
              <w:jc w:val="center"/>
              <w:ind w:left="630"/>
              <w:spacing w:after="0" w:line="202"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62</w:t>
              </w:r>
            </w:hyperlink>
          </w:p>
        </w:tc>
        <w:tc>
          <w:tcPr>
            <w:tcW w:w="70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r>
      <w:tr>
        <w:trPr>
          <w:trHeight w:val="203"/>
        </w:trPr>
        <w:tc>
          <w:tcPr>
            <w:tcW w:w="9820" w:type="dxa"/>
            <w:vAlign w:val="bottom"/>
            <w:gridSpan w:val="26"/>
            <w:shd w:val="clear" w:color="auto" w:fill="CCEEFF"/>
          </w:tcPr>
          <w:p>
            <w:pPr>
              <w:ind w:left="40"/>
              <w:spacing w:after="0" w:line="202" w:lineRule="exact"/>
              <w:rPr>
                <w:rFonts w:ascii="Arial" w:cs="Arial" w:eastAsia="Arial" w:hAnsi="Arial"/>
                <w:sz w:val="18"/>
                <w:szCs w:val="18"/>
                <w:b w:val="1"/>
                <w:bCs w:val="1"/>
                <w:color w:val="0000FF"/>
              </w:rPr>
            </w:pPr>
            <w:hyperlink w:anchor="page62">
              <w:r>
                <w:rPr>
                  <w:rFonts w:ascii="Arial" w:cs="Arial" w:eastAsia="Arial" w:hAnsi="Arial"/>
                  <w:sz w:val="18"/>
                  <w:szCs w:val="18"/>
                  <w:b w:val="1"/>
                  <w:bCs w:val="1"/>
                  <w:color w:val="0000FF"/>
                </w:rPr>
                <w:t>SIGNATURE PAGE</w:t>
              </w:r>
            </w:hyperlink>
          </w:p>
        </w:tc>
        <w:tc>
          <w:tcPr>
            <w:tcW w:w="900" w:type="dxa"/>
            <w:vAlign w:val="bottom"/>
            <w:tcBorders>
              <w:right w:val="single" w:sz="8" w:color="CCEEFF"/>
            </w:tcBorders>
            <w:gridSpan w:val="2"/>
            <w:shd w:val="clear" w:color="auto" w:fill="CCEEFF"/>
          </w:tcPr>
          <w:p>
            <w:pPr>
              <w:jc w:val="center"/>
              <w:ind w:left="630"/>
              <w:spacing w:after="0" w:line="202"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63</w:t>
              </w:r>
            </w:hyperlink>
          </w:p>
        </w:tc>
        <w:tc>
          <w:tcPr>
            <w:tcW w:w="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right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5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r>
    </w:tbl>
    <w:p>
      <w:pPr>
        <w:spacing w:after="0" w:line="283" w:lineRule="exact"/>
        <w:rPr>
          <w:sz w:val="20"/>
          <w:szCs w:val="20"/>
          <w:color w:val="auto"/>
        </w:rPr>
      </w:pPr>
    </w:p>
    <w:p>
      <w:pPr>
        <w:ind w:left="40" w:right="40"/>
        <w:spacing w:after="0" w:line="21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4"/>
          <w:szCs w:val="14"/>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are trademarks of Regeneron Pharmaceuticals, Inc. All other trademarks in this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180,362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230,276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77,819</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 trade, net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703,857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593,207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99,913</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99,632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148,134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56,663</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1,307,122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1,206,012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Restricted cash and marketable securities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271,230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392,378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379,940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192,022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20,078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23,100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2,275,998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80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145,413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111,345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from Sanofi,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17,022</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 other, current portion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33,809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Facility lease obligations,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197,244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163,550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8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from Sanofi</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76,909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76,520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 other</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131,822</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Facility lease obligations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159,007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159,436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296,518</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long term liabilities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8,786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7,259</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869,650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835,105</w:t>
            </w:r>
          </w:p>
        </w:tc>
        <w:tc>
          <w:tcPr>
            <w:tcW w:w="0" w:type="dxa"/>
            <w:vAlign w:val="bottom"/>
          </w:tcPr>
          <w:p>
            <w:pPr>
              <w:spacing w:after="0"/>
              <w:rPr>
                <w:sz w:val="1"/>
                <w:szCs w:val="1"/>
                <w:color w:val="auto"/>
              </w:rPr>
            </w:pPr>
          </w:p>
        </w:tc>
      </w:tr>
      <w:tr>
        <w:trPr>
          <w:trHeight w:val="277"/>
        </w:trPr>
        <w:tc>
          <w:tcPr>
            <w:tcW w:w="8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2,058,057 at March 31, 2013 and 2,069,187 at December 31, 2012</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9"/>
              </w:rPr>
              <w:t>Common Stock, $.001 par value; 160,000,000 shares authorized; shares issued and outstanding -</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280"/>
              <w:spacing w:after="0"/>
              <w:rPr>
                <w:sz w:val="20"/>
                <w:szCs w:val="20"/>
                <w:color w:val="auto"/>
              </w:rPr>
            </w:pPr>
            <w:r>
              <w:rPr>
                <w:rFonts w:ascii="Arial" w:cs="Arial" w:eastAsia="Arial" w:hAnsi="Arial"/>
                <w:sz w:val="18"/>
                <w:szCs w:val="18"/>
                <w:color w:val="auto"/>
              </w:rPr>
              <w:t>95,650,666 at March 31, 2013 and 95,223,525 at December 31, 2012</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1,763,508</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(517,054)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1,406,348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1,245,385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2,275,998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2,080,490</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40005</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30" w:right="259" w:bottom="1440" w:gutter="0" w:footer="0" w:header="0"/>
          <w:type w:val="continuous"/>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70"/>
        </w:trPr>
        <w:tc>
          <w:tcPr>
            <w:tcW w:w="8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318,740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127,931</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Sanofi collaboration revenue</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99,273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85,005</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12,483</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Technology licensing</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5,893</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r>
      <w:tr>
        <w:trPr>
          <w:trHeight w:val="237"/>
        </w:trPr>
        <w:tc>
          <w:tcPr>
            <w:tcW w:w="8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439,664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231,789</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138,862</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77,260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58,428</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12,298</w:t>
            </w:r>
          </w:p>
        </w:tc>
      </w:tr>
      <w:tr>
        <w:trPr>
          <w:trHeight w:val="237"/>
        </w:trPr>
        <w:tc>
          <w:tcPr>
            <w:tcW w:w="8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286,614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209,588</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153,050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22,201</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8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w:t>
            </w: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(11,160)</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(10,550)</w:t>
            </w:r>
          </w:p>
        </w:tc>
      </w:tr>
      <w:tr>
        <w:trPr>
          <w:trHeight w:val="291"/>
        </w:trPr>
        <w:tc>
          <w:tcPr>
            <w:tcW w:w="8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11,651</w:t>
            </w:r>
          </w:p>
        </w:tc>
      </w:tr>
      <w:tr>
        <w:trPr>
          <w:trHeight w:val="297"/>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91"/>
        </w:trPr>
        <w:tc>
          <w:tcPr>
            <w:tcW w:w="8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98,874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11,651</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0.11</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8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96,878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93,446</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109,369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107,734</w:t>
            </w:r>
          </w:p>
        </w:tc>
      </w:tr>
      <w:tr>
        <w:trPr>
          <w:trHeight w:val="297"/>
        </w:trPr>
        <w:tc>
          <w:tcPr>
            <w:tcW w:w="8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98,874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11,651</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Unrealized (loss) gain on marketable securities, net of tax</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525</w:t>
            </w: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98,396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12,176</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130"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32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160" w:type="dxa"/>
            <w:vAlign w:val="bottom"/>
            <w:tcBorders>
              <w:top w:val="single" w:sz="8" w:color="0000FF"/>
            </w:tcBorders>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80" w:type="dxa"/>
            <w:vAlign w:val="bottom"/>
            <w:gridSpan w:val="13"/>
          </w:tcPr>
          <w:p>
            <w:pPr>
              <w:jc w:val="center"/>
              <w:ind w:right="340"/>
              <w:spacing w:after="0"/>
              <w:rPr>
                <w:sz w:val="20"/>
                <w:szCs w:val="20"/>
                <w:color w:val="auto"/>
              </w:rPr>
            </w:pPr>
            <w:r>
              <w:rPr>
                <w:rFonts w:ascii="Arial" w:cs="Arial" w:eastAsia="Arial" w:hAnsi="Arial"/>
                <w:sz w:val="18"/>
                <w:szCs w:val="18"/>
                <w:b w:val="1"/>
                <w:bCs w:val="1"/>
                <w:color w:val="auto"/>
              </w:rPr>
              <w:t>REGENERON PHARMACEUTICALS, INC.</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180" w:type="dxa"/>
            <w:vAlign w:val="bottom"/>
            <w:gridSpan w:val="21"/>
          </w:tcPr>
          <w:p>
            <w:pPr>
              <w:jc w:val="center"/>
              <w:ind w:right="80"/>
              <w:spacing w:after="0"/>
              <w:rPr>
                <w:sz w:val="20"/>
                <w:szCs w:val="20"/>
                <w:color w:val="auto"/>
              </w:rPr>
            </w:pPr>
            <w:r>
              <w:rPr>
                <w:rFonts w:ascii="Arial" w:cs="Arial" w:eastAsia="Arial" w:hAnsi="Arial"/>
                <w:sz w:val="18"/>
                <w:szCs w:val="18"/>
                <w:b w:val="1"/>
                <w:bCs w:val="1"/>
                <w:color w:val="auto"/>
                <w:w w:val="98"/>
              </w:rPr>
              <w:t>CONDENSED CONSOLIDATED STATEMENTS OF STOCKHOLDERS' EQUITY (Unaudited)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560" w:type="dxa"/>
            <w:vAlign w:val="bottom"/>
            <w:gridSpan w:val="14"/>
          </w:tcPr>
          <w:p>
            <w:pPr>
              <w:jc w:val="center"/>
              <w:ind w:left="250"/>
              <w:spacing w:after="0"/>
              <w:rPr>
                <w:sz w:val="20"/>
                <w:szCs w:val="20"/>
                <w:color w:val="auto"/>
              </w:rPr>
            </w:pPr>
            <w:r>
              <w:rPr>
                <w:rFonts w:ascii="Arial" w:cs="Arial" w:eastAsia="Arial" w:hAnsi="Arial"/>
                <w:sz w:val="18"/>
                <w:szCs w:val="18"/>
                <w:b w:val="1"/>
                <w:bCs w:val="1"/>
                <w:color w:val="auto"/>
                <w:w w:val="91"/>
              </w:rPr>
              <w:t>For the Three Months Ended March 31, 2013 and 2012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3"/>
          </w:tcPr>
          <w:p>
            <w:pPr>
              <w:jc w:val="center"/>
              <w:ind w:left="30"/>
              <w:spacing w:after="0"/>
              <w:rPr>
                <w:sz w:val="20"/>
                <w:szCs w:val="20"/>
                <w:color w:val="auto"/>
              </w:rPr>
            </w:pPr>
            <w:r>
              <w:rPr>
                <w:rFonts w:ascii="Arial" w:cs="Arial" w:eastAsia="Arial" w:hAnsi="Arial"/>
                <w:sz w:val="18"/>
                <w:szCs w:val="18"/>
                <w:b w:val="1"/>
                <w:bCs w:val="1"/>
                <w:i w:val="1"/>
                <w:iCs w:val="1"/>
                <w:color w:val="auto"/>
                <w:w w:val="88"/>
              </w:rPr>
              <w:t>(In thousands)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Class A Stock</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5"/>
            <w:vMerge w:val="restart"/>
          </w:tcPr>
          <w:p>
            <w:pPr>
              <w:ind w:left="22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400" w:type="dxa"/>
            <w:vAlign w:val="bottom"/>
            <w:gridSpan w:val="4"/>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5"/>
            <w:vMerge w:val="continue"/>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Paid-in</w:t>
            </w:r>
          </w:p>
        </w:tc>
        <w:tc>
          <w:tcPr>
            <w:tcW w:w="11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9"/>
              </w:rPr>
              <w:t>Accumulated</w:t>
            </w:r>
          </w:p>
        </w:tc>
        <w:tc>
          <w:tcPr>
            <w:tcW w:w="1360" w:type="dxa"/>
            <w:vAlign w:val="bottom"/>
            <w:gridSpan w:val="3"/>
          </w:tcPr>
          <w:p>
            <w:pPr>
              <w:ind w:left="40"/>
              <w:spacing w:after="0" w:line="191" w:lineRule="exact"/>
              <w:rPr>
                <w:sz w:val="20"/>
                <w:szCs w:val="20"/>
                <w:color w:val="auto"/>
              </w:rPr>
            </w:pPr>
            <w:r>
              <w:rPr>
                <w:rFonts w:ascii="Arial" w:cs="Arial" w:eastAsia="Arial" w:hAnsi="Arial"/>
                <w:sz w:val="18"/>
                <w:szCs w:val="18"/>
                <w:b w:val="1"/>
                <w:bCs w:val="1"/>
                <w:color w:val="auto"/>
                <w:w w:val="96"/>
              </w:rPr>
              <w:t>Comprehensive</w:t>
            </w:r>
          </w:p>
        </w:tc>
        <w:tc>
          <w:tcPr>
            <w:tcW w:w="108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9"/>
              </w:rPr>
              <w:t>Shares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90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Deficit</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Income (Loss)</w:t>
            </w:r>
          </w:p>
        </w:tc>
        <w:tc>
          <w:tcPr>
            <w:tcW w:w="16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720" w:type="dxa"/>
            <w:vAlign w:val="bottom"/>
            <w:tcBorders>
              <w:bottom w:val="single" w:sz="8" w:color="CCEEFF"/>
            </w:tcBorders>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95,223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95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$1,763,508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4"/>
              </w:rPr>
              <w:t>1,245,385</w:t>
            </w: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w w:val="96"/>
              </w:rPr>
              <w:t>Issuance of Common Stock in connection</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00"/>
              <w:spacing w:after="0"/>
              <w:rPr>
                <w:sz w:val="20"/>
                <w:szCs w:val="20"/>
                <w:color w:val="auto"/>
              </w:rPr>
            </w:pPr>
            <w:r>
              <w:rPr>
                <w:rFonts w:ascii="Arial" w:cs="Arial" w:eastAsia="Arial" w:hAnsi="Arial"/>
                <w:sz w:val="18"/>
                <w:szCs w:val="18"/>
                <w:color w:val="auto"/>
              </w:rPr>
              <w:t>with exercise of stock options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Common Stock tendered upon exercise of</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options in connection with</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employee tax obligations</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w w:val="96"/>
              </w:rPr>
              <w:t>Issuance of Common Stock in connection</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200"/>
              <w:spacing w:after="0"/>
              <w:rPr>
                <w:sz w:val="20"/>
                <w:szCs w:val="20"/>
                <w:color w:val="auto"/>
              </w:rPr>
            </w:pPr>
            <w:r>
              <w:rPr>
                <w:rFonts w:ascii="Arial" w:cs="Arial" w:eastAsia="Arial" w:hAnsi="Arial"/>
                <w:sz w:val="18"/>
                <w:szCs w:val="18"/>
                <w:color w:val="auto"/>
              </w:rPr>
              <w:t>with Company 401(k) Savings Plan</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00"/>
              <w:spacing w:after="0"/>
              <w:rPr>
                <w:sz w:val="20"/>
                <w:szCs w:val="20"/>
                <w:color w:val="auto"/>
              </w:rPr>
            </w:pPr>
            <w:r>
              <w:rPr>
                <w:rFonts w:ascii="Arial" w:cs="Arial" w:eastAsia="Arial" w:hAnsi="Arial"/>
                <w:sz w:val="18"/>
                <w:szCs w:val="18"/>
                <w:color w:val="auto"/>
              </w:rPr>
              <w:t>contribution</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Conversion of Class A Stock to Common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Stock-based compensation charges</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53,555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53,555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 from stock-based</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98,874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98,874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6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97"/>
        </w:trPr>
        <w:tc>
          <w:tcPr>
            <w:tcW w:w="32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Balance, March 31, 2013</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2,058</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95,651</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95</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$1,826,075</w:t>
            </w:r>
          </w:p>
        </w:tc>
        <w:tc>
          <w:tcPr>
            <w:tcW w:w="10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(418,180)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1,406,348</w:t>
            </w:r>
          </w:p>
        </w:tc>
        <w:tc>
          <w:tcPr>
            <w:tcW w:w="0" w:type="dxa"/>
            <w:vAlign w:val="bottom"/>
          </w:tcPr>
          <w:p>
            <w:pPr>
              <w:spacing w:after="0"/>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2011</w:t>
            </w:r>
          </w:p>
        </w:tc>
        <w:tc>
          <w:tcPr>
            <w:tcW w:w="680" w:type="dxa"/>
            <w:vAlign w:val="bottom"/>
          </w:tcPr>
          <w:p>
            <w:pPr>
              <w:jc w:val="right"/>
              <w:spacing w:after="0"/>
              <w:rPr>
                <w:sz w:val="20"/>
                <w:szCs w:val="20"/>
                <w:color w:val="auto"/>
              </w:rPr>
            </w:pPr>
            <w:r>
              <w:rPr>
                <w:rFonts w:ascii="Arial" w:cs="Arial" w:eastAsia="Arial" w:hAnsi="Arial"/>
                <w:sz w:val="18"/>
                <w:szCs w:val="18"/>
                <w:color w:val="auto"/>
              </w:rPr>
              <w:t>2,109</w:t>
            </w:r>
          </w:p>
        </w:tc>
        <w:tc>
          <w:tcPr>
            <w:tcW w:w="7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90,692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91</w:t>
            </w:r>
          </w:p>
        </w:tc>
        <w:tc>
          <w:tcPr>
            <w:tcW w:w="1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90"/>
              </w:rPr>
              <w:t>$1,754,824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(1,267,323)</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(49,078)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Issuance of Common Stock in connection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with exercise of stock options</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31,746</w:t>
            </w: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w w:val="95"/>
              </w:rPr>
              <w:t>Common Stock tendered upon exercise of</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ind w:left="200"/>
              <w:spacing w:after="0"/>
              <w:rPr>
                <w:sz w:val="20"/>
                <w:szCs w:val="20"/>
                <w:color w:val="auto"/>
              </w:rPr>
            </w:pPr>
            <w:r>
              <w:rPr>
                <w:rFonts w:ascii="Arial" w:cs="Arial" w:eastAsia="Arial" w:hAnsi="Arial"/>
                <w:sz w:val="18"/>
                <w:szCs w:val="18"/>
                <w:color w:val="auto"/>
              </w:rPr>
              <w:t>stock options in connection with</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200"/>
              <w:spacing w:after="0"/>
              <w:rPr>
                <w:sz w:val="20"/>
                <w:szCs w:val="20"/>
                <w:color w:val="auto"/>
              </w:rPr>
            </w:pPr>
            <w:r>
              <w:rPr>
                <w:rFonts w:ascii="Arial" w:cs="Arial" w:eastAsia="Arial" w:hAnsi="Arial"/>
                <w:sz w:val="18"/>
                <w:szCs w:val="18"/>
                <w:color w:val="auto"/>
              </w:rPr>
              <w:t>employee tax obligations</w:t>
            </w: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(49,078)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(49,078)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Issuance of Common Stock in connection</w:t>
            </w: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Company 401(k) Savings Plan</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contribution</w:t>
            </w:r>
          </w:p>
        </w:tc>
        <w:tc>
          <w:tcPr>
            <w:tcW w:w="6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gridSpan w:val="2"/>
          </w:tcPr>
          <w:p>
            <w:pPr>
              <w:ind w:left="40"/>
              <w:spacing w:after="0"/>
              <w:rPr>
                <w:sz w:val="20"/>
                <w:szCs w:val="20"/>
                <w:color w:val="auto"/>
              </w:rPr>
            </w:pPr>
            <w:r>
              <w:rPr>
                <w:rFonts w:ascii="Arial" w:cs="Arial" w:eastAsia="Arial" w:hAnsi="Arial"/>
                <w:sz w:val="18"/>
                <w:szCs w:val="18"/>
                <w:color w:val="auto"/>
                <w:w w:val="98"/>
              </w:rPr>
              <w:t>Conversion of Class A Stock to Common</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Stock</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 charges</w:t>
            </w:r>
          </w:p>
        </w:tc>
        <w:tc>
          <w:tcPr>
            <w:tcW w:w="6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23,448</w:t>
            </w:r>
          </w:p>
        </w:tc>
        <w:tc>
          <w:tcPr>
            <w:tcW w:w="0" w:type="dxa"/>
            <w:vAlign w:val="bottom"/>
          </w:tcPr>
          <w:p>
            <w:pPr>
              <w:spacing w:after="0"/>
              <w:rPr>
                <w:sz w:val="1"/>
                <w:szCs w:val="1"/>
                <w:color w:val="auto"/>
              </w:rPr>
            </w:pPr>
          </w:p>
        </w:tc>
      </w:tr>
      <w:tr>
        <w:trPr>
          <w:trHeight w:val="243"/>
        </w:trPr>
        <w:tc>
          <w:tcPr>
            <w:tcW w:w="32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11,651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6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57"/>
        </w:trPr>
        <w:tc>
          <w:tcPr>
            <w:tcW w:w="32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March 31, 2012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92,969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93</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$1,760,938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(1,255,672)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83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48"/>
        </w:trPr>
        <w:tc>
          <w:tcPr>
            <w:tcW w:w="1160" w:type="dxa"/>
            <w:vAlign w:val="bottom"/>
            <w:tcBorders>
              <w:top w:val="single" w:sz="8" w:color="0000FF"/>
            </w:tcBorders>
          </w:tcPr>
          <w:p>
            <w:pPr>
              <w:spacing w:after="0"/>
              <w:rPr>
                <w:sz w:val="24"/>
                <w:szCs w:val="24"/>
                <w:color w:val="auto"/>
              </w:rPr>
            </w:pPr>
          </w:p>
        </w:tc>
        <w:tc>
          <w:tcPr>
            <w:tcW w:w="7200" w:type="dxa"/>
            <w:vAlign w:val="bottom"/>
          </w:tcPr>
          <w:p>
            <w:pPr>
              <w:jc w:val="center"/>
              <w:ind w:left="1810"/>
              <w:spacing w:after="0"/>
              <w:rPr>
                <w:sz w:val="20"/>
                <w:szCs w:val="20"/>
                <w:color w:val="auto"/>
              </w:rPr>
            </w:pPr>
            <w:r>
              <w:rPr>
                <w:rFonts w:ascii="Arial" w:cs="Arial" w:eastAsia="Arial" w:hAnsi="Arial"/>
                <w:sz w:val="18"/>
                <w:szCs w:val="18"/>
                <w:b w:val="1"/>
                <w:bCs w:val="1"/>
                <w:color w:val="auto"/>
              </w:rPr>
              <w:t>REGENERON PHARMACEUTICALS,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78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200" w:type="dxa"/>
            <w:vAlign w:val="bottom"/>
          </w:tcPr>
          <w:p>
            <w:pPr>
              <w:jc w:val="center"/>
              <w:ind w:left="1810"/>
              <w:spacing w:after="0"/>
              <w:rPr>
                <w:sz w:val="20"/>
                <w:szCs w:val="20"/>
                <w:color w:val="auto"/>
              </w:rPr>
            </w:pPr>
            <w:r>
              <w:rPr>
                <w:rFonts w:ascii="Arial" w:cs="Arial" w:eastAsia="Arial" w:hAnsi="Arial"/>
                <w:sz w:val="18"/>
                <w:szCs w:val="18"/>
                <w:b w:val="1"/>
                <w:bCs w:val="1"/>
                <w:i w:val="1"/>
                <w:iCs w:val="1"/>
                <w:color w:val="auto"/>
                <w:w w:val="88"/>
              </w:rPr>
              <w:t>(In 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270"/>
        </w:trPr>
        <w:tc>
          <w:tcPr>
            <w:tcW w:w="1160" w:type="dxa"/>
            <w:vAlign w:val="bottom"/>
          </w:tcPr>
          <w:p>
            <w:pPr>
              <w:spacing w:after="0"/>
              <w:rPr>
                <w:sz w:val="23"/>
                <w:szCs w:val="23"/>
                <w:color w:val="auto"/>
              </w:rPr>
            </w:pPr>
          </w:p>
        </w:tc>
        <w:tc>
          <w:tcPr>
            <w:tcW w:w="7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98,874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11,651</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8,416</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23,244</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Non-cash interest expense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5,781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5,543</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39,525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Increase in Sanofi and trade accounts receivable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(135,312)</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(6,661)</w:t>
            </w:r>
          </w:p>
        </w:tc>
      </w:tr>
      <w:tr>
        <w:trPr>
          <w:trHeight w:val="243"/>
        </w:trPr>
        <w:tc>
          <w:tcPr>
            <w:tcW w:w="8360" w:type="dxa"/>
            <w:vAlign w:val="bottom"/>
            <w:gridSpan w:val="2"/>
          </w:tcPr>
          <w:p>
            <w:pPr>
              <w:ind w:left="500"/>
              <w:spacing w:after="0"/>
              <w:rPr>
                <w:sz w:val="20"/>
                <w:szCs w:val="20"/>
                <w:color w:val="auto"/>
              </w:rPr>
            </w:pPr>
            <w:r>
              <w:rPr>
                <w:rFonts w:ascii="Arial" w:cs="Arial" w:eastAsia="Arial" w:hAnsi="Arial"/>
                <w:sz w:val="18"/>
                <w:szCs w:val="18"/>
                <w:color w:val="auto"/>
              </w:rPr>
              <w:t>Decrease in deferred revenue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(9,126)</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12,710</w:t>
            </w:r>
          </w:p>
        </w:tc>
      </w:tr>
      <w:tr>
        <w:trPr>
          <w:trHeight w:val="237"/>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(98,692)</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(87,041)</w:t>
            </w:r>
          </w:p>
        </w:tc>
      </w:tr>
      <w:tr>
        <w:trPr>
          <w:trHeight w:val="291"/>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(180,922)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(48,569)</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75,853</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Increase in restricted cash and marketable securities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(11,055)</w:t>
            </w:r>
          </w:p>
        </w:tc>
      </w:tr>
      <w:tr>
        <w:trPr>
          <w:trHeight w:val="237"/>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(147,685)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15,766</w:t>
            </w: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1160" w:type="dxa"/>
            <w:vAlign w:val="bottom"/>
            <w:shd w:val="clear" w:color="auto" w:fill="CCEEFF"/>
          </w:tcPr>
          <w:p>
            <w:pPr>
              <w:spacing w:after="0"/>
              <w:rPr>
                <w:sz w:val="24"/>
                <w:szCs w:val="24"/>
                <w:color w:val="auto"/>
              </w:rPr>
            </w:pPr>
          </w:p>
        </w:tc>
        <w:tc>
          <w:tcPr>
            <w:tcW w:w="7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facility and 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31,828</w:t>
            </w:r>
          </w:p>
        </w:tc>
      </w:tr>
      <w:tr>
        <w:trPr>
          <w:trHeight w:val="27"/>
        </w:trPr>
        <w:tc>
          <w:tcPr>
            <w:tcW w:w="116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(49,078)</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r>
      <w:tr>
        <w:trPr>
          <w:trHeight w:val="291"/>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(89,025)</w:t>
            </w:r>
          </w:p>
        </w:tc>
      </w:tr>
      <w:tr>
        <w:trPr>
          <w:trHeight w:val="297"/>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483,610</w:t>
            </w:r>
          </w:p>
        </w:tc>
      </w:tr>
      <w:tr>
        <w:trPr>
          <w:trHeight w:val="291"/>
        </w:trPr>
        <w:tc>
          <w:tcPr>
            <w:tcW w:w="11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180,362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394,585</w:t>
            </w:r>
          </w:p>
        </w:tc>
      </w:tr>
      <w:tr>
        <w:trPr>
          <w:trHeight w:val="20"/>
        </w:trPr>
        <w:tc>
          <w:tcPr>
            <w:tcW w:w="11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14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2012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2012.</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Product Sales</w:t>
      </w:r>
    </w:p>
    <w:p>
      <w:pPr>
        <w:spacing w:after="0" w:line="283" w:lineRule="exact"/>
        <w:rPr>
          <w:sz w:val="20"/>
          <w:szCs w:val="20"/>
          <w:color w:val="auto"/>
        </w:rPr>
      </w:pPr>
    </w:p>
    <w:p>
      <w:pPr>
        <w:jc w:val="both"/>
        <w:ind w:firstLine="243"/>
        <w:spacing w:after="0" w:line="219" w:lineRule="auto"/>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totaled $313.9 million and $123.5 million for the three months ended March 31, 2013 and 2012, respectively. In November 2011, the Company received marketing approval from the U.S. Food and Drug Administration ("FDA") for EYLEA (aflibercept) Injection for the treatment of neovascular age-related macular degeneration ("wet AMD"). In September 2012, the Company received marketing approval from the FDA for EYLEA for the treatment of macular edema following central retinal vein occlusion ("CRVO"). In addition, 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totaled $4.8 million and $4.4 million for the three months ended March 31, 2013 and 2012, respectively.</w:t>
      </w:r>
    </w:p>
    <w:p>
      <w:pPr>
        <w:spacing w:after="0" w:line="25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three months ended March 31, 2013 and 2012, the Company recorded 77% and 81%, respectively, of its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(including Medicaid), distribution-related fees, prompt pay discounts, product returns, and other sales-related deductions. The following table summarizes the provisions, and credits/payments, for these sales-related deductions during the three months ended March 31, 2013.</w:t>
      </w: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18,826</w:t>
            </w:r>
          </w:p>
        </w:tc>
      </w:tr>
      <w:tr>
        <w:trPr>
          <w:trHeight w:val="243"/>
        </w:trPr>
        <w:tc>
          <w:tcPr>
            <w:tcW w:w="3340" w:type="dxa"/>
            <w:vAlign w:val="bottom"/>
          </w:tcPr>
          <w:p>
            <w:pPr>
              <w:ind w:left="26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19,661</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(16,583)</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March 31, 2013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17,693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21,904</w:t>
            </w: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260" w:right="8980" w:hanging="252"/>
        <w:spacing w:after="0" w:line="523" w:lineRule="auto"/>
        <w:tabs>
          <w:tab w:leader="none" w:pos="197"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Collaboration Revenue </w:t>
      </w:r>
      <w:r>
        <w:rPr>
          <w:rFonts w:ascii="Arial" w:cs="Arial" w:eastAsia="Arial" w:hAnsi="Arial"/>
          <w:sz w:val="16"/>
          <w:szCs w:val="16"/>
          <w:i w:val="1"/>
          <w:iCs w:val="1"/>
          <w:color w:val="auto"/>
        </w:rPr>
        <w:t>Sanofi Collaboration Revenue</w:t>
      </w:r>
    </w:p>
    <w:p>
      <w:pPr>
        <w:spacing w:after="0" w:line="39"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The collaboration revenue the Company earned from Sanofi, as detailed below, consisted primarily of reimbursement for research and development expenses that the Company incurred, recognition of the Company's share of losses in connection with Sanofi's commercialization of ZALTRAP</w:t>
      </w:r>
      <w:r>
        <w:rPr>
          <w:rFonts w:ascii="Arial" w:cs="Arial" w:eastAsia="Arial" w:hAnsi="Arial"/>
          <w:sz w:val="25"/>
          <w:szCs w:val="25"/>
          <w:color w:val="auto"/>
          <w:vertAlign w:val="superscript"/>
        </w:rPr>
        <w:t>®</w:t>
      </w:r>
      <w:r>
        <w:rPr>
          <w:rFonts w:ascii="Arial" w:cs="Arial" w:eastAsia="Arial" w:hAnsi="Arial"/>
          <w:sz w:val="18"/>
          <w:szCs w:val="18"/>
          <w:color w:val="auto"/>
        </w:rPr>
        <w:t>, and recognition of revenue related to non-refundable up-front payments.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6"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20" w:type="dxa"/>
            <w:vAlign w:val="bottom"/>
          </w:tcPr>
          <w:p>
            <w:pPr>
              <w:spacing w:after="0"/>
              <w:rPr>
                <w:sz w:val="17"/>
                <w:szCs w:val="17"/>
                <w:color w:val="auto"/>
              </w:rPr>
            </w:pPr>
          </w:p>
        </w:tc>
        <w:tc>
          <w:tcPr>
            <w:tcW w:w="132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2360" w:type="dxa"/>
            <w:vAlign w:val="bottom"/>
            <w:tcBorders>
              <w:top w:val="single" w:sz="8" w:color="auto"/>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ZALTRAP:</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w w:val="98"/>
              </w:rPr>
              <w:t>Regeneron's share of losses in connection</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with commercialization of ZALTRAP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(7,789)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(3,705)</w:t>
            </w: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Reimbursement of Regeneron research and</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 and other expenses</w:t>
            </w: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2,820</w:t>
            </w:r>
          </w:p>
        </w:tc>
      </w:tr>
      <w:tr>
        <w:trPr>
          <w:trHeight w:val="229"/>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w w:val="98"/>
              </w:rPr>
              <w:t>Recognition of deferred revenue related to</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up-front payments</w:t>
            </w:r>
          </w:p>
        </w:tc>
        <w:tc>
          <w:tcPr>
            <w:tcW w:w="3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2,483</w:t>
            </w:r>
          </w:p>
        </w:tc>
      </w:tr>
      <w:tr>
        <w:trPr>
          <w:trHeight w:val="27"/>
        </w:trPr>
        <w:tc>
          <w:tcPr>
            <w:tcW w:w="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ZALTRAP</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r>
      <w:tr>
        <w:trPr>
          <w:trHeight w:val="237"/>
        </w:trPr>
        <w:tc>
          <w:tcPr>
            <w:tcW w:w="20" w:type="dxa"/>
            <w:vAlign w:val="bottom"/>
          </w:tcPr>
          <w:p>
            <w:pPr>
              <w:spacing w:after="0"/>
              <w:rPr>
                <w:sz w:val="20"/>
                <w:szCs w:val="20"/>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Antibody:</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Reimbursement of Regeneron research and</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 expenses</w:t>
            </w: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80,855</w:t>
            </w:r>
          </w:p>
        </w:tc>
      </w:tr>
      <w:tr>
        <w:trPr>
          <w:trHeight w:val="229"/>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w w:val="98"/>
              </w:rPr>
              <w:t>Recognition of deferred revenue related to</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up-front and other payments</w:t>
            </w:r>
          </w:p>
        </w:tc>
        <w:tc>
          <w:tcPr>
            <w:tcW w:w="3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2,162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2,153</w:t>
            </w: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Recognition of revenue related to</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 xml:space="preserve">VelociGene </w:t>
            </w:r>
            <w:r>
              <w:rPr>
                <w:rFonts w:ascii="Arial" w:cs="Arial" w:eastAsia="Arial" w:hAnsi="Arial"/>
                <w:sz w:val="18"/>
                <w:szCs w:val="18"/>
                <w:color w:val="auto"/>
              </w:rPr>
              <w:t>agreement</w:t>
            </w:r>
          </w:p>
        </w:tc>
        <w:tc>
          <w:tcPr>
            <w:tcW w:w="3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w:t>
            </w:r>
          </w:p>
        </w:tc>
      </w:tr>
      <w:tr>
        <w:trPr>
          <w:trHeight w:val="237"/>
        </w:trPr>
        <w:tc>
          <w:tcPr>
            <w:tcW w:w="2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Total Antibody</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103,115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83,407</w:t>
            </w:r>
          </w:p>
        </w:tc>
      </w:tr>
      <w:tr>
        <w:trPr>
          <w:trHeight w:val="27"/>
        </w:trPr>
        <w:tc>
          <w:tcPr>
            <w:tcW w:w="2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Sanofi collaboration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99,273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85,005</w:t>
            </w: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Sanofi commenced sales of ZALTRAP(ziv-aflibercept) Injection for Intravenous Infusion, in combination with 5-fluorouracil, leucovorin, irinotecan ("FOLFIRI"), for patients with metastatic colorectal cancer (“mCRC”) that is resistant to or has progressed following an oxaliplatin-containing regimen, in the United States in the third quarter of 2012 and in certain countries in Europe in the first quarter of 2013. The Company and Sanofi globally collaborate on the development and commercialization of ZALTRAP. Under the terms of the companies' September 2003 collaboration agreement, as amended, Regeneron and Sanofi share co-promotion rights and profits and losses on sales of ZALTRAP outside of Japan. In Japan, the Company is entitled to a royalty on sales of ZALTRAP.</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commenced sales of EYLEA for the treatment of wet AMD in the fourth quarter of 2012 following receipt of regulatory approvals in the European Union and other regions. The Company and Bayer HealthCare globally collaborate on the development and commercialization of EYLEA outside of the United States.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HealthCare is detailed below:</w:t>
      </w:r>
    </w:p>
    <w:p>
      <w:pPr>
        <w:spacing w:after="0" w:line="167"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7"/>
              </w:rPr>
              <w:t>Three months ended March 31,</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2"/>
              </w:rPr>
              <w:t>Bayer HealthCare Collaboration Revenue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0"/>
              <w:spacing w:after="0" w:line="196" w:lineRule="exact"/>
              <w:rPr>
                <w:sz w:val="20"/>
                <w:szCs w:val="20"/>
                <w:color w:val="auto"/>
              </w:rPr>
            </w:pPr>
            <w:r>
              <w:rPr>
                <w:rFonts w:ascii="Arial" w:cs="Arial" w:eastAsia="Arial" w:hAnsi="Arial"/>
                <w:sz w:val="18"/>
                <w:szCs w:val="18"/>
                <w:b w:val="1"/>
                <w:bCs w:val="1"/>
                <w:color w:val="auto"/>
              </w:rPr>
              <w:t>2012</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Regeneron's net profit in connection with</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commercialization of EYLEA outside the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Cost-sharing of Regeneron EYLEA</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ind w:left="160"/>
              <w:spacing w:after="0"/>
              <w:rPr>
                <w:sz w:val="20"/>
                <w:szCs w:val="20"/>
                <w:color w:val="auto"/>
              </w:rPr>
            </w:pPr>
            <w:r>
              <w:rPr>
                <w:rFonts w:ascii="Arial" w:cs="Arial" w:eastAsia="Arial" w:hAnsi="Arial"/>
                <w:sz w:val="18"/>
                <w:szCs w:val="18"/>
                <w:color w:val="auto"/>
              </w:rPr>
              <w:t>development expenses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10,506</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Reimbursement of other Regeneron EYLEA</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w w:val="96"/>
              </w:rPr>
              <w:t>Recognition of deferred revenue related to</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ind w:left="160"/>
              <w:spacing w:after="0"/>
              <w:rPr>
                <w:sz w:val="20"/>
                <w:szCs w:val="20"/>
                <w:color w:val="auto"/>
              </w:rPr>
            </w:pPr>
            <w:r>
              <w:rPr>
                <w:rFonts w:ascii="Arial" w:cs="Arial" w:eastAsia="Arial" w:hAnsi="Arial"/>
                <w:sz w:val="18"/>
                <w:szCs w:val="18"/>
                <w:color w:val="auto"/>
                <w:w w:val="99"/>
              </w:rPr>
              <w:t>up-front and other milestone payments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1,977</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231"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7"/>
        </w:trPr>
        <w:tc>
          <w:tcPr>
            <w:tcW w:w="5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r>
      <w:tr>
        <w:trPr>
          <w:trHeight w:val="27"/>
        </w:trPr>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11,651</w:t>
            </w:r>
          </w:p>
        </w:tc>
      </w:tr>
      <w:tr>
        <w:trPr>
          <w:trHeight w:val="324"/>
        </w:trPr>
        <w:tc>
          <w:tcPr>
            <w:tcW w:w="5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96,878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93,446</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13,630</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43"/>
        </w:trPr>
        <w:tc>
          <w:tcPr>
            <w:tcW w:w="5260" w:type="dxa"/>
            <w:vAlign w:val="bottom"/>
          </w:tcPr>
          <w:p>
            <w:pPr>
              <w:ind w:left="260"/>
              <w:spacing w:after="0"/>
              <w:rPr>
                <w:sz w:val="20"/>
                <w:szCs w:val="20"/>
                <w:color w:val="auto"/>
              </w:rPr>
            </w:pPr>
            <w:r>
              <w:rPr>
                <w:rFonts w:ascii="Arial" w:cs="Arial" w:eastAsia="Arial" w:hAnsi="Arial"/>
                <w:sz w:val="18"/>
                <w:szCs w:val="18"/>
                <w:color w:val="auto"/>
              </w:rPr>
              <w:t>Warrants</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3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14,288</w:t>
            </w:r>
          </w:p>
        </w:tc>
      </w:tr>
      <w:tr>
        <w:trPr>
          <w:trHeight w:val="297"/>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3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109,369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107,734</w:t>
            </w:r>
          </w:p>
        </w:tc>
      </w:tr>
      <w:tr>
        <w:trPr>
          <w:trHeight w:val="203"/>
        </w:trPr>
        <w:tc>
          <w:tcPr>
            <w:tcW w:w="5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7"/>
        </w:trPr>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7"/>
        </w:trPr>
        <w:tc>
          <w:tcPr>
            <w:tcW w:w="5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243"/>
        <w:spacing w:after="0" w:line="277" w:lineRule="auto"/>
        <w:rPr>
          <w:sz w:val="20"/>
          <w:szCs w:val="20"/>
          <w:color w:val="auto"/>
        </w:rPr>
      </w:pPr>
      <w:r>
        <w:rPr>
          <w:rFonts w:ascii="Arial" w:cs="Arial" w:eastAsia="Arial" w:hAnsi="Arial"/>
          <w:sz w:val="18"/>
          <w:szCs w:val="18"/>
          <w:color w:val="auto"/>
        </w:rPr>
        <w:t>Shares which have been excluded from the March 31, 2013 and 2012 diluted per share amounts because their effect would have been antidilutive, include the following:</w:t>
      </w:r>
    </w:p>
    <w:p>
      <w:pPr>
        <w:spacing w:after="0" w:line="112"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33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34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6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2012</w:t>
            </w:r>
          </w:p>
        </w:tc>
      </w:tr>
      <w:tr>
        <w:trPr>
          <w:trHeight w:val="27"/>
        </w:trPr>
        <w:tc>
          <w:tcPr>
            <w:tcW w:w="34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620" w:type="dxa"/>
            <w:vAlign w:val="bottom"/>
          </w:tcPr>
          <w:p>
            <w:pPr>
              <w:jc w:val="right"/>
              <w:spacing w:after="0"/>
              <w:rPr>
                <w:sz w:val="20"/>
                <w:szCs w:val="20"/>
                <w:color w:val="auto"/>
              </w:rPr>
            </w:pPr>
            <w:r>
              <w:rPr>
                <w:rFonts w:ascii="Arial" w:cs="Arial" w:eastAsia="Arial" w:hAnsi="Arial"/>
                <w:sz w:val="18"/>
                <w:szCs w:val="18"/>
                <w:color w:val="auto"/>
              </w:rPr>
              <w:t>4,761</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4,761</w:t>
            </w:r>
          </w:p>
        </w:tc>
      </w:tr>
      <w:tr>
        <w:trPr>
          <w:trHeight w:val="27"/>
        </w:trPr>
        <w:tc>
          <w:tcPr>
            <w:tcW w:w="3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r>
      <w:tr>
        <w:trPr>
          <w:trHeight w:val="27"/>
        </w:trPr>
        <w:tc>
          <w:tcPr>
            <w:tcW w:w="34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Marketable securities at March 31, 2013 and December 31, 2012 consist of debt and equity securities. The Company also held restricted marketable securities at both March 31, 2013 and December 31, 2012, which consisted of debt securities, as detailed below, that collateralize letters of credit and lease obligations.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tables summarize the amortized cost basis of debt and equity securities included in marketable securities, the aggregate fair value of those securities, and gross unrealized gains and losses on those securities at March 31, 2013 and December 31, 2012.</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At March 31, 2013</w:t>
            </w:r>
          </w:p>
        </w:tc>
        <w:tc>
          <w:tcPr>
            <w:tcW w:w="160" w:type="dxa"/>
            <w:vAlign w:val="bottom"/>
          </w:tcPr>
          <w:p>
            <w:pPr>
              <w:spacing w:after="0"/>
              <w:rPr>
                <w:sz w:val="17"/>
                <w:szCs w:val="17"/>
                <w:color w:val="auto"/>
              </w:rPr>
            </w:pPr>
          </w:p>
        </w:tc>
        <w:tc>
          <w:tcPr>
            <w:tcW w:w="12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305,402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305,967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474,792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473,955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483,142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482,313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 December 31, 2012</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3"/>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327,502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328,146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3"/>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349,088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U.S. government obligations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354,990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classifies its debt securities based on their contractual maturity dates. The debt securities listed at March 31, 2013 mature at various dates through January 2016. The fair values of debt security investments by contractual maturity as of March 31, 2013 and December 31, 2012 consist of the following:</w:t>
      </w:r>
    </w:p>
    <w:p>
      <w:pPr>
        <w:spacing w:after="0" w:line="393"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240" w:type="dxa"/>
            <w:vAlign w:val="bottom"/>
          </w:tcPr>
          <w:p>
            <w:pPr>
              <w:spacing w:after="0"/>
              <w:rPr>
                <w:sz w:val="20"/>
                <w:szCs w:val="20"/>
                <w:color w:val="auto"/>
              </w:rPr>
            </w:pPr>
          </w:p>
        </w:tc>
        <w:tc>
          <w:tcPr>
            <w:tcW w:w="158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70"/>
        </w:trPr>
        <w:tc>
          <w:tcPr>
            <w:tcW w:w="3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Unrestricted</w:t>
            </w: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6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77,819</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w w:val="97"/>
              </w:rPr>
              <w:t>Maturities after one year through five years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343,821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267,837</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345,656</w:t>
            </w: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i w:val="1"/>
                <w:iCs w:val="1"/>
                <w:color w:val="auto"/>
              </w:rPr>
              <w:t>Restricted</w:t>
            </w:r>
          </w:p>
        </w:tc>
        <w:tc>
          <w:tcPr>
            <w:tcW w:w="3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43"/>
        </w:trPr>
        <w:tc>
          <w:tcPr>
            <w:tcW w:w="3380" w:type="dxa"/>
            <w:vAlign w:val="bottom"/>
          </w:tcPr>
          <w:p>
            <w:pPr>
              <w:ind w:left="20"/>
              <w:spacing w:after="0"/>
              <w:rPr>
                <w:sz w:val="20"/>
                <w:szCs w:val="20"/>
                <w:color w:val="auto"/>
              </w:rPr>
            </w:pPr>
            <w:r>
              <w:rPr>
                <w:rFonts w:ascii="Arial" w:cs="Arial" w:eastAsia="Arial" w:hAnsi="Arial"/>
                <w:sz w:val="18"/>
                <w:szCs w:val="18"/>
                <w:color w:val="auto"/>
                <w:w w:val="97"/>
              </w:rPr>
              <w:t>Maturities after one year through five years</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479,528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351,565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380" w:type="dxa"/>
            <w:vAlign w:val="bottom"/>
          </w:tcPr>
          <w:p>
            <w:pPr>
              <w:spacing w:after="0"/>
              <w:rPr>
                <w:sz w:val="24"/>
                <w:szCs w:val="24"/>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rPr>
              <w:t>10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March 31, 2013 and December 31, 2012.</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At March 31, 2013</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4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25,004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25,004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114,555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Equity security</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146,049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148,835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3"/>
          </w:tcPr>
          <w:p>
            <w:pPr>
              <w:ind w:left="340"/>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146,953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149,739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0"/>
              </w:rPr>
              <w:t>At December 31, 2012</w:t>
            </w:r>
          </w:p>
        </w:tc>
        <w:tc>
          <w:tcPr>
            <w:tcW w:w="1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17,510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Equity security</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62,248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65,641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00" w:type="dxa"/>
            <w:vAlign w:val="bottom"/>
            <w:gridSpan w:val="3"/>
          </w:tcPr>
          <w:p>
            <w:pPr>
              <w:ind w:left="360"/>
              <w:spacing w:after="0"/>
              <w:rPr>
                <w:sz w:val="20"/>
                <w:szCs w:val="20"/>
                <w:color w:val="auto"/>
              </w:rPr>
            </w:pPr>
            <w:r>
              <w:rPr>
                <w:rFonts w:ascii="Arial" w:cs="Arial" w:eastAsia="Arial" w:hAnsi="Arial"/>
                <w:sz w:val="18"/>
                <w:szCs w:val="18"/>
                <w:color w:val="auto"/>
              </w:rPr>
              <w:t>U.S. government obligations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Realized gains and losses are included as a component of investment income. For the three months ended March 31, 2013 and 2012, total realized gains and losses on sales of marketable securities were not material.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assets that are measured at fair value on a recurring basis</w:t>
      </w:r>
      <w:r>
        <w:rPr>
          <w:rFonts w:ascii="Arial" w:cs="Arial" w:eastAsia="Arial" w:hAnsi="Arial"/>
          <w:sz w:val="17"/>
          <w:szCs w:val="17"/>
          <w:i w:val="1"/>
          <w:iCs w:val="1"/>
          <w:color w:val="auto"/>
        </w:rPr>
        <w:t>,</w:t>
      </w:r>
      <w:r>
        <w:rPr>
          <w:rFonts w:ascii="Arial" w:cs="Arial" w:eastAsia="Arial" w:hAnsi="Arial"/>
          <w:sz w:val="17"/>
          <w:szCs w:val="17"/>
          <w:color w:val="auto"/>
        </w:rPr>
        <w:t xml:space="preserve"> at March 31, 2013 and December 31, 2012, consist of the following:</w:t>
      </w:r>
    </w:p>
    <w:p>
      <w:pPr>
        <w:spacing w:after="0" w:line="314"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At March 31, 2013</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420" w:type="dxa"/>
            <w:vAlign w:val="bottom"/>
            <w:tcBorders>
              <w:top w:val="single" w:sz="8" w:color="auto"/>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5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305,967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122,870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122,870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security</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473,955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471,170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U.S. government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482,313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479,528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At December 31, 2012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620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328,146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17,510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security</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349,049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345,656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government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The Company did not record any charges for other-than-temporary impairment of its Level 2 marketable securities during the three months ended March 31, 2013 and 2012.</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were no purchases, sales, or maturities of Level 3 marketable securities and no unrealized gains or losses related to Level 3 marketable securities for the three months ended March 31, 2013 and 2012. There were no transfers of marketable securities between Levels 1, 2, or 3 classifications during the three months ended March 31, 2013 and 2012.</w:t>
      </w:r>
    </w:p>
    <w:p>
      <w:pPr>
        <w:spacing w:after="0" w:line="235"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As of March 31, 2013 and December 31, 2012, the Company had $400.0 million in aggregate principal amount of 1.875% convertible senior notes that will mature on October 1, 2016 unless earlier converted or repurchased. The fair value of the outstanding convertible senior notes was estimated to be $861.1 million and $843.2 million as of March 31, 2013 and December 31, 2012, respectively, and was determined based on Level 2 inputs.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Inventories, which were included in prepaid expenses and other current assets in the Company's balance sheets, consist of the following:</w:t>
      </w:r>
    </w:p>
    <w:p>
      <w:pPr>
        <w:spacing w:after="0" w:line="302" w:lineRule="exact"/>
        <w:rPr>
          <w:sz w:val="20"/>
          <w:szCs w:val="20"/>
          <w:color w:val="auto"/>
        </w:rPr>
      </w:pPr>
    </w:p>
    <w:tbl>
      <w:tblPr>
        <w:tblLayout w:type="fixed"/>
        <w:tblInd w:w="19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3360" w:type="dxa"/>
            <w:vAlign w:val="bottom"/>
          </w:tcPr>
          <w:p>
            <w:pPr>
              <w:spacing w:after="0"/>
              <w:rPr>
                <w:sz w:val="23"/>
                <w:szCs w:val="23"/>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2012</w:t>
            </w:r>
          </w:p>
        </w:tc>
      </w:tr>
      <w:tr>
        <w:trPr>
          <w:trHeight w:val="27"/>
        </w:trPr>
        <w:tc>
          <w:tcPr>
            <w:tcW w:w="33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25,061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14,656</w:t>
            </w:r>
          </w:p>
        </w:tc>
      </w:tr>
      <w:tr>
        <w:trPr>
          <w:trHeight w:val="27"/>
        </w:trPr>
        <w:tc>
          <w:tcPr>
            <w:tcW w:w="3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4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14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6,550</w:t>
            </w:r>
          </w:p>
        </w:tc>
      </w:tr>
      <w:tr>
        <w:trPr>
          <w:trHeight w:val="27"/>
        </w:trPr>
        <w:tc>
          <w:tcPr>
            <w:tcW w:w="33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33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43,977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28,638</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w:t>
      </w:r>
    </w:p>
    <w:p>
      <w:pPr>
        <w:spacing w:after="0" w:line="8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As of March 31, 2013 and December 31, 2012, the inventory balance included reserves of $4.6 million and $3.6 million, respectively. For the three months ended March 31, 2013 and 2012, cost of goods sold included inventory write-downs and reserves totaling $3.2 million and $1.9 million, respectively.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86"/>
        </w:trPr>
        <w:tc>
          <w:tcPr>
            <w:tcW w:w="5280" w:type="dxa"/>
            <w:vAlign w:val="bottom"/>
            <w:gridSpan w:val="2"/>
          </w:tcPr>
          <w:p>
            <w:pPr>
              <w:ind w:left="260"/>
              <w:spacing w:after="0"/>
              <w:rPr>
                <w:sz w:val="20"/>
                <w:szCs w:val="20"/>
                <w:color w:val="auto"/>
              </w:rPr>
            </w:pPr>
            <w:r>
              <w:rPr>
                <w:rFonts w:ascii="Arial" w:cs="Arial" w:eastAsia="Arial" w:hAnsi="Arial"/>
                <w:sz w:val="18"/>
                <w:szCs w:val="18"/>
                <w:color w:val="auto"/>
                <w:w w:val="96"/>
              </w:rPr>
              <w:t>Accounts payable and accrued expenses consist of the following:</w:t>
            </w: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648"/>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24"/>
                <w:szCs w:val="24"/>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19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2012</w:t>
            </w:r>
          </w:p>
        </w:tc>
      </w:tr>
      <w:tr>
        <w:trPr>
          <w:trHeight w:val="27"/>
        </w:trPr>
        <w:tc>
          <w:tcPr>
            <w:tcW w:w="1920" w:type="dxa"/>
            <w:vAlign w:val="bottom"/>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38,934</w:t>
            </w:r>
          </w:p>
        </w:tc>
      </w:tr>
      <w:tr>
        <w:trPr>
          <w:trHeight w:val="243"/>
        </w:trPr>
        <w:tc>
          <w:tcPr>
            <w:tcW w:w="1920" w:type="dxa"/>
            <w:vAlign w:val="bottom"/>
          </w:tcPr>
          <w:p>
            <w:pPr>
              <w:spacing w:after="0"/>
              <w:rPr>
                <w:sz w:val="21"/>
                <w:szCs w:val="21"/>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3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32,385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19,987</w:t>
            </w:r>
          </w:p>
        </w:tc>
      </w:tr>
      <w:tr>
        <w:trPr>
          <w:trHeight w:val="27"/>
        </w:trPr>
        <w:tc>
          <w:tcPr>
            <w:tcW w:w="1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1920" w:type="dxa"/>
            <w:vAlign w:val="bottom"/>
          </w:tcPr>
          <w:p>
            <w:pPr>
              <w:spacing w:after="0"/>
              <w:rPr>
                <w:sz w:val="21"/>
                <w:szCs w:val="21"/>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3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10,985</w:t>
            </w:r>
          </w:p>
        </w:tc>
      </w:tr>
      <w:tr>
        <w:trPr>
          <w:trHeight w:val="229"/>
        </w:trPr>
        <w:tc>
          <w:tcPr>
            <w:tcW w:w="1920" w:type="dxa"/>
            <w:vAlign w:val="bottom"/>
          </w:tcPr>
          <w:p>
            <w:pPr>
              <w:spacing w:after="0"/>
              <w:rPr>
                <w:sz w:val="19"/>
                <w:szCs w:val="19"/>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w w:val="96"/>
              </w:rPr>
              <w:t>Accrued sales-related charges, deductions,</w:t>
            </w:r>
          </w:p>
        </w:tc>
        <w:tc>
          <w:tcPr>
            <w:tcW w:w="3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192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3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47,735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21,870</w:t>
            </w:r>
          </w:p>
        </w:tc>
      </w:tr>
      <w:tr>
        <w:trPr>
          <w:trHeight w:val="27"/>
        </w:trPr>
        <w:tc>
          <w:tcPr>
            <w:tcW w:w="1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19,569</w:t>
            </w:r>
          </w:p>
        </w:tc>
      </w:tr>
      <w:tr>
        <w:trPr>
          <w:trHeight w:val="237"/>
        </w:trPr>
        <w:tc>
          <w:tcPr>
            <w:tcW w:w="19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111,345</w:t>
            </w:r>
          </w:p>
        </w:tc>
      </w:tr>
      <w:tr>
        <w:trPr>
          <w:trHeight w:val="27"/>
        </w:trPr>
        <w:tc>
          <w:tcPr>
            <w:tcW w:w="1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1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With respect to non-cash investing activities in connection with the Company's Statements of Cash Flows, included in accounts payable and accrued expenses at March 31, 2013 and December 31, 2012 were $10.1 million and $8.6 million, respectively, of accrued capital expenditures. Included in accounts payable and accrued expenses at March 31, 2012 and December 31, 2011 were $5.8 million and $6.2 million, respectively, of accrued capital expenditures.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is subject to U.S. federal, state, and foreign income taxes. The Company's effective tax rate for the three months ended March 31, 2013 was 30.3%, which included, as a discrete item, the impact of enacting The American Taxpayer Relief Act in January 2013. The American Taxpayer Relief Act included a provision to extend the income tax credit for increased research activities retroactively to the tax year ended December 31, 2012. As a result, the Company's 2012 research tax credit reduced its effective tax rate for the three months ended March 31, 2013 by 12.3%.</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the three months ended March 31, 2013, the Company recorded an income tax provision of $43.0 million. In addition, within other comprehensive income, the Company recognized a $0.3 million income tax benefit for the three months ended March 31, 2013, in connection with the change in the Company’s unrealized gain/(loss) on “available-for-sale” marketable securities.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Tax years subsequent to 2009 remain open to examination by federal tax authorities. In addition, New York state has commenced an examination of the Company's 2009, 2010, and 2011 tax years.</w:t>
      </w:r>
    </w:p>
    <w:p>
      <w:pPr>
        <w:spacing w:after="0" w:line="17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For the three months ended March 31, 2012, income tax expense relating to the Company's pre-tax income was fully offset by a reversal of a portion of the Company's valuation allowance. As of March 31, 2012, the Company continued to recognize a full valuation allowance against its net operating loss carry-forward and other deferred tax assets since the Company had an extended history of losses. In the fourth quarter of 2012, the Company recorded an income tax benefit attributable to the release of substantially all of the remaining valuation allowance against the Company's deferred tax assets. The decision to release this valuation allowance was made after the Company determined that it was more likely than not that these deferred tax assets would be realized.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Matters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The Company does not expect any such current ordinary course legal proceedings to have a material adverse effect on the Company’s business or financial condition. Costs associated with the Company’s involvement in legal proceedings are expensed as incurred.</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Genentech Patent Litigation</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is aware of issued patents and pending patent applications owned by Genentech that claim certain chimeric VEGF receptors. The Company does not believe that ZALTRAP or EYLEA infringe any valid claim in these patents or patent applications. The Company is involved in five patent litigations with Genentech, two in the United States and three in Europe. In November 2010, the Company commenced a lawsuit against Genentech in the U.S. District Court for the Southern District of New York (the "Court"), seeking a declaratory judgment that no activities relating to the Company's VEGF Trap infringe any valid claim of certain Genentech patents referred to as the Davis-Smyth patents (the "First Davis-Smyth Case"). Genentech answered the complaint and asserted counterclaims that the Company's prior or planned activities relating to VEGF Trap have infringed or will infringe claims of four of the Davis-Smyth patents and requested a judgment against the Company for damages, including for willful infringement, and other relief as the Court deems appropriate.</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On December 31, 2011, the Company entered into a Non-Exclusive License and Partial Settlement Agreement with Genentech (the "Genentech Agreement") that covers making, using, and selling EYLEA in the United States for the prevention and treatment of human eye diseases and disorders in the United States, and ends the litigation relating to those matters. Under the Genentech Agreement, the Company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the Company to make payments to Genentech based on U.S. sales of EYLEA through May 7, 2016, the date the Davis-Smyth patents expire. As required by the Genentech Agreement, in 2012, the Company made a lump-sum payment of $60.0 million when cumulative U.S. sales of EYLEA reached $400 million. The Company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Davis-Smyth patents. On December 23, 2011, Genentech initiated a related case in the Court against Regeneron and Sanofi alleging infringement of four of the Davis-Smyth Patents by activities relating to VEGF Trap (but excluding EYLEA) (the "Second Davis-Smyth Case").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in the First Davis-Smyth Case, in the new complaint Genentech requests a judgment against the Company for damages, including for willful infringement, and other relief as the Court deems appropriate. On September 21, 2012, Genentech asserted two additional Davis-Smyth patents, and one additional application (which was allowed and issued as a patent on September 25, 2012) in both the First David-Smyth Case and the Second Davis-Smyth Case.</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believes Genentech's remaining claims in the First Davis Smyth Case and the Second Davis Smyth Case are without merit and intends to continue to defend against all of Genentech's remaining claims vigorously. As this litigation is at an early stage, at this time the Company is not able to predict the probability of the outcome or an estimate of loss, if any, related to these matters.</w:t>
      </w:r>
    </w:p>
    <w:p>
      <w:pPr>
        <w:spacing w:after="0" w:line="23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has initiated patent-related actions against Genentech in Germany, the United Kingdom, and Italy relating in each case to a patent that expired on October 28, 2012. The Company may initiate other actions in other countries outside the United States, which could have similar or other adverse outcomes that would materially harm its business and which, irrespective of the outcomes, may also entail significant costs and expenses. In the United Kingdom, an adverse decision at first instance dated March 22, 2012 was appealed to the UK Court of Appeal. The Court of Appeal decision dated February 21, 2013 found the designation of European patent EP 1 238 986 in the United Kingdom to be valid and that potential acts relating to VEGF Trap-Eye in the United Kingdom before expiration of the patent on October 28, 2012 would infringe this patent. The Company has sought permission to appeal to the Supreme Court of the United Kingdom. A negative decision would result in an order requiring the Company to pay Genentech's recoverable legal costs.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April 2013, the Company entered into a new lease agreement for additional laboratory and office space at its Tarrytown facility. The new facilities will include approximately 297,000 square feet of laboratory and office space in two new buildings to be constructed. The initial term of the lease, which is expected to commence in mid-2014, is 15 years and contains three renewal options to extend the terms of the lease by five years each. Construction of the new buildings is anticipated to begin in the second half of 2013 and to be completed in late 2015.</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April 2013, the Company also executed an early renewal of approximately 360,000 square feet of space that it currently leases at its Tarrytown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early renewal extended the term of the lease from June 2024 to June 2029.</w:t>
      </w:r>
    </w:p>
    <w:p>
      <w:pPr>
        <w:spacing w:after="0" w:line="13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May 2013, the Company acquired from Sanofi full exclusive rights to two families of novel antibodies invented at Regeneron and previously included in the Company's antibody collaboration with Sanofi. The Company acquired full rights to antibodies targeting the PDGF (platelet derived growth factor) family of receptors and ligands in ophthalmology and all other indications and to antibodies targeting the ANG2 (angiopoietin-2) receptor and ligand in ophthalmology. Antibodies to PDGF and ANG2 are currently in preclinical development for use in ophthalmology.</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respect to PDGF antibodies, the Company will pay Sanofi $10 million upfront, up to $40 million in development milestone payments, and royalties on any future sales. With respect to ANG2 antibodies in ophthalmology, the Company will pay Sanofi $10 million upfront, a potential $5 million development milestone payment, and royalties on any future sales.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36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7"/>
          <w:szCs w:val="17"/>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from these forward-looking statements. These statements concern, and these risks and uncertainties include, among others, the nature, timing, and possible success and therapeutic applications of EYLEA</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ZALTRAP</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and ARCALYST</w:t>
      </w:r>
      <w:r>
        <w:rPr>
          <w:rFonts w:ascii="Arial" w:cs="Arial" w:eastAsia="Arial" w:hAnsi="Arial"/>
          <w:sz w:val="24"/>
          <w:szCs w:val="24"/>
          <w:i w:val="1"/>
          <w:iCs w:val="1"/>
          <w:color w:val="auto"/>
          <w:vertAlign w:val="superscript"/>
        </w:rPr>
        <w:t>®</w:t>
      </w:r>
      <w:r>
        <w:rPr>
          <w:rFonts w:ascii="Arial" w:cs="Arial" w:eastAsia="Arial" w:hAnsi="Arial"/>
          <w:sz w:val="17"/>
          <w:szCs w:val="17"/>
          <w:i w:val="1"/>
          <w:iCs w:val="1"/>
          <w:color w:val="auto"/>
        </w:rPr>
        <w:t xml:space="preserve"> and our product candidates, potential new indications for marketed products, and research and clinical programs now underway or planned; the likelihood and timing of possible regulatory approval and commercial launch of our late-stage product candidates and new indications for marketed products; determinations by regulatory and administrative governmental authorities which may delay or restrict our ability to continue to develop or commercialize EYLEA, ZALTRAP, and ARCALYST and other product and drug candidates and possible new indications for marketed products; the ability for us to manufacture and manage supply chains for multiple products and product candidates; competing drugs and product candidates that may be superior to EYLEA, ZALTRAP, and ARCALYST and our product and drug candidates and possible new indications for marketed products; uncertainty of market acceptance of EYLEA, ZALTRAP, and ARCALYST and our product and drug candidates and possible new indications for marketed products; coverage and reimbursement determinations by third-party payers, including Medicare and Medicaid; unforeseen safety issues resulting from the administration of products and product candidates in patients; unanticipated expenses; the costs of developing, producing, and selling products; the ability for us to meet any of our financial projections or guidance and changes to the assumptions underlying those projections or guidance; the potential for any license or collaboration agreement, including our agreements with Sanofi and Bayer HealthCare LLC, to be canceled or terminated without any further product success; and risks associated with third-party intellectual property and pending or future litigation relating thereto. These statements are made by us based on management's current beliefs and judgment.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Our total revenues were $439.7 million in the first quarter of 2013, compared to $231.8 million in the first quarter of 2012. Our net income was $98.9 million, or $0.90 per diluted share, in the first quarter of 2013, compared to net income of $11.7 million, or $0.11 per diluted share, in the first quarter of 2012.</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144" w:lineRule="exact"/>
        <w:rPr>
          <w:sz w:val="20"/>
          <w:szCs w:val="20"/>
          <w:color w:val="auto"/>
        </w:rPr>
      </w:pPr>
    </w:p>
    <w:p>
      <w:pPr>
        <w:jc w:val="both"/>
        <w:ind w:left="660" w:hanging="328"/>
        <w:spacing w:after="0" w:line="25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EYLEA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(aflibercept) Injection, known in the scientific literature as VEGF Trap-Eye, which is available in the United States for the treatment of neovascular age-related macular degeneration (wet AMD) and macular edema following central retinal vein occlusion (CRVO), and in the United Kingdom, Germany, Switzerland, Australia, Japan, and certain other countries for the treatment of wet AMD. We commenced sales of EYLEA for the treatment of wet AMD in November 2011 and for the treatment of macular edema following CRVO in September 2012, following receipt of regulatory approval in the United States. Bayer HealthCare commenced sales of EYLEA for the treatment of wet AMD in the fourth quarter of 2012 following receipt of regulatory approvals in the European Union (EU) and other regions. Bayer HealthCare has additional regulatory applications for EYLEA for the treatment of wet AMD pending in other countries. In addition, Bayer HealthCare has submitted applications for marketing authorization for EYLEA in Europe, Japan, and other countries for the treatment of macular edema following CRVO.</w:t>
      </w:r>
    </w:p>
    <w:p>
      <w:pPr>
        <w:spacing w:after="0" w:line="190"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EYLEA outside the United States, where, for countries other than Japan, the companies share equally the profits and losses from sales of EYLEA. In Japan, we are entitled to a royalty on sales of EYLEA, as described below. We maintain exclusive rights to EYLEA in the United States and are entitled to all profits from any such sales.</w:t>
      </w:r>
    </w:p>
    <w:p>
      <w:pPr>
        <w:spacing w:after="0" w:line="186"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Net product sales of EYLEA in the United States were $313.9 million in the first quarter of 2013 compared to $123.5 million in the first quarter of 2012. EYLEA net product sales outside of the United States, which are recorded by Bayer HealthCare, commenced in the fourth quarter of 2012, and were $64.8 million in the first quarter of 2013.</w:t>
      </w:r>
    </w:p>
    <w:p>
      <w:pPr>
        <w:spacing w:after="0" w:line="181" w:lineRule="exact"/>
        <w:rPr>
          <w:rFonts w:ascii="Arial" w:cs="Arial" w:eastAsia="Arial" w:hAnsi="Arial"/>
          <w:sz w:val="17"/>
          <w:szCs w:val="17"/>
          <w:color w:val="auto"/>
        </w:rPr>
      </w:pPr>
    </w:p>
    <w:p>
      <w:pPr>
        <w:ind w:left="660" w:hanging="328"/>
        <w:spacing w:after="0" w:line="21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ZALTRAP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(ziv-aflibercept) Injection for Intravenous Infusion, known in the scientific literature as VEGF Trap, which is available in the United States for treatment, in combination with 5-fluorouracil, leucovorin, irinotecan (FOLFIRI), of</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71" w:lineRule="exact"/>
        <w:rPr>
          <w:sz w:val="20"/>
          <w:szCs w:val="20"/>
          <w:color w:val="auto"/>
        </w:rPr>
      </w:pPr>
    </w:p>
    <w:p>
      <w:pPr>
        <w:jc w:val="both"/>
        <w:ind w:left="660"/>
        <w:spacing w:after="0" w:line="325" w:lineRule="auto"/>
        <w:rPr>
          <w:sz w:val="20"/>
          <w:szCs w:val="20"/>
          <w:color w:val="auto"/>
        </w:rPr>
      </w:pPr>
      <w:r>
        <w:rPr>
          <w:rFonts w:ascii="Arial" w:cs="Arial" w:eastAsia="Arial" w:hAnsi="Arial"/>
          <w:sz w:val="17"/>
          <w:szCs w:val="17"/>
          <w:color w:val="auto"/>
        </w:rPr>
        <w:t>patients with metastatic colorectal cancer (mCRC) that is resistant to or has progressed following an oxaliplatin-containing regimen. In February 2013, the European Commission (EC) granted marketing authorization in the European Union for ZALTRAP 25mg/ml concentrate for solution for infusion in combination with FOLFIRI chemotherapy in adults with mCRC that is resistant to or has progressed after an oxaliplatin-containing regimen. Regulatory applications for marketing authorization of ZALTRAP for the treatment of previously treated mCRC patients in other countries have also been submitted and are currently under review by the respective regulatory agencies.</w:t>
      </w:r>
    </w:p>
    <w:p>
      <w:pPr>
        <w:spacing w:after="0" w:line="14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and Sanofi globally collaborate on the development and commercialization of ZALTRAP, and share profits and losses from commercialization of ZALTRAP, except for Japan, where we are entitled to a royalty on sales of ZALTRAP, as described below. ZALTRAP net product sales, which are recorded by Sanofi, commenced in the United States in August 2012 and in Europe in the first quarter of 2013, and were $14.1 million in the first quarter of 2013.</w:t>
      </w:r>
    </w:p>
    <w:p>
      <w:pPr>
        <w:spacing w:after="0" w:line="187" w:lineRule="exact"/>
        <w:rPr>
          <w:sz w:val="20"/>
          <w:szCs w:val="20"/>
          <w:color w:val="auto"/>
        </w:rPr>
      </w:pPr>
    </w:p>
    <w:p>
      <w:pPr>
        <w:jc w:val="both"/>
        <w:ind w:left="660" w:hanging="328"/>
        <w:spacing w:after="0" w:line="23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(rilonacept) Injection for Subcutaneous Use, which is available in the United States for the treatment of Cryopyrin-Associated Periodic Syndromes (CAPS), including Familial Cold Auto-inflammatory Syndrome (FCAS) and Muckle-Wells Syndrome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product sales of ARCALYST totaled $4.8 million in the first quarter of 2013, compared to $4.4 million in the first quarter of 2012.</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have 13 product candidates in clinical development, all of which were discovered in our research laboratories. Our Trap-based clinical programs are:</w:t>
      </w:r>
    </w:p>
    <w:p>
      <w:pPr>
        <w:spacing w:after="0" w:line="167"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EYLEA, which is in clinical trials for the treatment of diabetic macular edema (DME), macular edema following branch retinal vein occlusion (BRVO), and, in Asia, choroidal neovascularization of the retina as a result of pathologic myopia (mCNV), in collaboration with Bayer HealthCare; and</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ZALTRAP, which is being studied in combination with our angiopoietin-2 inhibitor (nesvacumab) in oncology in collaboration with Sanofi.</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antibody-based clinical programs include eleven fully human monoclonal antibodies. The following six are being developed in collaboration with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13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Sarilumab (REGN88), an antibody to the interleukin-6 receptor (IL-6R), which is being developed in rheumatoid arthritis;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Alirocumab (REGN727), an antibody to Proprotein Convertase Subtilisin/Kexin type 9 (PCSK9), which is being developed for low-density lipoprotein (LDL) cholesterol reduction;</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Dupilumab (REGN668), an antibody to the interleukin-4 receptor (IL-4R), which is being developed in atopic dermatitis and allergic asthma;</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Enoticumab (REGN421), an antibody to Delta-like ligand-4 (Dll4), a novel angiogenesis target, which is being developed in oncology;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Nesvacumab (REGN910), an antibody to angiopoietin-2 (ANG2), another novel angiogenesis target, which is being developed in oncology;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REGN1033, an antibody to myostatin (GDF8), which is being developed in metabolic disorders.</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addition, we are developing the following five antibodies independently:</w:t>
      </w:r>
    </w:p>
    <w:p>
      <w:pPr>
        <w:spacing w:after="0" w:line="11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REGN1400, an antibody to ErbB3, which is being developed in oncology;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REGN846, an antibody in clinical development against an undisclosed target, which is being developed in atopic dermatitis;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REGN1154, an antibody in clinical development against an undisclosed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REGN1500, an antibody in clinical development against an undisclosed target;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Fasinumab (REGN475), an antibody to Nerve Growth Factor (NGF), which is being developed for the treatment of pain and which is currently on clinical hold by the U.S. Food and Drug Administration (FDA).</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20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18"/>
          <w:szCs w:val="18"/>
          <w:i w:val="1"/>
          <w:iCs w:val="1"/>
          <w:color w:val="auto"/>
          <w:vertAlign w:val="superscript"/>
        </w:rPr>
        <w:t>TM</w:t>
      </w:r>
      <w:r>
        <w:rPr>
          <w:rFonts w:ascii="Arial" w:cs="Arial" w:eastAsia="Arial" w:hAnsi="Arial"/>
          <w:sz w:val="18"/>
          <w:szCs w:val="18"/>
          <w:color w:val="auto"/>
        </w:rPr>
        <w:t xml:space="preserve"> technology platforms. Our discovery platforms are designed to identify specific proteins of therapeutic interest for a particular disease or cell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 xml:space="preserve">type and validate these targets through high-throughput production of genetically modified mice using our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to understand the role of these proteins in normal physiology, as well as in models of disease. Our human monoclonal antibody technology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and cell line expression technologies (</w:t>
      </w:r>
      <w:r>
        <w:rPr>
          <w:rFonts w:ascii="Arial" w:cs="Arial" w:eastAsia="Arial" w:hAnsi="Arial"/>
          <w:sz w:val="16"/>
          <w:szCs w:val="16"/>
          <w:i w:val="1"/>
          <w:iCs w:val="1"/>
          <w:color w:val="auto"/>
        </w:rPr>
        <w:t>VelociMab</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16"/>
          <w:szCs w:val="16"/>
          <w:color w:val="auto"/>
        </w:rPr>
        <w:t>. Under the terms of our antibody collaboration with Sanofi, which was expanded during 2009, we plan to advance a total of 20 to 30 candidates into clinical development over the life of the agreement. We continue to invest in the development of enabling technologies to assist in our efforts to identify, develop, manufacture, and commercialize new product candidates.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Clinical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EYLEA - Ophthalmologic Diseases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In CRVO and BRVO, a blockage occurs in the main blood vessel that transports deoxygenated blood away from the retina. VEGF levels are elevated in response, contributing to macular edema. For clinically significant DME, VEGF-mediated leakage of fluid from blood vessels in the eye results in interference with vision.</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together with our ex-U.S. collaborator Bayer HealthCare, are evaluating EYLEA in Phase 3 programs in patients with DME, macular edema following BRVO, and, in Asia, mCNV of the retina as a result of pathologic myopia. Wet AMD, diabetic retinopathy (which includes DME), and retinal vein occlusion are three of the leading causes of adult blindness in the developed world. In these conditions, severe visual loss is caused by neovascular proliferation and/or retinal edema.</w:t>
      </w:r>
    </w:p>
    <w:p>
      <w:pPr>
        <w:spacing w:after="0" w:line="24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the second quarter of 2011, we and Bayer HealthCare initiated Phase 3 studies to evaluate the safety and efficacy of EYLEA in DME. We are conducting one of these studies, VISTA-DME, in the United States. Bayer HealthCare is conducting the second study, VIVID-DME, in Europe, Japan, and Australia. Both the VISTA-DME and VIVID-DME trials are fully enrolled. An additional Phase 3 safety study in Japan (VIVID-Japan) was initiated in the first quarter of 2012 and is required for approval in Japan. In February 2013, we and Bayer HealthCare also initiated another Phase 3 study to evaluate the efficacy and safety of EYLEA in DME in Russia, China, and other Asian countries (VIVID EAST-DME).</w:t>
      </w:r>
    </w:p>
    <w:p>
      <w:pPr>
        <w:spacing w:after="0" w:line="22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first quarter of 2011, we and Bayer HealthCare initiated a Phase 3 trial in Asia in collaboration with the Singapore Eye Research Institute (SERI) investigating the efficacy and safety of EYLEA in patients with mCNV of the retina as a result of pathologic myopia (MYRROR). This study is fully enrolled.</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fourth quarter of 2011, we and Bayer HealthCare initiated a Phase 3 trial in China evaluating the efficacy and safety of EYLEA in wet AMD (SIGHT). The trial is expected to include approximately 300 patients.</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second quarter of 2012, we initiated a multinational study of EYLEA in patients with macular edema following BRVO (VIBRANT). This study is fully enrolled.</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the fourth quarter of 2012, we initiated a study to fulfill a post-marketing requirement by the FDA, RE-VIEW, which will evaluate the effect of EYLEA on corneal endothelium.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ZALTRAP (ziv-aflibercept) - Oncology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ZALTRAP is a fusion protein that is designed to bind all forms of VEGF-A, VEGF-B, and P1GF, and prevent their interaction with cell surface receptors. VEGF-A (and to a lesser degree, P1GF) is required for the growth of new blood vessels (a process known as angiogenesis) that are needed for tumors to grow.</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During the third quarter of 2012, we and Sanofi initiated a Phase 1b study of a combination of ZALTRAP and our angiopoietin-2 inhibitor (nesvacumab) in patients with advanced solid malignancies.</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Sarilumab (REGN88; IL-6R Antibody) for inflammatory diseases</w:t>
      </w:r>
    </w:p>
    <w:p>
      <w:pPr>
        <w:spacing w:after="0" w:line="279" w:lineRule="exact"/>
        <w:rPr>
          <w:sz w:val="20"/>
          <w:szCs w:val="20"/>
          <w:color w:val="auto"/>
        </w:rPr>
      </w:pPr>
    </w:p>
    <w:p>
      <w:pPr>
        <w:jc w:val="both"/>
        <w:ind w:firstLine="216"/>
        <w:spacing w:after="0" w:line="342" w:lineRule="auto"/>
        <w:rPr>
          <w:sz w:val="20"/>
          <w:szCs w:val="20"/>
          <w:color w:val="auto"/>
        </w:rPr>
      </w:pPr>
      <w:r>
        <w:rPr>
          <w:rFonts w:ascii="Arial" w:cs="Arial" w:eastAsia="Arial" w:hAnsi="Arial"/>
          <w:sz w:val="16"/>
          <w:szCs w:val="16"/>
          <w:color w:val="auto"/>
        </w:rPr>
        <w:t>IL-6 is a key cytokine involved in the pathogenesis of rheumatoid arthritis, causing inflammation and joint destruction. A therapeutic antibody to IL-6R, ACTEMRA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(tocilizumab), a registered trademark of Chugai Seiyaku Kabushiki Kaisha, has been approved for the treatment of rheumatoid arthritis.</w:t>
      </w:r>
    </w:p>
    <w:p>
      <w:pPr>
        <w:spacing w:after="0" w:line="8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In July 2011, we and Sanofi announced that in the Phase 2b stage of the SARIL-RA-MOBILITY trial in rheumatoid arthritis (RA), patients treated with sarilumab in combination with a standard RA treatment, methotrexate (MTX), achieved a significant and clinically meaningful improvement in signs and symptoms of moderate-to-severe RA compared to patients treated with MTX alone. The primary endpoint of the study was the proportion of patients achieving at least a 20% improvement in RA symptoms (ACR20) after 12 weeks.</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Phase 2/3 SARIL-RA-MOBILITY study in patients with RA is fully enrolled. This trial will assess the improvement in signs and symptoms at 24 weeks and sarilumab's effect on radiographic progression at one year. In addition, we and Sanofi have initiated an additional Phase 3 study, SARIL-RA-TARGET, which is a randomized, double-blind, placebo-controlled study evaluating sarilumab in combination with non-biologic, disease-modifying anti-rheumatic drugs (DMARDs) in moderate-to-severe active RA patients with inadequate response to, or who are intolerant of, one or more tumor necrosis factor alpha (TNF-alpha) inhibitors. Patients who complete SARIL-RA-MOBILITY and SARIL-RA-TARGET are offered enrollment into the ongoing SARIL-RA EXTEND, which is an open-label, long-term safety study of sarilumab.</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Alirocumab (REGN727; PCSK9 Antibody) for LDL cholesterol reduction</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Elevated LDL cholesterol (“bad cholesterol”) level is a validated risk factor leading to cardiovascular disease. Statins are a class of drugs that lower LDL through inhibition of HMG-CoA, an enzyme regulating the early and rate-limiting step in cholesterol biosynthesis. PCSK9 is a secreted protein that plays a key role in modulating LDL cholesterol levels in the body. PCSK9 binds to and induces the destruction of the LDL receptor, thereby interfering with cellular uptake and increasing circulating levels of LDL cholesterol. In a landmark study published in the </w:t>
      </w:r>
      <w:r>
        <w:rPr>
          <w:rFonts w:ascii="Arial" w:cs="Arial" w:eastAsia="Arial" w:hAnsi="Arial"/>
          <w:sz w:val="18"/>
          <w:szCs w:val="18"/>
          <w:i w:val="1"/>
          <w:iCs w:val="1"/>
          <w:color w:val="auto"/>
        </w:rPr>
        <w:t>New England Journal of Medicine</w:t>
      </w:r>
      <w:r>
        <w:rPr>
          <w:rFonts w:ascii="Arial" w:cs="Arial" w:eastAsia="Arial" w:hAnsi="Arial"/>
          <w:sz w:val="18"/>
          <w:szCs w:val="18"/>
          <w:color w:val="auto"/>
        </w:rPr>
        <w:t xml:space="preserve"> in March 2006, patients with lower than normal PCSK9 levels due to a genetic abnormality not only had significantly lower levels of LDL cholesterol, but also a significant reduction in the risk of coronary heart disease. We used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generate a fully human monoclonal antibody inhibitor of PCSK9, called alirocumab, that is intended to lower LDL cholesterol.</w:t>
      </w:r>
    </w:p>
    <w:p>
      <w:pPr>
        <w:spacing w:after="0" w:line="24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Alirocumab has been studied in three Phase 2 clinical studies, two in patients with primary hypercholesterolemia and one in patients with heterozygous familial hypercholesterolemia (heFH). In the Phase 2 studies, alirocumab significantly reduced LDL-cholesterol from baseline up to 72% on top of standard of care statin therapy. Consistent and robust reductions in other lipid parameters, including a reduction in lipoprotein-a (Lp(a)) were also observed. Lp(a) is another form of bad cholesterol which is believed to be a risk factor for coronary heart disease and strokes when elevated. In the Phase 2 program, injection site reactions were the most common adverse events with alirocumab, and were rare. Rare cases of hypersensitivity reaction were also reported. Serious adverse events (SAEs) were reported in 1.8% of patients (5/275) in the active treatment arms and 2.6% of patients (2/77) in the placebo groups.</w:t>
      </w:r>
    </w:p>
    <w:p>
      <w:pPr>
        <w:spacing w:after="0" w:line="21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and Sanofi initiated the global Phase 3 ODYSSEY program for alirocumab in June 2012. The ODYSSEY program will enroll more than 22,000 patients. This includes over ten clinical trials evaluating the effect of alirocumab on lowering LDL cholesterol. The 18,000 patient ODYSSEY OUTCOMES trial, assessing reduction in serious cardiovascular events, and several other trials in the ODYSSEY program, are currently enrolling patients. LDL cholesterol levels is expected to be the primary efficacy endpoint for initial regulatory filings. The studies will be conducted in clinical centers around the world including the United States, Canada, Western and Eastern Europe, South America, Australia, and Asia. Furthermore, the ODYSSEY-MONO1 trial is evaluating the efficacy and safety of alirocumab versus ezetimibe in patients with primary hypercholesterolemia. We expect to report initial results from the Phase 3 ODYSSEY-MONO1 trial in the second half of 2013.</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Dupilumab (REGN668; IL-4R Antibody) for allergic and immune conditions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dermatitis and allergic asthma.</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Dupilumab is a fully human monoclonal antibody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that is designed to bind to IL-4R. Dupilumab demonstrated positive proof of concept in patients with atopic dermatitis and allergic asthma. Data from two Phase 1b trials in atopic dermatitis was presented at the American Academy of Dermatology annual meeting in March 2013. Data from a Phase 2a trial in allergic asthma will be presented at the American Thoracic Society in May 2013. We and Sanofi plan to initiate Phase 2b studies with dupilumab in asthma and atopic dermatitis in 2013.</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Enoticumab (REGN421; Dll4 Antibody) for advanced malignancies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8"/>
          <w:szCs w:val="18"/>
          <w:i w:val="1"/>
          <w:iCs w:val="1"/>
          <w:color w:val="auto"/>
        </w:rPr>
        <w:t>Nature</w:t>
      </w:r>
      <w:r>
        <w:rPr>
          <w:rFonts w:ascii="Arial" w:cs="Arial" w:eastAsia="Arial" w:hAnsi="Arial"/>
          <w:sz w:val="18"/>
          <w:szCs w:val="18"/>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Enoticumab is a fully human monoclonal antibody to Dll4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is in Phase 1 clinical development.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Nesvacumab (REGN910; ANG2 Antibody) for oncology and ophthalmology</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angiopoietins, which were discovered at Regeneron, are ligands for the endothelial cell receptor Tie2 and are essential for vascular development and angiogenesis. Unlike other family members, angiopoietin-2 (ANG2) is strongly upregulated by endothelial cells at sites of angiogenesis and vascular remodeling, including tumors. Enhanced anti-tumor effects have been observed in preclinical models with combined blockade of both VEGF and ANG2.</w:t>
      </w:r>
    </w:p>
    <w:p>
      <w:pPr>
        <w:spacing w:after="0" w:line="20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Nesvacumab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block ANG2. Nesvacumab is in Phase 1 clinical development in oncology. In addition, during the third quarter of 2012, we and Sanofi initiated a Phase 1b study evaluating nesvacumab in combination with ZALTRAP in patients with advanced solid malignancies.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May 2013, we acquired from Sanofi full rights to antibodies targeting the ANG2 receptor and ligand in ophthalmology, as described below. We expect our ANG2 inhibitor to enter clinical development in ophthalmology in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REGN1033 (GDF8 Antibody)</w:t>
      </w:r>
    </w:p>
    <w:p>
      <w:pPr>
        <w:spacing w:after="0" w:line="27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 xml:space="preserve">In January 2012, we initiated a Phase 1 clinical study for REGN1033, a fully human monoclonal GDF8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Myostatin has been validated as a target to increase muscle mass and strength through genetic mutations in both animals and humans that abrogate its bioactivity.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REGN1400 (ErbB3 Antibody) for oncology</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REGN1400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ErbB3. REGN1400 is in Phase 1 clinical development in oncology.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REGN846</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REGN846 is a fully human monoclonal antibody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against an undisclosed target, and is being evaluated in a Phase 1b study in patients with atopic dermatitis. In July 2011, Sanofi elected not to continue co-development of REGN846, and Regeneron now has sole global rights to REGN846. Under the terms of our agreement, Sanofi remains obligated to fund agreed-upon REGN846 clinical costs through conclusion of a planned proof of concept trial and is entitled to receive a mid-single digit royalty on any future sales of REGN846.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REGN1154</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REGN1154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In March 2012, we initiated a Phase 1 clinical study in Australia. Sanofi decided not to opt-in to the REGN1154 program and we have sole global rights. Under the terms of our agreement, Sanofi is entitled to receive a mid-single digit royalty on any future sales of REGN1154.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REGN1500</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 xml:space="preserve">REGN1500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against an undisclosed target. In December 2012, we initiated a Phase 1 clinical study. Sanofi decided not to opt-in to the REGN1500 program and we have sole global rights. Under the terms of our agreement, Sanofi is entitled to receive a mid-single digit royalty on any future sales of REGN1500.</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0"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Fasinumab (REGN475; NGF Antibody) for pain (on clinical hold)</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Fasinumab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which is designed to block pain sensitization in neurons. Preclinical experiments indicate that fasinumab specifically binds to and blocks NGF activity and does not bind to or block cell signaling for the closely related neurotrophins NT-3 and BDNF.</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December 2012, the FDA placed fasinumab and other investigational agents targeting NGF on clinical hold based on preclinical findings with other anti-NGF agents in development. Prior to the FDA clinical hold action, we were planning to initiate late-stage clinical trials with fasinumab. There are currently no ongoing trials with fasinumab that are either enrolling or treating patients.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Sanofi elected not to continue co-development of fasinumab, and we have sole global rights. Under the terms of our agreement, Sanofi is entitled to receive a mid-single digit royalty on any future sales of fasinumab.</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Ophthalmology Development Programs from Sanofi</w:t>
      </w:r>
    </w:p>
    <w:p>
      <w:pPr>
        <w:spacing w:after="0" w:line="14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May 2013, we acquired from Sanofi full exclusive rights to two families of novel antibodies invented at Regeneron and previously included in our antibody collaboration with Sanofi. We acquired full rights to antibodies targeting the PDGF (platelet derived growth factor) family of receptors and ligands in ophthalmology and all other indications and to antibodies targeting the ANG2 receptor and ligand in ophthalmology. Antibodies to PDGF and ANG2 are currently in preclinical development for use in ophthalmology.</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respect to PDGF antibodies, we will pay Sanofi $10 million upfront, up to $40 million in development milestone payments, and royalties on any future sales. With respect to ANG2 antibodies in ophthalmology, we will pay Sanofi $10 million upfront, a potential $5 million development milestone payment, and royalties on any future sales.</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and Sanofi will continue to develop antibodies to ANG2 outside of ophthalmology under our antibody collaboration agreement, including nesvacumab, as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14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our three approved products, EYLEA, ZALTRAP, and ARCALYST.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4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6"/>
          <w:szCs w:val="16"/>
          <w:b w:val="1"/>
          <w:bCs w:val="1"/>
          <w:i w:val="1"/>
          <w:iCs w:val="1"/>
          <w:color w:val="auto"/>
        </w:rPr>
        <w:t xml:space="preserve">VelociSuite. </w:t>
      </w:r>
      <w:r>
        <w:rPr>
          <w:rFonts w:ascii="Arial" w:cs="Arial" w:eastAsia="Arial" w:hAnsi="Arial"/>
          <w:sz w:val="16"/>
          <w:szCs w:val="16"/>
          <w:i w:val="1"/>
          <w:iCs w:val="1"/>
          <w:color w:val="auto"/>
        </w:rPr>
        <w:t>VelociSuite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VelocImmune, VelociGene, VelociMouse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and VelociMab</w:t>
      </w:r>
      <w:r>
        <w:rPr>
          <w:rFonts w:ascii="Arial" w:cs="Arial" w:eastAsia="Arial" w:hAnsi="Arial"/>
          <w:sz w:val="16"/>
          <w:szCs w:val="16"/>
          <w:color w:val="auto"/>
        </w:rPr>
        <w:t>.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VelocImmune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mouse platform is utilized to produce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fully human monoclonal antibodies.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was generated by exploiting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(see below), in a process in which six megabases of mouse immune gene loci were replaced, or “humanized,” with corresponding human immune gene loci.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can be used to generate efficiently fully human monoclonal antibodies to targets of therapeutic interest.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and our entire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offer the potential to increase the speed and efficiency through which human monoclonal antibody therapeutics may be discovered and validated, thereby improving the overall efficiency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9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4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i w:val="1"/>
          <w:iCs w:val="1"/>
          <w:color w:val="auto"/>
        </w:rPr>
        <w:t>ZALTRAP</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and Sanofi globally collaborate on the development and commercialization of ZALTRAP. Under the terms of our September 2003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collaboration agreement, as amended, we and Sanofi share co-promotion rights and share profits and losses from commercialization of ZALTRAP outside of Japan. In Japan, we are entitled to a royalty of approximately 35% on sales of ZALTRAP, subject to certain potential adjustments.</w:t>
      </w:r>
    </w:p>
    <w:p>
      <w:pPr>
        <w:spacing w:after="0" w:line="216"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Under the ZALTRAP collaboration agreement, as amended, agreed upon worldwide development expenses incurred by both companies during the term of the agreement are funded by Sanofi. If the collaboration becomes profitable, we will be obligated to reimburse Sanofi out of our share of ZALTRAP profits (including royalties on sales of ZALTRAP in Japan)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we expect that, initially, our share of any ZALTRAP profits will be used to reimburse Sanofi for this repayment obligation.</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Antibodies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November 2007, we and Sanofi entered into a global, strategic collaboration to discover, develop, and commercialize fully human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The collaboration is governed 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w:t>
      </w:r>
    </w:p>
    <w:p>
      <w:pPr>
        <w:spacing w:after="0" w:line="24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Sanofi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November 2009, we and Sanofi amended these agreements to expand and extend our antibody collaboration. The goal of the expanded collaboration is to advance a total of 20 to 30 new antibody product candidates into clinical development from 2010 through 2017.</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amended discovery agreement, Sanofi agreed to fund up to $160 million per year of our antibody discovery activities over the period from 2010-2017, subject to a one-time option for Sanofi to adjust the maximum reimbursement amount down to $120 million per year commencing in 2014 if, over the prior two years, certain specified criteria were not satisfied. Sanofi has an option to extend the discovery program for up to an additional three years after 2017 for further antibody development and preclinical activities. Pursuant to the collaboration, Sanofi funded $30 million of agreed-upon costs we incurred to expand our manufacturing capacity at our Rensselaer, New York facilities.</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August 2008, we entered into an agreement with Sanofi, which extended through December 2012, to use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platform to supply Sanofi with genetically modified mammalian models of gene function and disease. Under this agreement, Sanofi is paying us a total of $21.5 million for knock-out and transgenic models of gene function for target genes identified by Sanofi. These models are used by Sanofi for its internal research programs that are outside of the scope of our antibody collaboration.</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Bayer HealthCare</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October 2006, we entered into a license and collaboration agreement with Bayer HealthCare for the 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May 2012, Bayer HealthCare's Japanese subsidiary, Bayer Yakuhin, Ltd., and Santen Pharmaceutical Co., Ltd. entered into an agreement to co-promote EYLEA in Japan. In conjunction with this agreement, we and Bayer HealthCare amended our existing global license and collaboration agreement for EYLEA to convert the 50/50 profit share for Japan into a royalty agreement under which we are entitled to receive a tiered royalty of between 33.5% and 40.0% of EYLEA annual net sales in Japan. In certain specified circumstances, the Japan royalty may revert to a profit share arrangement.</w:t>
      </w:r>
    </w:p>
    <w:p>
      <w:pPr>
        <w:spacing w:after="0" w:line="19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may also receive up to $25 million in additional milestone payments related to marketing approvals of EYLEA in other indications in major market countries outside the United States, and can earn up to $135 million in sales milestone payments if twelve-month sales of EYLEA outside the United States achieve certain specified levels starting at $200 million.</w:t>
      </w:r>
    </w:p>
    <w:p>
      <w:pPr>
        <w:spacing w:after="0" w:line="46"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royalties on sales of EYLEA in Japan). The reimbursement payment in any quarter will equal 5% of the then outstanding repayment obligation, but never more than our share of the collaboration profits in the quarter unless we elect to reimburse Bayer HealthCare at a faster rate. As a result, we expect that, initially, a portion of our share of EYLEA profits outside the United States will be used to reimburse Bayer HealthCare for this repayment obligation.</w:t>
      </w:r>
    </w:p>
    <w:p>
      <w:pPr>
        <w:spacing w:after="0" w:line="173" w:lineRule="exact"/>
        <w:rPr>
          <w:sz w:val="20"/>
          <w:szCs w:val="20"/>
          <w:color w:val="auto"/>
        </w:rPr>
      </w:pPr>
    </w:p>
    <w:p>
      <w:pPr>
        <w:ind w:right="1660" w:firstLine="243"/>
        <w:spacing w:after="0" w:line="407" w:lineRule="auto"/>
        <w:rPr>
          <w:sz w:val="20"/>
          <w:szCs w:val="20"/>
          <w:color w:val="auto"/>
        </w:rPr>
      </w:pPr>
      <w:r>
        <w:rPr>
          <w:rFonts w:ascii="Arial" w:cs="Arial" w:eastAsia="Arial" w:hAnsi="Arial"/>
          <w:sz w:val="18"/>
          <w:szCs w:val="18"/>
          <w:color w:val="auto"/>
        </w:rPr>
        <w:t xml:space="preserve">Within the United States, we retain exclusive commercialization rights to EYLEA and are entitled to all profits from any such sales. </w:t>
      </w:r>
      <w:r>
        <w:rPr>
          <w:rFonts w:ascii="Arial" w:cs="Arial" w:eastAsia="Arial" w:hAnsi="Arial"/>
          <w:sz w:val="18"/>
          <w:szCs w:val="18"/>
          <w:b w:val="1"/>
          <w:bCs w:val="1"/>
          <w:color w:val="auto"/>
        </w:rPr>
        <w:t>License Agreement with Astellas</w:t>
      </w:r>
    </w:p>
    <w:p>
      <w:pPr>
        <w:jc w:val="both"/>
        <w:ind w:firstLine="230"/>
        <w:spacing w:after="0" w:line="271" w:lineRule="auto"/>
        <w:rPr>
          <w:sz w:val="20"/>
          <w:szCs w:val="20"/>
          <w:color w:val="auto"/>
        </w:rPr>
      </w:pPr>
      <w:r>
        <w:rPr>
          <w:rFonts w:ascii="Arial" w:cs="Arial" w:eastAsia="Arial" w:hAnsi="Arial"/>
          <w:sz w:val="17"/>
          <w:szCs w:val="17"/>
          <w:color w:val="auto"/>
        </w:rPr>
        <w:t xml:space="preserve">In March 2007, we entered into a six-year, non-exclusive license agreement with Astellas Pharma Inc. to allow Astellas to utilize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its internal research programs to discover human monoclonal antibodies.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Agreement with Novartis Pharma AG</w:t>
      </w:r>
    </w:p>
    <w:p>
      <w:pPr>
        <w:spacing w:after="0" w:line="229"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Under a June 2009 agreement with Novartis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and gouty arthritis, and is in earlier stage development for atherosclerosis and other inflammatory diseases. We are unable to predict whether these royalties will ever contribute materially to our results of operations or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88"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Beginning in the first quarter of 2012, we reported profitability; prior to that, we generally incurred net losses. Our ability to continue to generate profits and to generate positive cash flow from operations over the next several years depends significantly on our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Our operating results may fluctuate from quarter to quarter and will depend on, among other factors, the net sales of our marketed products, the scope and progress of our research and development efforts, the timing of certain expenses, and the continuation of our collaborations with Sanofi and Bayer HealthCare, including our share of collaboration profits or losses, or royalties, from sales of commercialized products and the amount of reimbursement of our research and development expenses that we receive from collaborators. We cannot predict whether or when new products or new indications for our marketed products will receive regulatory approval or, if any such approval is received, whether we will be able to successfully commercialize such product(s) and whether or when they may become profitable.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2013 to date were, and plans for the next 12 months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Trap-based Clinical Programs:</w:t>
      </w:r>
    </w:p>
    <w:p>
      <w:pPr>
        <w:spacing w:after="0" w:line="167" w:lineRule="exact"/>
        <w:rPr>
          <w:sz w:val="20"/>
          <w:szCs w:val="20"/>
          <w:color w:val="auto"/>
        </w:rPr>
      </w:pPr>
    </w:p>
    <w:p>
      <w:pPr>
        <w:ind w:left="2260"/>
        <w:spacing w:after="0"/>
        <w:tabs>
          <w:tab w:leader="none" w:pos="7380" w:val="left"/>
        </w:tabs>
        <w:rPr>
          <w:sz w:val="20"/>
          <w:szCs w:val="20"/>
          <w:color w:val="auto"/>
        </w:rPr>
      </w:pPr>
      <w:r>
        <w:rPr>
          <w:rFonts w:ascii="Arial" w:cs="Arial" w:eastAsia="Arial" w:hAnsi="Arial"/>
          <w:sz w:val="18"/>
          <w:szCs w:val="18"/>
          <w:b w:val="1"/>
          <w:bCs w:val="1"/>
          <w:color w:val="auto"/>
        </w:rPr>
        <w:t>2013 Events to Date</w:t>
      </w:r>
      <w:r>
        <w:rPr>
          <w:sz w:val="20"/>
          <w:szCs w:val="20"/>
          <w:color w:val="auto"/>
        </w:rPr>
        <w:tab/>
      </w:r>
      <w:r>
        <w:rPr>
          <w:rFonts w:ascii="Arial" w:cs="Arial" w:eastAsia="Arial" w:hAnsi="Arial"/>
          <w:sz w:val="16"/>
          <w:szCs w:val="16"/>
          <w:b w:val="1"/>
          <w:bCs w:val="1"/>
          <w:color w:val="auto"/>
        </w:rPr>
        <w:t>2013-14 Plans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34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EYLEA</w:t>
      </w:r>
    </w:p>
    <w:p>
      <w:pPr>
        <w:sectPr>
          <w:pgSz w:w="11900" w:h="16838" w:orient="portrait"/>
          <w:cols w:equalWidth="0" w:num="1">
            <w:col w:w="11400"/>
          </w:cols>
          <w:pgMar w:left="240" w:top="130" w:right="259" w:bottom="1440" w:gutter="0" w:footer="0" w:header="0"/>
        </w:sectPr>
      </w:pPr>
    </w:p>
    <w:p>
      <w:pPr>
        <w:spacing w:after="0" w:line="63" w:lineRule="exact"/>
        <w:rPr>
          <w:sz w:val="20"/>
          <w:szCs w:val="20"/>
          <w:color w:val="auto"/>
        </w:rPr>
      </w:pPr>
    </w:p>
    <w:p>
      <w:pPr>
        <w:ind w:left="380" w:hanging="268"/>
        <w:spacing w:after="0" w:line="259"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Bayer HealthCare received regulatory approval for EYLEA in New Zealand, South Korea, and other countries for the treatment of patients with wet AMD and continued to pursue regulatory applications for marketing approval in other countries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69" w:right="520" w:hanging="269"/>
        <w:spacing w:after="0" w:line="264" w:lineRule="auto"/>
        <w:tabs>
          <w:tab w:leader="none" w:pos="26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agency decisions on additional applications outside the United States for the treatment of wet AMD and macular edema following CRVO</w:t>
      </w:r>
    </w:p>
    <w:p>
      <w:pPr>
        <w:spacing w:after="0" w:line="235" w:lineRule="exact"/>
        <w:rPr>
          <w:sz w:val="20"/>
          <w:szCs w:val="20"/>
          <w:color w:val="auto"/>
        </w:rPr>
      </w:pPr>
    </w:p>
    <w:p>
      <w:pPr>
        <w:sectPr>
          <w:pgSz w:w="11900" w:h="16838" w:orient="portrait"/>
          <w:cols w:equalWidth="0" w:num="2">
            <w:col w:w="5460" w:space="351"/>
            <w:col w:w="5589"/>
          </w:cols>
          <w:pgMar w:left="240" w:top="130" w:right="259" w:bottom="1440" w:gutter="0" w:footer="0" w:header="0"/>
          <w:type w:val="continuous"/>
        </w:sectPr>
      </w:pPr>
    </w:p>
    <w:p>
      <w:pPr>
        <w:ind w:left="120"/>
        <w:spacing w:after="0"/>
        <w:tabs>
          <w:tab w:leader="none" w:pos="5800" w:val="left"/>
        </w:tabs>
        <w:rPr>
          <w:sz w:val="20"/>
          <w:szCs w:val="20"/>
          <w:color w:val="auto"/>
        </w:rPr>
      </w:pPr>
      <w:r>
        <w:rPr>
          <w:rFonts w:ascii="Arial" w:cs="Arial" w:eastAsia="Arial" w:hAnsi="Arial"/>
          <w:sz w:val="18"/>
          <w:szCs w:val="18"/>
          <w:color w:val="auto"/>
        </w:rPr>
        <w:t>Ÿ  Bayer HealthCare received regulatory approval for EYLEA in first</w:t>
      </w:r>
      <w:r>
        <w:rPr>
          <w:sz w:val="20"/>
          <w:szCs w:val="20"/>
          <w:color w:val="auto"/>
        </w:rPr>
        <w:tab/>
      </w:r>
      <w:r>
        <w:rPr>
          <w:rFonts w:ascii="Arial" w:cs="Arial" w:eastAsia="Arial" w:hAnsi="Arial"/>
          <w:sz w:val="17"/>
          <w:szCs w:val="17"/>
          <w:color w:val="auto"/>
        </w:rPr>
        <w:t>Ÿ  Report one year primary endpoint (EU) results for VIVID-DME study</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country outside the United States for the treatment of patients with</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macular edema following CRVO and continued to pursue regulatory</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applications for marketing approval in other countries</w:t>
      </w:r>
    </w:p>
    <w:p>
      <w:pPr>
        <w:sectPr>
          <w:pgSz w:w="11900" w:h="16838" w:orient="portrait"/>
          <w:cols w:equalWidth="0" w:num="1">
            <w:col w:w="11400"/>
          </w:cols>
          <w:pgMar w:left="240" w:top="130" w:right="259" w:bottom="1440" w:gutter="0" w:footer="0" w:header="0"/>
          <w:type w:val="continuous"/>
        </w:sectPr>
      </w:pPr>
    </w:p>
    <w:p>
      <w:pPr>
        <w:spacing w:after="0" w:line="49" w:lineRule="exact"/>
        <w:rPr>
          <w:sz w:val="20"/>
          <w:szCs w:val="20"/>
          <w:color w:val="auto"/>
        </w:rPr>
      </w:pPr>
    </w:p>
    <w:p>
      <w:pPr>
        <w:ind w:left="380" w:hanging="268"/>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Completed enrollment of VIBRANT study in macular edema following</w:t>
      </w:r>
    </w:p>
    <w:p>
      <w:pPr>
        <w:spacing w:after="0" w:line="46"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BRVO</w:t>
      </w:r>
    </w:p>
    <w:p>
      <w:pPr>
        <w:spacing w:after="0" w:line="48" w:lineRule="exact"/>
        <w:rPr>
          <w:rFonts w:ascii="Arial" w:cs="Arial" w:eastAsia="Arial" w:hAnsi="Arial"/>
          <w:sz w:val="16"/>
          <w:szCs w:val="16"/>
          <w:color w:val="auto"/>
        </w:rPr>
      </w:pPr>
    </w:p>
    <w:p>
      <w:pPr>
        <w:ind w:left="380" w:right="40" w:hanging="268"/>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Initiated Phase 3 VIVID EAST-DME study in Russia, China, and other Asian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0834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69" w:right="560" w:hanging="269"/>
        <w:spacing w:after="0" w:line="277" w:lineRule="auto"/>
        <w:tabs>
          <w:tab w:leader="none" w:pos="269"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Report six month primary endpoint results for VIBRANT study in macular edema following BRVO</w:t>
      </w:r>
    </w:p>
    <w:p>
      <w:pPr>
        <w:spacing w:after="0" w:line="8" w:lineRule="exact"/>
        <w:rPr>
          <w:rFonts w:ascii="Arial" w:cs="Arial" w:eastAsia="Arial" w:hAnsi="Arial"/>
          <w:sz w:val="18"/>
          <w:szCs w:val="18"/>
          <w:color w:val="auto"/>
        </w:rPr>
      </w:pPr>
    </w:p>
    <w:p>
      <w:pPr>
        <w:ind w:left="269" w:hanging="269"/>
        <w:spacing w:after="0"/>
        <w:tabs>
          <w:tab w:leader="none" w:pos="2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Report primary endpoint results for MYRROR study in myopic CNV</w:t>
      </w:r>
    </w:p>
    <w:p>
      <w:pPr>
        <w:spacing w:after="0" w:line="302" w:lineRule="exact"/>
        <w:rPr>
          <w:rFonts w:ascii="Arial" w:cs="Arial" w:eastAsia="Arial" w:hAnsi="Arial"/>
          <w:sz w:val="16"/>
          <w:szCs w:val="16"/>
          <w:color w:val="auto"/>
        </w:rPr>
      </w:pPr>
    </w:p>
    <w:p>
      <w:pPr>
        <w:ind w:left="269" w:hanging="269"/>
        <w:spacing w:after="0"/>
        <w:tabs>
          <w:tab w:leader="none" w:pos="2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Report two year primary endpoint results for VISTA-DME study</w:t>
      </w:r>
    </w:p>
    <w:p>
      <w:pPr>
        <w:spacing w:after="0" w:line="88" w:lineRule="exact"/>
        <w:rPr>
          <w:sz w:val="20"/>
          <w:szCs w:val="20"/>
          <w:color w:val="auto"/>
        </w:rPr>
      </w:pPr>
    </w:p>
    <w:p>
      <w:pPr>
        <w:sectPr>
          <w:pgSz w:w="11900" w:h="16838" w:orient="portrait"/>
          <w:cols w:equalWidth="0" w:num="2">
            <w:col w:w="5540" w:space="271"/>
            <w:col w:w="5589"/>
          </w:cols>
          <w:pgMar w:left="240" w:top="130" w:right="259" w:bottom="1440" w:gutter="0" w:footer="0" w:header="0"/>
          <w:type w:val="continuous"/>
        </w:sectPr>
      </w:pPr>
    </w:p>
    <w:p>
      <w:pPr>
        <w:ind w:left="380"/>
        <w:spacing w:after="0"/>
        <w:rPr>
          <w:sz w:val="20"/>
          <w:szCs w:val="20"/>
          <w:color w:val="auto"/>
        </w:rPr>
      </w:pPr>
      <w:r>
        <w:rPr>
          <w:rFonts w:ascii="Arial" w:cs="Arial" w:eastAsia="Arial" w:hAnsi="Arial"/>
          <w:sz w:val="16"/>
          <w:szCs w:val="16"/>
          <w:b w:val="1"/>
          <w:bCs w:val="1"/>
          <w:i w:val="1"/>
          <w:iCs w:val="1"/>
          <w:color w:val="auto"/>
        </w:rPr>
        <w:t>ZALTRAP</w:t>
      </w:r>
    </w:p>
    <w:p>
      <w:pPr>
        <w:sectPr>
          <w:pgSz w:w="11900" w:h="16838" w:orient="portrait"/>
          <w:cols w:equalWidth="0" w:num="1">
            <w:col w:w="11400"/>
          </w:cols>
          <w:pgMar w:left="240" w:top="130" w:right="259" w:bottom="1440" w:gutter="0" w:footer="0" w:header="0"/>
          <w:type w:val="continuous"/>
        </w:sectPr>
      </w:pPr>
    </w:p>
    <w:p>
      <w:pPr>
        <w:spacing w:after="0" w:line="86" w:lineRule="exact"/>
        <w:rPr>
          <w:sz w:val="20"/>
          <w:szCs w:val="20"/>
          <w:color w:val="auto"/>
        </w:rPr>
      </w:pPr>
    </w:p>
    <w:p>
      <w:pPr>
        <w:ind w:left="380" w:hanging="268"/>
        <w:spacing w:after="0" w:line="312" w:lineRule="auto"/>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European Commission granted marketing authorization in the European Union for ZALTRAP for patients with mCRC that is resistant to or has progressed following an oxaliplatin-containing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834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69" w:right="420" w:hanging="269"/>
        <w:spacing w:after="0" w:line="264" w:lineRule="auto"/>
        <w:tabs>
          <w:tab w:leader="none" w:pos="2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agency decisions outside the United States on additional applications for ZALTRAP in the treatment of previously treated mCRC patients</w:t>
      </w:r>
    </w:p>
    <w:p>
      <w:pPr>
        <w:spacing w:after="0" w:line="234" w:lineRule="exact"/>
        <w:rPr>
          <w:sz w:val="20"/>
          <w:szCs w:val="20"/>
          <w:color w:val="auto"/>
        </w:rPr>
      </w:pPr>
    </w:p>
    <w:p>
      <w:pPr>
        <w:sectPr>
          <w:pgSz w:w="11900" w:h="16838" w:orient="portrait"/>
          <w:cols w:equalWidth="0" w:num="2">
            <w:col w:w="5560" w:space="251"/>
            <w:col w:w="5589"/>
          </w:cols>
          <w:pgMar w:left="240" w:top="130" w:right="259" w:bottom="1440" w:gutter="0" w:footer="0" w:header="0"/>
          <w:type w:val="continuous"/>
        </w:sect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130" w:right="2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1">
              <w:r>
                <w:rPr>
                  <w:rFonts w:ascii="Arial" w:cs="Arial" w:eastAsia="Arial" w:hAnsi="Arial"/>
                  <w:sz w:val="16"/>
                  <w:szCs w:val="16"/>
                  <w:color w:val="0000FF"/>
                  <w:w w:val="90"/>
                </w:rPr>
                <w:t>Table of Contents</w:t>
              </w:r>
            </w:hyperlink>
          </w:p>
        </w:tc>
        <w:tc>
          <w:tcPr>
            <w:tcW w:w="1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561"/>
        </w:trPr>
        <w:tc>
          <w:tcPr>
            <w:tcW w:w="240" w:type="dxa"/>
            <w:vAlign w:val="bottom"/>
          </w:tcPr>
          <w:p>
            <w:pPr>
              <w:spacing w:after="0"/>
              <w:rPr>
                <w:sz w:val="24"/>
                <w:szCs w:val="24"/>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6"/>
              </w:rPr>
              <w:t>Antibody-based Clinical Programs:</w:t>
            </w:r>
          </w:p>
        </w:tc>
        <w:tc>
          <w:tcPr>
            <w:tcW w:w="6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34"/>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60" w:type="dxa"/>
            <w:vAlign w:val="bottom"/>
          </w:tcPr>
          <w:p>
            <w:pPr>
              <w:ind w:left="1160"/>
              <w:spacing w:after="0"/>
              <w:rPr>
                <w:sz w:val="20"/>
                <w:szCs w:val="20"/>
                <w:color w:val="auto"/>
              </w:rPr>
            </w:pPr>
            <w:r>
              <w:rPr>
                <w:rFonts w:ascii="Arial" w:cs="Arial" w:eastAsia="Arial" w:hAnsi="Arial"/>
                <w:sz w:val="18"/>
                <w:szCs w:val="18"/>
                <w:b w:val="1"/>
                <w:bCs w:val="1"/>
                <w:color w:val="auto"/>
              </w:rPr>
              <w:t>2013 Events to Date</w:t>
            </w:r>
          </w:p>
        </w:tc>
        <w:tc>
          <w:tcPr>
            <w:tcW w:w="360" w:type="dxa"/>
            <w:vAlign w:val="bottom"/>
          </w:tcPr>
          <w:p>
            <w:pPr>
              <w:spacing w:after="0"/>
              <w:rPr>
                <w:sz w:val="24"/>
                <w:szCs w:val="24"/>
                <w:color w:val="auto"/>
              </w:rPr>
            </w:pPr>
          </w:p>
        </w:tc>
        <w:tc>
          <w:tcPr>
            <w:tcW w:w="3780" w:type="dxa"/>
            <w:vAlign w:val="bottom"/>
          </w:tcPr>
          <w:p>
            <w:pPr>
              <w:ind w:left="700"/>
              <w:spacing w:after="0"/>
              <w:rPr>
                <w:sz w:val="20"/>
                <w:szCs w:val="20"/>
                <w:color w:val="auto"/>
              </w:rPr>
            </w:pPr>
            <w:r>
              <w:rPr>
                <w:rFonts w:ascii="Arial" w:cs="Arial" w:eastAsia="Arial" w:hAnsi="Arial"/>
                <w:sz w:val="18"/>
                <w:szCs w:val="18"/>
                <w:b w:val="1"/>
                <w:bCs w:val="1"/>
                <w:color w:val="auto"/>
              </w:rPr>
              <w:t>2013-14 Plans (next 12 months)</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Sarilumab (IL-6R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Continued enrollment in Phase 3 SARIL-RA</w:t>
            </w: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w w:val="98"/>
              </w:rPr>
              <w:t>Report initial results from SARIL-RA MOBILITY</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program</w:t>
            </w: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study</w:t>
            </w:r>
          </w:p>
        </w:tc>
      </w:tr>
      <w:tr>
        <w:trPr>
          <w:trHeight w:val="270"/>
        </w:trPr>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rPr>
              <w:t>Initiate additional Phase 3 studies</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Alirocumab (PCSK9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Continued patient enrollment in Phase 3</w:t>
            </w: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w w:val="98"/>
              </w:rPr>
              <w:t>Continue enrollment of the Phase 3 ODYSSEY</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ODYSSEY trials</w:t>
            </w: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trials</w:t>
            </w:r>
          </w:p>
        </w:tc>
      </w:tr>
      <w:tr>
        <w:trPr>
          <w:trHeight w:val="256"/>
        </w:trPr>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rPr>
              <w:t>Report initial results from Phase 3 ODYSSEY-</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MONO1 trial</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Dupilumab (IL-4R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Reported initial results for Phase 1b studies in</w:t>
            </w: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rPr>
              <w:t>Present initial results from Phase 2a study in</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atopic dermatitis</w:t>
            </w: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allergic asthma</w:t>
            </w:r>
          </w:p>
        </w:tc>
      </w:tr>
      <w:tr>
        <w:trPr>
          <w:trHeight w:val="256"/>
        </w:trPr>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rPr>
              <w:t>Initiate Phase 2b trials in atopic dermatitis and</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allergic asthma</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Enoticumab (Dll4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w w:val="97"/>
              </w:rPr>
              <w:t>Complete patient enrollment in the expansion of</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the Phase 1 program</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Nesvacumab (ANG2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360" w:type="dxa"/>
            <w:vAlign w:val="bottom"/>
          </w:tcPr>
          <w:p>
            <w:pPr>
              <w:ind w:left="18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rPr>
              <w:t>Complete patient enrollment in the Phase 1b</w:t>
            </w: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80" w:type="dxa"/>
            <w:vAlign w:val="bottom"/>
          </w:tcPr>
          <w:p>
            <w:pPr>
              <w:ind w:left="60"/>
              <w:spacing w:after="0"/>
              <w:rPr>
                <w:sz w:val="20"/>
                <w:szCs w:val="20"/>
                <w:color w:val="auto"/>
              </w:rPr>
            </w:pPr>
            <w:r>
              <w:rPr>
                <w:rFonts w:ascii="Arial" w:cs="Arial" w:eastAsia="Arial" w:hAnsi="Arial"/>
                <w:sz w:val="18"/>
                <w:szCs w:val="18"/>
                <w:color w:val="auto"/>
              </w:rPr>
              <w:t>program in advanced malignancies</w:t>
            </w:r>
          </w:p>
        </w:tc>
      </w:tr>
      <w:tr>
        <w:trPr>
          <w:trHeight w:val="270"/>
        </w:trPr>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rPr>
              <w:t>Initiate clinical development in ophthalmology</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REGN1033 (GDF8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w w:val="96"/>
              </w:rPr>
              <w:t>Continue patient enrollment in Phase 1 program</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REGN1400 (ErbB3 Antibody)</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w w:val="96"/>
              </w:rPr>
              <w:t>Continue patient enrollment in Phase 1 program</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22"/>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REGN846 (target not disclosed)</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Continued patient treatment in</w:t>
            </w:r>
          </w:p>
        </w:tc>
        <w:tc>
          <w:tcPr>
            <w:tcW w:w="360" w:type="dxa"/>
            <w:vAlign w:val="bottom"/>
          </w:tcPr>
          <w:p>
            <w:pPr>
              <w:spacing w:after="0"/>
              <w:rPr>
                <w:sz w:val="19"/>
                <w:szCs w:val="19"/>
                <w:color w:val="auto"/>
              </w:rPr>
            </w:pPr>
          </w:p>
        </w:tc>
        <w:tc>
          <w:tcPr>
            <w:tcW w:w="378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760" w:type="dxa"/>
            <w:vAlign w:val="bottom"/>
          </w:tcPr>
          <w:p>
            <w:pPr>
              <w:ind w:left="60"/>
              <w:spacing w:after="0"/>
              <w:rPr>
                <w:sz w:val="20"/>
                <w:szCs w:val="20"/>
                <w:color w:val="auto"/>
              </w:rPr>
            </w:pPr>
            <w:r>
              <w:rPr>
                <w:rFonts w:ascii="Arial" w:cs="Arial" w:eastAsia="Arial" w:hAnsi="Arial"/>
                <w:sz w:val="18"/>
                <w:szCs w:val="18"/>
                <w:color w:val="auto"/>
              </w:rPr>
              <w:t>Phase 1b program in atopic dermatitis</w:t>
            </w:r>
          </w:p>
        </w:tc>
        <w:tc>
          <w:tcPr>
            <w:tcW w:w="36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9"/>
              </w:rPr>
              <w:t>REGN1154 (target not disclosed)</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w w:val="96"/>
              </w:rPr>
              <w:t>Continue patient enrollment in Phase 1 program</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w w:val="99"/>
              </w:rPr>
              <w:t>REGN1500 (target not disclosed)</w:t>
            </w:r>
          </w:p>
        </w:tc>
        <w:tc>
          <w:tcPr>
            <w:tcW w:w="660" w:type="dxa"/>
            <w:vAlign w:val="bottom"/>
          </w:tcPr>
          <w:p>
            <w:pPr>
              <w:ind w:left="46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w w:val="93"/>
              </w:rPr>
              <w:t>Continued patient enrollment in Phase 1 program</w:t>
            </w: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w w:val="96"/>
              </w:rPr>
              <w:t>Continue patient enrollment in Phase 1 program</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660" w:type="dxa"/>
            <w:vAlign w:val="bottom"/>
          </w:tcPr>
          <w:p>
            <w:pPr>
              <w:ind w:left="480"/>
              <w:spacing w:after="0"/>
              <w:rPr>
                <w:sz w:val="20"/>
                <w:szCs w:val="20"/>
                <w:color w:val="auto"/>
              </w:rPr>
            </w:pPr>
            <w:r>
              <w:rPr>
                <w:rFonts w:ascii="Arial" w:cs="Arial" w:eastAsia="Arial" w:hAnsi="Arial"/>
                <w:sz w:val="18"/>
                <w:szCs w:val="18"/>
                <w:color w:val="auto"/>
              </w:rPr>
              <w:t>Ÿ</w:t>
            </w:r>
          </w:p>
        </w:tc>
        <w:tc>
          <w:tcPr>
            <w:tcW w:w="3760" w:type="dxa"/>
            <w:vAlign w:val="bottom"/>
          </w:tcPr>
          <w:p>
            <w:pPr>
              <w:ind w:left="60"/>
              <w:spacing w:after="0"/>
              <w:rPr>
                <w:sz w:val="20"/>
                <w:szCs w:val="20"/>
                <w:color w:val="auto"/>
              </w:rPr>
            </w:pPr>
            <w:r>
              <w:rPr>
                <w:rFonts w:ascii="Arial" w:cs="Arial" w:eastAsia="Arial" w:hAnsi="Arial"/>
                <w:sz w:val="18"/>
                <w:szCs w:val="18"/>
                <w:color w:val="auto"/>
              </w:rPr>
              <w:t>On clinical hold</w:t>
            </w:r>
          </w:p>
        </w:tc>
        <w:tc>
          <w:tcPr>
            <w:tcW w:w="360" w:type="dxa"/>
            <w:vAlign w:val="bottom"/>
          </w:tcPr>
          <w:p>
            <w:pPr>
              <w:ind w:left="160"/>
              <w:spacing w:after="0"/>
              <w:rPr>
                <w:sz w:val="20"/>
                <w:szCs w:val="20"/>
                <w:color w:val="auto"/>
              </w:rPr>
            </w:pPr>
            <w:r>
              <w:rPr>
                <w:rFonts w:ascii="Arial" w:cs="Arial" w:eastAsia="Arial" w:hAnsi="Arial"/>
                <w:sz w:val="18"/>
                <w:szCs w:val="18"/>
                <w:color w:val="auto"/>
              </w:rPr>
              <w:t>Ÿ</w:t>
            </w:r>
          </w:p>
        </w:tc>
        <w:tc>
          <w:tcPr>
            <w:tcW w:w="3780" w:type="dxa"/>
            <w:vAlign w:val="bottom"/>
          </w:tcPr>
          <w:p>
            <w:pPr>
              <w:ind w:left="60"/>
              <w:spacing w:after="0"/>
              <w:rPr>
                <w:sz w:val="20"/>
                <w:szCs w:val="20"/>
                <w:color w:val="auto"/>
              </w:rPr>
            </w:pPr>
            <w:r>
              <w:rPr>
                <w:rFonts w:ascii="Arial" w:cs="Arial" w:eastAsia="Arial" w:hAnsi="Arial"/>
                <w:sz w:val="18"/>
                <w:szCs w:val="18"/>
                <w:color w:val="auto"/>
              </w:rPr>
              <w:t>Determine future development plan</w:t>
            </w:r>
          </w:p>
        </w:tc>
      </w:tr>
      <w:tr>
        <w:trPr>
          <w:trHeight w:val="27"/>
        </w:trPr>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669"/>
        </w:trPr>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60" w:type="dxa"/>
            <w:vAlign w:val="bottom"/>
          </w:tcPr>
          <w:p>
            <w:pPr>
              <w:ind w:left="210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2013 and 2012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reported net income of $98.9 million, or $0.90 per diluted share, for the first quarter of 2013, compared to $11.7 million, or $0.11 per diluted share, for the first quarter of 2012. The increase in net income resulted primarily from an increase in net product sales of EYLEA, which we launched in November 2011.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Revenues for the three months ended March 31, 2013 and 2012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43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14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product sales consist of U.S. sales of EYLEA and ARCALYST. In November 2011, we received marketing approval from the FDA for EYLEA for the treatment of wet AMD, at which time product sales commenced. In addition, in September 2012, we received marketing approval from the FDA for EYLEA for the treatment of macular edema following CRVO. For the three months ended March 31, 2013 and 2012, we recognized EYLEA net product sales of $313.9 million and $123.5 million, respectively. For the three months ended March 31, 2013 and 2012, we also recognized ARCALYST net product sales of $4.8 million and $4.4 million, respectively.</w:t>
      </w:r>
    </w:p>
    <w:p>
      <w:pPr>
        <w:spacing w:after="0" w:line="10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three months ended March 31, 2013 and 2012, we recorded 77% and 81%, respectively, of our total gross product revenue from sales to Besse Medical, a subsidiary of AmerisourceBergen Corporation.</w:t>
      </w:r>
    </w:p>
    <w:p>
      <w:pPr>
        <w:spacing w:after="0" w:line="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record product sales net of allowances and accruals for rebates and chargebacks under governmental programs (including Medicaid), distribution-related fees, prompt pay discounts, product returns, and other sales-related deductions. The following table summarizes the provisions, and credits/payments, for sales-related deductions for the three months ended March 31, 2013 and 2012.</w:t>
      </w:r>
    </w:p>
    <w:p>
      <w:pPr>
        <w:spacing w:after="0" w:line="258"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Distribution-</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Related Fees</w:t>
            </w:r>
          </w:p>
        </w:tc>
        <w:tc>
          <w:tcPr>
            <w:tcW w:w="1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w w:val="99"/>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March 31, 2013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340" w:type="dxa"/>
            <w:vAlign w:val="bottom"/>
          </w:tcPr>
          <w:p>
            <w:pPr>
              <w:ind w:left="160"/>
              <w:spacing w:after="0"/>
              <w:rPr>
                <w:sz w:val="20"/>
                <w:szCs w:val="20"/>
                <w:color w:val="auto"/>
              </w:rPr>
            </w:pPr>
            <w:r>
              <w:rPr>
                <w:rFonts w:ascii="Arial" w:cs="Arial" w:eastAsia="Arial" w:hAnsi="Arial"/>
                <w:sz w:val="18"/>
                <w:szCs w:val="18"/>
                <w:color w:val="auto"/>
                <w:w w:val="99"/>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3340" w:type="dxa"/>
            <w:vAlign w:val="bottom"/>
          </w:tcPr>
          <w:p>
            <w:pPr>
              <w:ind w:left="20"/>
              <w:spacing w:after="0"/>
              <w:rPr>
                <w:sz w:val="20"/>
                <w:szCs w:val="20"/>
                <w:color w:val="auto"/>
              </w:rPr>
            </w:pPr>
            <w:r>
              <w:rPr>
                <w:rFonts w:ascii="Arial" w:cs="Arial" w:eastAsia="Arial" w:hAnsi="Arial"/>
                <w:sz w:val="18"/>
                <w:szCs w:val="18"/>
                <w:color w:val="auto"/>
              </w:rPr>
              <w:t>Balance as of March 31, 2012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81"/>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collaboration revenue we earned from Sanofi, as detailed below, consisted primarily of reimbursement for research and development expenses that we incurred, recognition of our share of losses in connection with Sanofi's commercialization of ZALTRAP, and recognition of revenue related to non-refundable up-front payments.</w:t>
      </w:r>
    </w:p>
    <w:p>
      <w:pPr>
        <w:spacing w:after="0" w:line="258"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2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146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and other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Recognition of deferred revenue related to up-front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w w:val="95"/>
              </w:rPr>
              <w:t>Recognition of deferred revenue related to up-front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other payments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2"/>
              </w:rPr>
              <w:t xml:space="preserve">Recognition of revenue related to </w:t>
            </w:r>
            <w:r>
              <w:rPr>
                <w:rFonts w:ascii="Arial" w:cs="Arial" w:eastAsia="Arial" w:hAnsi="Arial"/>
                <w:sz w:val="18"/>
                <w:szCs w:val="18"/>
                <w:i w:val="1"/>
                <w:iCs w:val="1"/>
                <w:color w:val="auto"/>
                <w:w w:val="92"/>
              </w:rPr>
              <w:t>VelociGene</w:t>
            </w:r>
            <w:r>
              <w:rPr>
                <w:rFonts w:ascii="Arial" w:cs="Arial" w:eastAsia="Arial" w:hAnsi="Arial"/>
                <w:sz w:val="18"/>
                <w:szCs w:val="18"/>
                <w:color w:val="auto"/>
                <w:w w:val="92"/>
              </w:rPr>
              <w:t xml:space="preserve"> agreement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83.4</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Sanofi commenced sales of ZALTRAP (ziv-aflibercept) Injection for Intravenous Infusion, in combination with FOLFIRI, for patients with mCRC that is resistant to or has progressed following an oxaliplatin-containing regimen, in the United States in the third quarter of 2012 and in certain countries in Europe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100" w:lineRule="exact"/>
        <w:rPr>
          <w:sz w:val="20"/>
          <w:szCs w:val="20"/>
          <w:color w:val="auto"/>
        </w:rPr>
      </w:pPr>
    </w:p>
    <w:tbl>
      <w:tblPr>
        <w:tblLayout w:type="fixed"/>
        <w:tblInd w:w="2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color w:val="auto"/>
              </w:rPr>
              <w:t>Regeneron's share of losses in connection with</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4"/>
          </w:tcPr>
          <w:p>
            <w:pPr>
              <w:jc w:val="right"/>
              <w:ind w:right="10"/>
              <w:spacing w:after="0" w:line="196" w:lineRule="exact"/>
              <w:rPr>
                <w:sz w:val="20"/>
                <w:szCs w:val="20"/>
                <w:color w:val="auto"/>
              </w:rPr>
            </w:pPr>
            <w:r>
              <w:rPr>
                <w:rFonts w:ascii="Arial" w:cs="Arial" w:eastAsia="Arial" w:hAnsi="Arial"/>
                <w:sz w:val="18"/>
                <w:szCs w:val="18"/>
                <w:b w:val="1"/>
                <w:bCs w:val="1"/>
                <w:color w:val="auto"/>
                <w:w w:val="90"/>
              </w:rPr>
              <w:t>Three months ended March 31,</w:t>
            </w: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00" w:type="dxa"/>
            <w:vAlign w:val="bottom"/>
          </w:tcPr>
          <w:p>
            <w:pPr>
              <w:spacing w:after="0"/>
              <w:rPr>
                <w:sz w:val="20"/>
                <w:szCs w:val="20"/>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recorded by Sanofi</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2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share of the loss increased in the first quarter of 2013, compared to the first quarter of 2012, as higher costs in connection with launching ZALTRAP were partly offset by net product sales. Sanofi provides us with an estimate of our share of the profit or loss from commercialization of ZALTRAP for the most recent fiscal quarter. Sanofi's estimates of net products sales and related expenses for such quarter are reconciled to their actual net product sales and related expenses in the subsequent fiscal quarter, and our portion of the profit or loss is adjusted accordingly, as necessary.</w:t>
      </w:r>
    </w:p>
    <w:p>
      <w:pPr>
        <w:spacing w:after="0" w:line="15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Recognition of deferred revenue related to the ZALTRAP up-front payments from Sanofi decreased in the first quarter of 2013, compared to the same period of 2012, due to lengthening the estimated performance period over which this deferred revenue is being recognized, effective in the first quarter of 2013. In connection with recognition of deferred revenue related to ZALTRAP, as of March 31, 2013, $10.1 million of the original $105.0 million of up-front payments was deferred and will be recognized as revenue in future periods.</w:t>
      </w:r>
    </w:p>
    <w:p>
      <w:pPr>
        <w:spacing w:after="0" w:line="10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quarter of 2013, Sanofi's reimbursement of our antibody expenses consisted of $44.8 million under our discovery agreement and $55.8 million of development costs under our license agreement, compared to $44.6 million and $36.2 million, respectively, in the first quarter of 2012. The higher reimbursement of development costs in the first quarter of 2013, compared to the same period of 2012, was primarily due to increased development activities for alirocumab.</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it relates to recognition of deferred revenue, in connection with the November 2009 amendment of the discovery agreement, Sanofi has funded $30 million of agreed-upon costs incurred by us to expand our manufacturing capacity at our Rensselaer, New York facilities. Revenue related to such funding from Sanofi was deferred and is being recognized as collaboration revenue prospectively over the related performance period in conjunction with the recognition of the original $85.0 million up-front payment. As of March 31, 2013, $67.0 million of the up-front and other payments was deferred and will be recognized as revenue in future periods.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collaboration revenue we earned from Bayer HealthCare, as detailed below, consisted primarily of recognition of our share of profits in connection with commercialization of EYLEA outside the United States, cost-sharing of Regeneron EYLEA development expenses, and recognition of revenue related to a non-refundable $75.0 million up-front payment received in 2006 and a $20.0 million milestone payment received in 2007 (which, for the purpose of revenue recognition, was not considered substantive).</w:t>
      </w:r>
    </w:p>
    <w:p>
      <w:pPr>
        <w:spacing w:after="0" w:line="26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146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March 31,</w:t>
            </w:r>
          </w:p>
        </w:tc>
        <w:tc>
          <w:tcPr>
            <w:tcW w:w="840" w:type="dxa"/>
            <w:vAlign w:val="bottom"/>
          </w:tcPr>
          <w:p>
            <w:pPr>
              <w:spacing w:after="0"/>
              <w:rPr>
                <w:sz w:val="16"/>
                <w:szCs w:val="16"/>
                <w:color w:val="auto"/>
              </w:rPr>
            </w:pP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2012</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4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5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9"/>
              </w:rPr>
              <w:t>commercialization of EYLEA outside the 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4520" w:type="dxa"/>
            <w:vAlign w:val="bottom"/>
            <w:gridSpan w:val="3"/>
          </w:tcPr>
          <w:p>
            <w:pPr>
              <w:ind w:left="20"/>
              <w:spacing w:after="0"/>
              <w:rPr>
                <w:sz w:val="20"/>
                <w:szCs w:val="20"/>
                <w:color w:val="auto"/>
              </w:rPr>
            </w:pPr>
            <w:r>
              <w:rPr>
                <w:rFonts w:ascii="Arial" w:cs="Arial" w:eastAsia="Arial" w:hAnsi="Arial"/>
                <w:sz w:val="18"/>
                <w:szCs w:val="18"/>
                <w:color w:val="auto"/>
                <w:w w:val="95"/>
              </w:rPr>
              <w:t>Cost-sharing of Regeneron EYLEA development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Reimbursement of other Regeneron EYLEA expenses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4520" w:type="dxa"/>
            <w:vAlign w:val="bottom"/>
            <w:gridSpan w:val="3"/>
          </w:tcPr>
          <w:p>
            <w:pPr>
              <w:ind w:left="20"/>
              <w:spacing w:after="0"/>
              <w:rPr>
                <w:sz w:val="20"/>
                <w:szCs w:val="20"/>
                <w:color w:val="auto"/>
              </w:rPr>
            </w:pPr>
            <w:r>
              <w:rPr>
                <w:rFonts w:ascii="Arial" w:cs="Arial" w:eastAsia="Arial" w:hAnsi="Arial"/>
                <w:sz w:val="18"/>
                <w:szCs w:val="18"/>
                <w:color w:val="auto"/>
              </w:rPr>
              <w:t>Recognition of deferred revenue related to up-front and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160"/>
              <w:spacing w:after="0"/>
              <w:rPr>
                <w:sz w:val="20"/>
                <w:szCs w:val="20"/>
                <w:color w:val="auto"/>
              </w:rPr>
            </w:pPr>
            <w:r>
              <w:rPr>
                <w:rFonts w:ascii="Arial" w:cs="Arial" w:eastAsia="Arial" w:hAnsi="Arial"/>
                <w:sz w:val="18"/>
                <w:szCs w:val="18"/>
                <w:color w:val="auto"/>
              </w:rPr>
              <w:t>other milestone payments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commenced sales of EYLEA for the treatment of wet AMD in the fourth quarter of 2012 following receipt of regulatory approvals in the European Union and other regions. Regeneron's net profit in connection with commercialization of EYLEA outside the United States is summarized below.</w:t>
      </w:r>
    </w:p>
    <w:p>
      <w:pPr>
        <w:sectPr>
          <w:pgSz w:w="11900" w:h="16838" w:orient="portrait"/>
          <w:cols w:equalWidth="0" w:num="1">
            <w:col w:w="11420"/>
          </w:cols>
          <w:pgMar w:left="240" w:top="130" w:right="239" w:bottom="1440" w:gutter="0" w:footer="0" w:header="0"/>
        </w:sectPr>
      </w:pPr>
    </w:p>
    <w:p>
      <w:pPr>
        <w:spacing w:after="0" w:line="258" w:lineRule="exact"/>
        <w:rPr>
          <w:sz w:val="20"/>
          <w:szCs w:val="20"/>
          <w:color w:val="auto"/>
        </w:rPr>
      </w:pPr>
    </w:p>
    <w:p>
      <w:pPr>
        <w:ind w:left="2820" w:right="100"/>
        <w:spacing w:after="0" w:line="282" w:lineRule="auto"/>
        <w:rPr>
          <w:sz w:val="20"/>
          <w:szCs w:val="20"/>
          <w:color w:val="auto"/>
        </w:rPr>
      </w:pPr>
      <w:r>
        <w:rPr>
          <w:rFonts w:ascii="Arial" w:cs="Arial" w:eastAsia="Arial" w:hAnsi="Arial"/>
          <w:sz w:val="18"/>
          <w:szCs w:val="18"/>
          <w:b w:val="1"/>
          <w:bCs w:val="1"/>
          <w:u w:val="single" w:color="auto"/>
          <w:color w:val="auto"/>
        </w:rPr>
        <w:t>Regeneron's Net Profit from EYLEA Sales Outside the United States</w:t>
      </w:r>
    </w:p>
    <w:p>
      <w:pPr>
        <w:spacing w:after="0" w:line="4" w:lineRule="exact"/>
        <w:rPr>
          <w:sz w:val="20"/>
          <w:szCs w:val="20"/>
          <w:color w:val="auto"/>
        </w:rPr>
      </w:pPr>
    </w:p>
    <w:p>
      <w:pPr>
        <w:ind w:left="2820"/>
        <w:spacing w:after="0"/>
        <w:rPr>
          <w:sz w:val="20"/>
          <w:szCs w:val="20"/>
          <w:color w:val="auto"/>
        </w:rPr>
      </w:pPr>
      <w:r>
        <w:rPr>
          <w:rFonts w:ascii="Arial" w:cs="Arial" w:eastAsia="Arial" w:hAnsi="Arial"/>
          <w:sz w:val="18"/>
          <w:szCs w:val="18"/>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31750</wp:posOffset>
            </wp:positionV>
            <wp:extent cx="370459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04590" cy="308610"/>
                    </a:xfrm>
                    <a:prstGeom prst="rect">
                      <a:avLst/>
                    </a:prstGeom>
                    <a:noFill/>
                  </pic:spPr>
                </pic:pic>
              </a:graphicData>
            </a:graphic>
          </wp:anchor>
        </w:drawing>
      </w:r>
    </w:p>
    <w:p>
      <w:pPr>
        <w:spacing w:after="0" w:line="43" w:lineRule="exact"/>
        <w:rPr>
          <w:sz w:val="20"/>
          <w:szCs w:val="20"/>
          <w:color w:val="auto"/>
        </w:rPr>
      </w:pPr>
    </w:p>
    <w:p>
      <w:pPr>
        <w:ind w:left="2980" w:right="300" w:hanging="161"/>
        <w:spacing w:after="0" w:line="277" w:lineRule="auto"/>
        <w:rPr>
          <w:sz w:val="20"/>
          <w:szCs w:val="20"/>
          <w:color w:val="auto"/>
        </w:rPr>
      </w:pPr>
      <w:r>
        <w:rPr>
          <w:rFonts w:ascii="Arial" w:cs="Arial" w:eastAsia="Arial" w:hAnsi="Arial"/>
          <w:sz w:val="18"/>
          <w:szCs w:val="18"/>
          <w:color w:val="auto"/>
        </w:rPr>
        <w:t>Net product sales outside the United States recorded by Bayer HealthCare</w:t>
      </w:r>
    </w:p>
    <w:p>
      <w:pPr>
        <w:spacing w:after="0" w:line="8" w:lineRule="exact"/>
        <w:rPr>
          <w:sz w:val="20"/>
          <w:szCs w:val="20"/>
          <w:color w:val="auto"/>
        </w:rPr>
      </w:pPr>
    </w:p>
    <w:p>
      <w:pPr>
        <w:ind w:left="2980" w:hanging="161"/>
        <w:spacing w:after="0" w:line="277" w:lineRule="auto"/>
        <w:rPr>
          <w:sz w:val="20"/>
          <w:szCs w:val="20"/>
          <w:color w:val="auto"/>
        </w:rPr>
      </w:pPr>
      <w:r>
        <w:rPr>
          <w:rFonts w:ascii="Arial" w:cs="Arial" w:eastAsia="Arial" w:hAnsi="Arial"/>
          <w:sz w:val="18"/>
          <w:szCs w:val="18"/>
          <w:color w:val="auto"/>
        </w:rPr>
        <w:t>Regeneron's share of collaboration profit from sales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-1905</wp:posOffset>
            </wp:positionV>
            <wp:extent cx="370459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04590" cy="445770"/>
                    </a:xfrm>
                    <a:prstGeom prst="rect">
                      <a:avLst/>
                    </a:prstGeom>
                    <a:noFill/>
                  </pic:spPr>
                </pic:pic>
              </a:graphicData>
            </a:graphic>
          </wp:anchor>
        </w:drawing>
      </w:r>
    </w:p>
    <w:p>
      <w:pPr>
        <w:ind w:left="2980" w:right="20" w:hanging="161"/>
        <w:spacing w:after="0" w:line="264" w:lineRule="auto"/>
        <w:rPr>
          <w:sz w:val="20"/>
          <w:szCs w:val="20"/>
          <w:color w:val="auto"/>
        </w:rPr>
      </w:pPr>
      <w:r>
        <w:rPr>
          <w:rFonts w:ascii="Arial" w:cs="Arial" w:eastAsia="Arial" w:hAnsi="Arial"/>
          <w:sz w:val="18"/>
          <w:szCs w:val="18"/>
          <w:color w:val="auto"/>
        </w:rPr>
        <w:t>Reimbursement of EYLEA development expenses incurred by Bayer HealthCare in accordance with Regeneron's payment obligation</w:t>
      </w:r>
    </w:p>
    <w:p>
      <w:pPr>
        <w:spacing w:after="0" w:line="19" w:lineRule="exact"/>
        <w:rPr>
          <w:sz w:val="20"/>
          <w:szCs w:val="20"/>
          <w:color w:val="auto"/>
        </w:rPr>
      </w:pPr>
    </w:p>
    <w:p>
      <w:pPr>
        <w:ind w:left="2980" w:right="120" w:hanging="161"/>
        <w:spacing w:after="0" w:line="342" w:lineRule="auto"/>
        <w:rPr>
          <w:sz w:val="20"/>
          <w:szCs w:val="20"/>
          <w:color w:val="auto"/>
        </w:rPr>
      </w:pPr>
      <w:r>
        <w:rPr>
          <w:rFonts w:ascii="Arial" w:cs="Arial" w:eastAsia="Arial" w:hAnsi="Arial"/>
          <w:sz w:val="16"/>
          <w:szCs w:val="16"/>
          <w:color w:val="auto"/>
        </w:rPr>
        <w:t>Regeneron's net profit in connection with commercialization of EYLEA outside the United States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2814"/>
        <w:spacing w:after="0"/>
        <w:rPr>
          <w:sz w:val="20"/>
          <w:szCs w:val="20"/>
          <w:color w:val="auto"/>
        </w:rPr>
      </w:pPr>
      <w:r>
        <w:rPr>
          <w:rFonts w:ascii="Arial" w:cs="Arial" w:eastAsia="Arial" w:hAnsi="Arial"/>
          <w:sz w:val="18"/>
          <w:szCs w:val="18"/>
          <w:b w:val="1"/>
          <w:bCs w:val="1"/>
          <w:color w:val="auto"/>
        </w:rPr>
        <w:t>Three months</w:t>
      </w:r>
    </w:p>
    <w:p>
      <w:pPr>
        <w:spacing w:after="0" w:line="27" w:lineRule="exact"/>
        <w:rPr>
          <w:sz w:val="20"/>
          <w:szCs w:val="20"/>
          <w:color w:val="auto"/>
        </w:rPr>
      </w:pPr>
    </w:p>
    <w:p>
      <w:pPr>
        <w:jc w:val="center"/>
        <w:ind w:right="2814"/>
        <w:spacing w:after="0"/>
        <w:rPr>
          <w:sz w:val="20"/>
          <w:szCs w:val="20"/>
          <w:color w:val="auto"/>
        </w:rPr>
      </w:pPr>
      <w:r>
        <w:rPr>
          <w:rFonts w:ascii="Arial" w:cs="Arial" w:eastAsia="Arial" w:hAnsi="Arial"/>
          <w:sz w:val="18"/>
          <w:szCs w:val="18"/>
          <w:b w:val="1"/>
          <w:bCs w:val="1"/>
          <w:color w:val="auto"/>
        </w:rPr>
        <w:t>ended</w:t>
      </w:r>
    </w:p>
    <w:p>
      <w:pPr>
        <w:spacing w:after="0" w:line="45" w:lineRule="exact"/>
        <w:rPr>
          <w:sz w:val="20"/>
          <w:szCs w:val="20"/>
          <w:color w:val="auto"/>
        </w:rPr>
      </w:pPr>
    </w:p>
    <w:p>
      <w:pPr>
        <w:ind w:left="66"/>
        <w:spacing w:after="0"/>
        <w:rPr>
          <w:sz w:val="20"/>
          <w:szCs w:val="20"/>
          <w:color w:val="auto"/>
        </w:rPr>
      </w:pPr>
      <w:r>
        <w:rPr>
          <w:rFonts w:ascii="Arial" w:cs="Arial" w:eastAsia="Arial" w:hAnsi="Arial"/>
          <w:sz w:val="17"/>
          <w:szCs w:val="17"/>
          <w:b w:val="1"/>
          <w:bCs w:val="1"/>
          <w:color w:val="auto"/>
        </w:rPr>
        <w:t>March 31, 2013</w:t>
      </w:r>
    </w:p>
    <w:p>
      <w:pPr>
        <w:spacing w:after="0" w:line="281" w:lineRule="exact"/>
        <w:rPr>
          <w:sz w:val="20"/>
          <w:szCs w:val="20"/>
          <w:color w:val="auto"/>
        </w:rPr>
      </w:pPr>
    </w:p>
    <w:p>
      <w:pPr>
        <w:ind w:left="926" w:hanging="926"/>
        <w:spacing w:after="0"/>
        <w:tabs>
          <w:tab w:leader="none" w:pos="926" w:val="left"/>
        </w:tabs>
        <w:numPr>
          <w:ilvl w:val="0"/>
          <w:numId w:val="14"/>
        </w:numPr>
        <w:rPr>
          <w:rFonts w:ascii="Arial" w:cs="Arial" w:eastAsia="Arial" w:hAnsi="Arial"/>
          <w:sz w:val="18"/>
          <w:szCs w:val="18"/>
          <w:color w:val="auto"/>
        </w:rPr>
      </w:pPr>
      <w:r>
        <w:rPr>
          <w:rFonts w:ascii="Arial" w:cs="Arial" w:eastAsia="Arial" w:hAnsi="Arial"/>
          <w:sz w:val="18"/>
          <w:szCs w:val="18"/>
          <w:color w:val="auto"/>
        </w:rPr>
        <w:t>64.8</w:t>
      </w:r>
    </w:p>
    <w:p>
      <w:pPr>
        <w:spacing w:after="0" w:line="292" w:lineRule="exact"/>
        <w:rPr>
          <w:rFonts w:ascii="Arial" w:cs="Arial" w:eastAsia="Arial" w:hAnsi="Arial"/>
          <w:sz w:val="18"/>
          <w:szCs w:val="18"/>
          <w:color w:val="auto"/>
        </w:rPr>
      </w:pPr>
    </w:p>
    <w:p>
      <w:pPr>
        <w:ind w:left="926"/>
        <w:spacing w:after="0"/>
        <w:rPr>
          <w:rFonts w:ascii="Arial" w:cs="Arial" w:eastAsia="Arial" w:hAnsi="Arial"/>
          <w:sz w:val="18"/>
          <w:szCs w:val="18"/>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-267335</wp:posOffset>
            </wp:positionV>
            <wp:extent cx="866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right"/>
        <w:ind w:right="282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46" w:lineRule="exact"/>
        <w:rPr>
          <w:sz w:val="20"/>
          <w:szCs w:val="20"/>
          <w:color w:val="auto"/>
        </w:rPr>
      </w:pPr>
    </w:p>
    <w:p>
      <w:pPr>
        <w:ind w:left="1026" w:hanging="1026"/>
        <w:spacing w:after="0"/>
        <w:tabs>
          <w:tab w:leader="none" w:pos="1026" w:val="left"/>
        </w:tabs>
        <w:numPr>
          <w:ilvl w:val="0"/>
          <w:numId w:val="15"/>
        </w:numPr>
        <w:rPr>
          <w:rFonts w:ascii="Arial" w:cs="Arial" w:eastAsia="Arial" w:hAnsi="Arial"/>
          <w:sz w:val="18"/>
          <w:szCs w:val="18"/>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48895</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120" w:space="174"/>
            <w:col w:w="4126"/>
          </w:cols>
          <w:pgMar w:left="240" w:top="130" w:right="239" w:bottom="1440" w:gutter="0" w:footer="0" w:header="0"/>
          <w:type w:val="continuous"/>
        </w:sectPr>
      </w:pPr>
    </w:p>
    <w:p>
      <w:pPr>
        <w:jc w:val="both"/>
        <w:ind w:firstLine="243"/>
        <w:spacing w:after="0" w:line="276" w:lineRule="auto"/>
        <w:rPr>
          <w:sz w:val="20"/>
          <w:szCs w:val="20"/>
          <w:color w:val="auto"/>
        </w:rPr>
      </w:pPr>
      <w:r>
        <w:rPr>
          <w:rFonts w:ascii="Arial" w:cs="Arial" w:eastAsia="Arial" w:hAnsi="Arial"/>
          <w:sz w:val="17"/>
          <w:szCs w:val="17"/>
          <w:color w:val="auto"/>
        </w:rPr>
        <w:t>Our share of the profit and the Japan royalties we earned from commercialization of EYLEA outside the United States were partly offset by our contractual obligation to reimburse Bayer HealthCare for a portion of the agreed-upon development expenses previously incurred by Bayer HealthCare. Bayer HealthCare provides us with an estimate of our share of the profit or loss from commercialization of EYLEA outside the United States for the most recent fiscal quarter. Bayer HealthCare's estimates of net product sales and related expenses for such quarter are reconciled to their actual net product sales and related expenses in the subsequent fiscal quarter, and our portion of the profit or loss is adjusted accordingly, as necessary.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Cost-sharing of our global EYLEA development expenses with Bayer HealthCare decreased in the first quarter of 2013 compared to the same period in 2012. In the first quarter of 2013, we incurred lower costs in connection with regulatory activities and our EYLEA clinical studies in wet AMD.</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March 31, 2013, $27.7 million of the up-front and 2007 milestone payments was deferred and will be recognized as revenue in future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Revenue</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In connection with the amendment and extension of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in August 2010, we received a $165.0 million up-front payment, which was deferred upon receipt and is being recognized as revenue ratably over a seven-year period beginning in June 2011. In the first quarter of both 2013 and 2012, we recognized $5.9 million of technology licensing revenue related to this agreement. As of March 31, 2013, $122.2 million of the August 2010 technology licensing payment received from Astellas was deferred and will be recognized as revenue in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Under a June 2009 agreement with Novartis, we receive royalties on worldwide sales of Novartis' canakinumab. In the first quarter of 2013 and 2012, other revenue included $0.8 million and $0.5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$286.6 million in the first quarter of 2013 from $209.6 million in the first quarter of 2012. Our average headcount in the first quarter of 2013 increased to 1,996 from 1,729 in the same period of 2012, principally in connection with expanding our research and development, and commercialization, activities.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 the first quarter of 2013 and 2012 included a total of $53.0 million and $23.2 million, respectively, of non-cash compensation expense related to employee stock option and restricted stock awards (Non-cash Compensation Expense). The increase in total Non-cash Compensation Expense in the first quarter of 2013 was primarily attributable to the higher fair market value of our Common Stock on the date of our annual employee option grants made in December 2012 compared to recent prior years.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right="20" w:firstLine="243"/>
        <w:spacing w:after="0" w:line="308" w:lineRule="auto"/>
        <w:rPr>
          <w:sz w:val="20"/>
          <w:szCs w:val="20"/>
          <w:color w:val="auto"/>
        </w:rPr>
      </w:pPr>
      <w:r>
        <w:rPr>
          <w:rFonts w:ascii="Arial" w:cs="Arial" w:eastAsia="Arial" w:hAnsi="Arial"/>
          <w:sz w:val="17"/>
          <w:szCs w:val="17"/>
          <w:color w:val="auto"/>
        </w:rPr>
        <w:t>Research and development expenses increased to $180.3 million in the first quarter of 2013 from $138.9 million in the same period of 2012. The following table summarizes the major categories of our research and development expenses for the three months ended March 31, 2013 and 2012:</w:t>
      </w:r>
    </w:p>
    <w:p>
      <w:pPr>
        <w:spacing w:after="0" w:line="210"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color w:val="auto"/>
              </w:rPr>
              <w:t>Research and Development Expenses</w:t>
            </w:r>
          </w:p>
        </w:tc>
        <w:tc>
          <w:tcPr>
            <w:tcW w:w="2720" w:type="dxa"/>
            <w:vAlign w:val="bottom"/>
            <w:gridSpan w:val="6"/>
          </w:tcPr>
          <w:p>
            <w:pPr>
              <w:ind w:left="120"/>
              <w:spacing w:after="0"/>
              <w:rPr>
                <w:sz w:val="20"/>
                <w:szCs w:val="20"/>
                <w:color w:val="auto"/>
              </w:rPr>
            </w:pPr>
            <w:r>
              <w:rPr>
                <w:rFonts w:ascii="Arial" w:cs="Arial" w:eastAsia="Arial" w:hAnsi="Arial"/>
                <w:sz w:val="18"/>
                <w:szCs w:val="18"/>
                <w:b w:val="1"/>
                <w:bCs w:val="1"/>
                <w:color w:val="auto"/>
                <w:w w:val="97"/>
              </w:rPr>
              <w:t>Three months ended March 31,</w:t>
            </w:r>
          </w:p>
        </w:tc>
        <w:tc>
          <w:tcPr>
            <w:tcW w:w="18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33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300" w:type="dxa"/>
            <w:vAlign w:val="bottom"/>
            <w:gridSpan w:val="3"/>
          </w:tcPr>
          <w:p>
            <w:pPr>
              <w:ind w:left="20"/>
              <w:spacing w:after="0"/>
              <w:rPr>
                <w:sz w:val="20"/>
                <w:szCs w:val="20"/>
                <w:color w:val="auto"/>
              </w:rPr>
            </w:pPr>
            <w:r>
              <w:rPr>
                <w:rFonts w:ascii="Arial" w:cs="Arial" w:eastAsia="Arial" w:hAnsi="Arial"/>
                <w:sz w:val="18"/>
                <w:szCs w:val="18"/>
                <w:color w:val="auto"/>
                <w:w w:val="97"/>
              </w:rPr>
              <w:t>Cost-sharing of Bayer HealthCare EYLEA</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hanging="488"/>
        <w:spacing w:after="0" w:line="258"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Non-cash Compensation Expense of $23.7 million for the three months ended March 31, 2013 and $9.5 million for the three months ended March 31, 2012.</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$3.1 million for the three months ended March 31, 2013 and $1.0 million for the three months ended March 31, 2012.</w:t>
      </w:r>
    </w:p>
    <w:p>
      <w:pPr>
        <w:spacing w:after="0" w:line="1"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11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Payroll and benefits increased principally due to the increase in employee headcount and Non-cash Compensation Expense, as described above. Clinical trial expenses increased slightly due primarily to higher costs for clinical studies of alirocumab and dupilumab, partly offset by lower costs related to our Phase 3 trials of EYLEA in wet AMD and ARCALYST, which have concluded. Clinical manufacturing costs increased primarily due to higher costs related to manufacturing alirocumab and other antibody candidates, partly offset by lower costs related to manufacturing sarilumab and clinical supplies of ARCALYST. Cost-sharing of Bayer HealthCare's EYLEA development expenses decreased primarily due to lower costs in connection with Bayer HealthCare's CRVO and DME development activities.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251"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color w:val="auto"/>
              </w:rPr>
              <w:t>Project Costs</w:t>
            </w:r>
          </w:p>
        </w:tc>
        <w:tc>
          <w:tcPr>
            <w:tcW w:w="120" w:type="dxa"/>
            <w:vAlign w:val="bottom"/>
          </w:tcPr>
          <w:p>
            <w:pPr>
              <w:spacing w:after="0"/>
              <w:rPr>
                <w:sz w:val="17"/>
                <w:szCs w:val="17"/>
                <w:color w:val="auto"/>
              </w:rPr>
            </w:pPr>
          </w:p>
        </w:tc>
        <w:tc>
          <w:tcPr>
            <w:tcW w:w="2620" w:type="dxa"/>
            <w:vAlign w:val="bottom"/>
            <w:gridSpan w:val="5"/>
          </w:tcPr>
          <w:p>
            <w:pPr>
              <w:spacing w:after="0"/>
              <w:rPr>
                <w:sz w:val="20"/>
                <w:szCs w:val="20"/>
                <w:color w:val="auto"/>
              </w:rPr>
            </w:pPr>
            <w:r>
              <w:rPr>
                <w:rFonts w:ascii="Arial" w:cs="Arial" w:eastAsia="Arial" w:hAnsi="Arial"/>
                <w:sz w:val="18"/>
                <w:szCs w:val="18"/>
                <w:b w:val="1"/>
                <w:bCs w:val="1"/>
                <w:color w:val="auto"/>
                <w:w w:val="98"/>
              </w:rPr>
              <w:t>Three months ended March 31,</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EYLEA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ARCALYST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ZALTRAP</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Alirocumab</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338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or additional indications for our marketed products in clinical development will generate material product revenues and net cash inflows.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Selling, general, and administrative expenses increased to $77.3 million in the first quarter of 2013 from $58.4 million in the same period of 2012 due to higher expenses in connection with commercialization of EYLEA, including the Branded Prescription Drug Fee (as described in the Liquidity and Capital Resources section below), and higher Non-cash Compensation Expense principally for the reason described above. Selling, general, and administrative expenses included $25.8 million and $12.6 million of Non-cash Compensation Expense in the first quarter of 2013 and 2012,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Cost of goods sold increased to $29.1 million in the first quarter of 2013 from $12.3 million in the same period of 2012 due primarily to increased sales of EYLEA. Cost of goods sold primarily consisted of royalties, as well as costs in connection with producing EYLEA and ARCALYST commercial supplies. In addition, cost of goods sold in the first quarter of 2013 and 2012 included inventory write-downs and reserves totaling $3.2 million and $1.9 million, respectively. We record a charge to cost of goods sold to write down our inventory to its estimated realizable value if certain batches or units of product do not meet quality specifications or are expected to expire prior to sale.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Interest expense increased slightly to $11.7 million in the first quarter of 2013 from $11.2 million in the same period of 2012. In October 2011, we issued $400.0 million aggregate principal amount of 1.875% convertible senior notes. Total interest expense in the first quarter of 2013 and 2012 associated with these notes, including amortization of the note discount and debt issuance costs, was $7.7 million and $7.1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quarter of 2013, we recorded a $43.0 million income tax provision. The effective tax rate for the first quarter was 30.3%, which included, as a discrete item, the impact of enacting The American Taxpayer Relief Act in January 2013. The American Taxpayer Relief Act included a provision to extend the income tax credit for increased research activities retroactively to the tax year ended December 31, 2012. As a result, our 2012 research tax credit reduced our effective tax rate for the first quarter of 2013 by 12.3%.</w:t>
      </w:r>
    </w:p>
    <w:p>
      <w:pPr>
        <w:spacing w:after="0" w:line="18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first quarter of 2012, income tax expense relating to our pre-tax income was fully offset by a reversal of a portion of our valuation allowance. As of March 31, 2012, we continued to recognize a full valuation allowance against our net operating loss carry-forward and other deferred tax assets since we had an extended history of losses. In the fourth quarter of 2012, we recorded an income tax benefit attributable to the release of substantially all of the remaining valuation allowance against our deferred tax assets. The decision to release this valuation allowance was made after we determined that it was more likely than not that these deferred tax assets would be realized.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2012, we became profitable and began to generate cash from our product sales of EYLEA. From our inception in 1988, we have financed our operations primarily through offerings of our equity securities, private placements of convertible debt, purchases of our equity securities by our collaborators, including Sanofi, revenue earned under our past and present research and development agreements, including our agreements with Sanofi and Bayer HealthCare, EYLEA and ARCALYST product revenue, our technology licensing agreements, our past contract manufacturing agreements, and investment income.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Three Months Ended March 31, 2013 and 2012</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March 31, 2013, we had $662.8 million in cash, cash equivalents, and marketable securities (including $8.5 million of restricted cash and marketable securities) compared with $587.5 million (including $8.2 million of restricted cash and marketable securities) at December 31, 2012. In connection with our product launch of EYLEA in November 2011, we have offered extended payment terms to our EYLEA customers. As a result, due to the growth of our EYLEA product sales, our net trade accounts receivable (none of which are past due) have increased to $703.9 million at March 31, 2013 from $593.2 million at December 31, 2012. During the three months ended March 31, 2013, we collected $222.1 million of EYLEA trade receivables, and we expect such collections to increase during the rest of the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Operating Activities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provided by operating activities was $86.2 million in the first quarter of 2013. Our net income of $98.9 million in the first quarter of 2013 included (i) Non-cash Compensation Expense of $53.0 million, (ii) depreciation and amortization of $9.4 million, (iii) non-cash interest expense of $5.8 million, resulting from the amortization of the discount and debt issuance costs in connection with our convertible senior notes, which were issued in October 2011, and (iv) other non-cash charges, including inventory write-downs and reserves totaling $3.2 million.</w:t>
      </w:r>
    </w:p>
    <w:p>
      <w:pPr>
        <w:spacing w:after="0" w:line="200" w:lineRule="exact"/>
        <w:rPr>
          <w:sz w:val="20"/>
          <w:szCs w:val="20"/>
          <w:color w:val="auto"/>
        </w:rPr>
      </w:pPr>
    </w:p>
    <w:p>
      <w:pPr>
        <w:ind w:right="120" w:firstLine="243"/>
        <w:spacing w:after="0" w:line="270" w:lineRule="auto"/>
        <w:rPr>
          <w:sz w:val="20"/>
          <w:szCs w:val="20"/>
          <w:color w:val="auto"/>
        </w:rPr>
      </w:pPr>
      <w:r>
        <w:rPr>
          <w:rFonts w:ascii="Arial" w:cs="Arial" w:eastAsia="Arial" w:hAnsi="Arial"/>
          <w:sz w:val="17"/>
          <w:szCs w:val="17"/>
          <w:color w:val="auto"/>
        </w:rPr>
        <w:t>Deferred tax assets at March 31, 2013 decreased by $39.5 million, compared to end-of-year 2012, due to utilization of these assets to offset income taxes payable for the first quarter of 2013. At March 31, 2013, Sanofi and trade accounts receivable increased by $109.5 million, compared to end-of-year 2012, primarily due to higher trade accounts receivable in connection with EYLEA product sales, as described above. Prepaid expenses and other current assets increased by $43.7 million, compared to end-of-year 2012, primarily due to higher balances of capitalized inventory costs, principally in connection with EYLEA commercial supplies, and higher prepaid sales-related fees. Our deferred revenue at March 31, 2013 decreased by $6.5 million, compared to end-of-year 2012, primarily due to amortization of a previously deferred $165.0 million payment under our license agreement with Astellas and amortization of previously deferred payments under our Sanofi and Bayer HealthCare collaborations. Accounts payable, accrued expenses, and other liabilities increased by $32.1 million at March 31, 2013, compared to end-of-year 2012, primarily due to higher sales-related charges, deductions, and royalties related to EYLEA and higher payroll-related liabilities.</w:t>
      </w:r>
    </w:p>
    <w:p>
      <w:pPr>
        <w:spacing w:after="0" w:line="1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used in operating activities was $87.0 million in the first quarter of 2012. Our net income of $11.7 million in the first quarter of 2012 included (i) Non-cash Compensation Expense of $23.2 million, (ii) depreciation and amortization of $8.4 million, and (iii) non-cash interest expense of $5.5 million, including $5.2 million resulting from the amortization of the discount and debt issuance costs in connection with our convertible senior notes, which were issued in October 2011.</w:t>
      </w:r>
    </w:p>
    <w:p>
      <w:pPr>
        <w:spacing w:after="0" w:line="10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March 31, 2012, Sanofi and trade accounts receivable increased by $135.3 million, compared to end-of-year 2011, primarily due to higher trade accounts receivable in connection with higher EYLEA product sales. Our deferred revenue at March 31, 2012 decreased by $9.1 million, compared to end-of-year 2011,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$12.7 million at March 31, 2012, compared to end-of-year 2011, primarily due to higher commercialization activities and sales-related deductions for EYLEA, partly offset by a decrease in liabilities for payroll-related expenses since accrued year-end 2011 employee bonuses were disbursed in the first quarter of 2012.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Investing Activities</w:t>
      </w:r>
    </w:p>
    <w:p>
      <w:pPr>
        <w:spacing w:after="0" w:line="14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used in investing activities was $147.7 million in the first quarter of 2013, compared with net cash provided by investing activities of $15.8 million in the first quarter of 2012. In the first quarter of 2013, purchases of marketable securities exceeded sales or maturities of marketable securities by $126.2 million. In the first quarter of 2012, sales or maturities of marketable securities exceeded purchases of marketable securities by $27.3 million. Capital expenditures of $21.2 million and $11.1 million in the first quarter of 2013 and 2012, respectively, included costs in connection with expanding our Rensselaer, New York manufacturing facilities and tenant improvement and associated costs related to our leased facilities in Tarrytown, New York.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cash provided by financing activities was $11.5 million in the first quarter of 2013 compared to net cash used in financing activities of $17.8 million in the first quarter of 2012. There was a decrease in exercises of employee stock options in the first quarter of 2013 compared to the same period of 2012. As a result, proceeds from issuances of Common Stock were $13.0 million in the first quarter of 2013 as compared to $31.8 million in the first quarter of 2012. In addition, payments for employee tax obligations in connection with stock option exercises were $3.1 million in the first quarter of 2013 as compared to $49.1 million in the first quarter of 2012.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Marketable Securities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At March 31, 2013 and December 31, 2012, we held marketable securities whose aggregate fair value totaled $482.4 million and $354.9 million, respectively. The composition of our portfolio of marketable securities on these dates was as follows:</w:t>
      </w:r>
    </w:p>
    <w:p>
      <w:pPr>
        <w:spacing w:after="0" w:line="247"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ind w:left="560"/>
              <w:spacing w:after="0"/>
              <w:rPr>
                <w:sz w:val="20"/>
                <w:szCs w:val="20"/>
                <w:color w:val="auto"/>
              </w:rPr>
            </w:pPr>
            <w:r>
              <w:rPr>
                <w:rFonts w:ascii="Arial" w:cs="Arial" w:eastAsia="Arial" w:hAnsi="Arial"/>
                <w:sz w:val="18"/>
                <w:szCs w:val="18"/>
                <w:b w:val="1"/>
                <w:bCs w:val="1"/>
                <w:color w:val="auto"/>
                <w:w w:val="99"/>
              </w:rPr>
              <w:t>March 31, 2013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December 31, 2012</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Investment type</w:t>
            </w:r>
          </w:p>
        </w:tc>
        <w:tc>
          <w:tcPr>
            <w:tcW w:w="140" w:type="dxa"/>
            <w:vAlign w:val="bottom"/>
          </w:tcPr>
          <w:p>
            <w:pPr>
              <w:spacing w:after="0"/>
              <w:rPr>
                <w:sz w:val="17"/>
                <w:szCs w:val="17"/>
                <w:color w:val="auto"/>
              </w:rPr>
            </w:pPr>
          </w:p>
        </w:tc>
        <w:tc>
          <w:tcPr>
            <w:tcW w:w="116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Fair Value</w:t>
            </w:r>
          </w:p>
        </w:tc>
        <w:tc>
          <w:tcPr>
            <w:tcW w:w="1360" w:type="dxa"/>
            <w:vAlign w:val="bottom"/>
            <w:gridSpan w:val="3"/>
          </w:tcPr>
          <w:p>
            <w:pPr>
              <w:ind w:left="340"/>
              <w:spacing w:after="0" w:line="196"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114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rPr>
              <w:t>Fair Value</w:t>
            </w:r>
          </w:p>
        </w:tc>
        <w:tc>
          <w:tcPr>
            <w:tcW w:w="128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Percent</w:t>
            </w:r>
          </w:p>
        </w:tc>
      </w:tr>
      <w:tr>
        <w:trPr>
          <w:trHeight w:val="48"/>
        </w:trPr>
        <w:tc>
          <w:tcPr>
            <w:tcW w:w="20" w:type="dxa"/>
            <w:vAlign w:val="bottom"/>
            <w:tcBorders>
              <w:bottom w:val="single" w:sz="8" w:color="CCEEFF"/>
            </w:tcBorders>
          </w:tcPr>
          <w:p>
            <w:pPr>
              <w:spacing w:after="0"/>
              <w:rPr>
                <w:sz w:val="4"/>
                <w:szCs w:val="4"/>
                <w:color w:val="auto"/>
              </w:rPr>
            </w:pPr>
          </w:p>
        </w:tc>
        <w:tc>
          <w:tcPr>
            <w:tcW w:w="124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w w:val="99"/>
              </w:rPr>
              <w:t>U.S. government and government agency</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obligations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8"/>
              </w:rPr>
              <w:t>Total unrestricted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20" w:type="dxa"/>
            <w:vAlign w:val="bottom"/>
          </w:tcPr>
          <w:p>
            <w:pPr>
              <w:spacing w:after="0"/>
              <w:rPr>
                <w:sz w:val="21"/>
                <w:szCs w:val="21"/>
                <w:color w:val="auto"/>
              </w:rPr>
            </w:pPr>
          </w:p>
        </w:tc>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government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20" w:type="dxa"/>
            <w:vAlign w:val="bottom"/>
          </w:tcPr>
          <w:p>
            <w:pPr>
              <w:spacing w:after="0"/>
              <w:rPr>
                <w:sz w:val="22"/>
                <w:szCs w:val="22"/>
                <w:color w:val="auto"/>
              </w:rPr>
            </w:pPr>
          </w:p>
        </w:tc>
        <w:tc>
          <w:tcPr>
            <w:tcW w:w="3340" w:type="dxa"/>
            <w:vAlign w:val="bottom"/>
            <w:gridSpan w:val="2"/>
          </w:tcPr>
          <w:p>
            <w:pPr>
              <w:ind w:left="240"/>
              <w:spacing w:after="0"/>
              <w:rPr>
                <w:sz w:val="20"/>
                <w:szCs w:val="20"/>
                <w:color w:val="auto"/>
              </w:rPr>
            </w:pPr>
            <w:r>
              <w:rPr>
                <w:rFonts w:ascii="Arial" w:cs="Arial" w:eastAsia="Arial" w:hAnsi="Arial"/>
                <w:sz w:val="18"/>
                <w:szCs w:val="18"/>
                <w:color w:val="auto"/>
              </w:rPr>
              <w:t>Total marketable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482.4</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at March 31, 2013 and December 31, 2012, we had $180.5 million and $232.6 million, respectively, of cash, cash equivalents, and restricted cash, primarily held in money market funds that invest in U.S. government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cash expenditures for property, plant, and equipment totaled $21.2 million in the first quarter of 2013 and $11.1 million in the first quarter of 2012.</w:t>
      </w:r>
    </w:p>
    <w:p>
      <w:pPr>
        <w:spacing w:after="0" w:line="29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We expect to incur capital expenditures of approximately $80 to $100 million during the remainder of 2013 primarily in connection with expanding our manufacturing facilities at our Rensselaer facility, tenant improvements at our leased Tarrytown facilities, and purchases of equipment.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April 2013, we entered into a new lease agreement for additional laboratory and office space at our Tarrytown facility. The new facilities will include approximately 297,000 square feet of laboratory and office space in two new buildings to be constructed. The initial term of the lease is 15 years, and contains three renewal options to extend the terms of the lease by five years each. Construction of the new buildings is anticipated to begin in late 2013 and to be completed in late 2015.</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April 2013, we also executed an early renewal of approximately 360,000 square feet of space that we currently lease at our Tarrytown facility. The early renewal extended the term of the lease from June 2024 to June 2029.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expect continued growth in our expenditures, particularly in connection with our research and development activities (including preclinical and clinical testing), commercialization of EYLEA and ZALTRAP, and capital expenditures. We believe that our existing capital resources, funds generated by anticipated EYLEA net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ZALTRAP and antibodies collaborations are generally funded by Sanofi, except that following receipt of the first positive Phase 3 trial results for a co-developed antibody drug candidate, subsequent Phase 3 trial-related costs for that drug candidate are shared 80% by Sanofi and 20% by us. In addition, as described above, we and Bayer HealthCare share agreed-upon development expenses that both companies incur in connection with our EYLEA collaboration.</w:t>
      </w:r>
    </w:p>
    <w:p>
      <w:pPr>
        <w:spacing w:after="0" w:line="11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described above, in May 2013, we acquired from Sanofi full exclusive rights to antibodies targeting the PDGF family of receptors and ligands in ophthalmology and all other indications and to antibodies targeting the ANG2 receptor and ligand in ophthalmology. With respect to PDGF antibodies, we will pay Sanofi $10 million upfront, up to $40 million in development milestone payments, and royalties on any future sales. With respect to ANG2 antibodies in ophthalmology, we will pay Sanofi $10 million upfront, a potential $5 million development milestone payment, and royalties on any future sales.</w:t>
      </w:r>
    </w:p>
    <w:p>
      <w:pPr>
        <w:spacing w:after="0" w:line="10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Under our collaboration agreements with Sanofi and Bayer HealthCare, we and our collaborator will share profits and losses in connection with commercialization of drug products. Profits or losses under each collaboration are measured by calculating net sales less cost of goods sold and shared commercialization and other expenses. If the applicable collaboration becomes profitable, we have contingent contractual obligations to reimburse Sanofi and Bayer HealthCare for a defined percentage (generally 50%) of agreed-upon development expenses incurred by Sanofi and Bayer HealthCare, respectively. These reimbursements would be deducted each quarter, in accordance with a formula, from our share of the collaboration profits (and, for our ZALTRAP collaboration with Sanofi and our Bayer HealthCare collaboration, royalties on product sales in Japan) otherwise payable to us, unless, in some cases, we elect to reimburse these expenses at a faster rate. In particular, as of December 31, 2012, our reimbursement obligation to Sanofi for ZALTRAP was approximately $419 million, while our reimbursement obligation to Bayer HealthCare for EYLEA was approximately $264 million. Therefore, we expect that, initially, our share of profits from sales of ZALTRAP, and a portion of our share of profits from sales of EYLEA outside the United States, will be used to reimburse our collaborators for these obligations.</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pending or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Our commercialization costs over the next few years will depend on, among other things, whether or not new indications for our marketed products or our antibody product candidates in later stage clinical development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sales of commercial products. In the future, if we are able to successfully develop, market, and sell EYLEA for other indications, or certain of our product candidates, we may be required to pay additional royalties or share the profits from such sales pursuant to our license or collaboration agreements. In addition, under the provisions of the Patient Protection and Affordable Care Act and the Health Care and Education Reconciliation Act of 2010, a non-tax deductible annual fee (the Branded Prescription Drug Fee) is imposed on pharmaceutical manufacturers that sell branded prescription drugs to specified government programs. This fee is allocated to companies, including Regeneron, based on their prior year market share of total branded prescription drug sales into these government programs.</w:t>
      </w:r>
    </w:p>
    <w:p>
      <w:pPr>
        <w:spacing w:after="0" w:line="23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described above, in the first quarter of 2013 and 2012, we made cash payments of $3.1 million and $49.1 million, respectively, for employee tax obligations in connection with stock option exercises. Future cash requirements for such payments will depend on various factors, including the level of stock option grants and exercises, the level of restricted stock grants, and the sales prices of our Common Stock, and may continue to be substantial.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expect that expenses related to the filing, prosecution, defense, and enforcement of patents and other intellectual property will continue to be substantial.</w:t>
      </w:r>
    </w:p>
    <w:p>
      <w:pPr>
        <w:spacing w:after="0" w:line="224"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Due to the amounts of our net operating loss and tax credit carry-forwards available for tax purposes, which totaled $876.6 million and $71.2 million, respectively, at December 31, 2012, we do not anticipate incurring substantive cash obligations for federal and state corporate income taxes in the near future.</w:t>
      </w:r>
    </w:p>
    <w:p>
      <w:pPr>
        <w:spacing w:after="0" w:line="17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our collaboration with Bayer HealthCare, we are entitled to receive milestone payments related to marketing and pricing approvals of EYLEA in major market countries outside the United States, as well as sales milestones based on total twelve-month sales of EYLEA outside the United States achieving certain specified levels. Under the terms of our ZALTRAP collaboration agreement with Sanofi, we are also entitled to receive milestone payments upon receipt of additional specified marketing approvals.</w:t>
      </w:r>
    </w:p>
    <w:p>
      <w:pPr>
        <w:spacing w:after="0" w:line="10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Other than letters of credits totaling $5.0 million as of March 31, 2013, including a $3.4 million letter of credit which was cancelled in April 2013 in connection with the amendment of our Tarrytown lease, as described above, we have no off-balance sheet arrangements. We do not guarantee the obligations of any other entity. As of March 31, 2013, we had no other established banking arrangements through which we could obtain short-term financing or a line of credit. In October 2010, we filed a shelf registration statement on Form S-3, which will expire in October 2013, registering the sale, in one or more offerings, of an indeterminate amount of equity or debt securities, together or separately. There is no assurance, however, that we will be able to complete any offerings of securities under this shelf or other registration statements. Factors influencing the availability of additional financing include our progress in product development and commercialization, investor perception of our prospects, and the general condition of the financial markets.</w:t>
      </w:r>
    </w:p>
    <w:p>
      <w:pPr>
        <w:spacing w:after="0" w:line="163" w:lineRule="exact"/>
        <w:rPr>
          <w:sz w:val="20"/>
          <w:szCs w:val="20"/>
          <w:color w:val="auto"/>
        </w:rPr>
      </w:pPr>
    </w:p>
    <w:p>
      <w:pPr>
        <w:ind w:right="4240"/>
        <w:spacing w:after="0" w:line="43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spacing w:after="0" w:line="8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direct obligations of the U.S. government and its agencies, other debt securities guaranteed by the U.S. government, corporate bonds, and commercial paper. We do not believe we are materially exposed to changes in interest rates. Under our current policies, we do not use interest rate derivative instruments to manage exposure to interest rate changes. We estimate that a 100 basis point, or 1%, unfavorable change in interest rates would have resulted in approximately a $7.0 million and $3.1 million decrease in the fair value of our investment portfolio at March 31, 2013 and 2012, respectively. The increase in interest rate risk year over year is due primarily to higher balances of marketable debt securities that we held at March 31, 2013 compared to the same period of 2012.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have an investment policy that includes guidelines on acceptable investment securities, minimum credit quality, maturity parameters, and concentration. Nonetheless, deterioration of the credit quality of an investment security subsequent to purchase may subject us to the risk of not being able to recover the full principal value of the security. During the first quarter of 2013 and 2012, we did not recognize any other-than-temporary impairment charges.</w:t>
      </w:r>
    </w:p>
    <w:p>
      <w:pPr>
        <w:spacing w:after="0" w:line="66"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are also subject to credit risk in connection with accounts receivable from our product sales of EYLEA and ARCALYST. These accounts receivable are due from three distributors and several specialty pharmacies, who are our customers. We have contractual payment terms with each of our customers, and we monitor our customers' financial performance and credit worthiness so that we can properly assess and respond to any changes in their credit profile. In addition, we may insure a portion of our accounts receivables within our overall risk management practices. During the first quarter of 2013 and 2012 we did not recognize any charges for write-offs of accounts receivable related to our marketed products. At both March 31, 2013 and December 31, 2012, one individual customer accounted for 80% of our net trade accounts receivable balances.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1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March 31, 2013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From time to time, we are a party to legal proceedings in the course of our business. We do not expect any such current ordinary course legal proceedings to have a material adverse effect on our business or financial condition.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Genentech Patent Litigation</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aware of issued patents and pending patent applications owned by Genentech that claim certain chimeric VEGF receptors. We do not believe that ZALTRAP or EYLEA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Davis-Smyth patents and requested a judgment against us for damages, including for willful infringement, and other relief as the Court deems appropriate.</w:t>
      </w:r>
    </w:p>
    <w:p>
      <w:pPr>
        <w:spacing w:after="0" w:line="23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 December 31, 2011, we entered into a Non-Exclusive License and Partial Settlement Agreement with Genentech (the Genentech Agreement) that covers making, using, and selling EYLEA in the United States for the prevention and treatment of human eye diseases and disorders in the United States, and ends the litigation relating to those matters. Under the Genentech Agreement, we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us to make payments to Genentech based on U.S. sales of EYLEA through May 7, 2016, the date the Davis-Smyth patents expire. As required by the Genentech Agreement, in the third quarter of 2012, we made a lump-sum payment of $60.0 million when cumulative U.S. sales of EYLEA reached $400 million. We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Davis-Smyth patents. On December 23, 2011, Genentech initiated a related case in the Court against Regeneron and Sanofi alleging infringement of four of the Davis-Smyth Patents by activities relating to VEGF Trap (but excluding EYLEA) (the Second Davis-Smyth Case). As in the First Davis-Smyth Case, in the new complaint Genentech requests a judgment against us for damages, including for willful infringement, and other relief as the Court deems appropriate. On September 21, 2012, Genentech asserted two additional Davis-Smyth patents, and one additional application (which was allowed and issued as a patent on September 25, 2012) in both the First David-Smyth Case and the Second Davis-Smyth Case.</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believe Genentech's remaining claims in the First Davis Smyth Case and the Second Davis Smyth Case are without merit and intend to continue to defend against all of Genentech's remaining claims vigorously.</w:t>
      </w:r>
    </w:p>
    <w:p>
      <w:pPr>
        <w:spacing w:after="0" w:line="2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have initiated patent-related actions against Genentech in Germany, the United Kingdom, and Italy relating in each case to a patent that expired on October 28, 2012. We may initiate other actions in other countries outside the United States, which could have similar or other adverse outcomes that would materially harm our business and which, irrespective of the outcomes, may also entail significant costs and expenses. In the United Kingdom, an adverse decision at first instance dated March 22, 2012 was appealed to the UK Court of Appeal. The Court of Appeal decision dated February 21, 2013 found the designation of European patent EP 1 238 986 in the United Kingdom to be valid and that potential acts relating to VEGF Trap-Eye in the United Kingdom before expiration of the patent on October 28, 2012 would infringe this patent. We have sought permission to appeal to the Supreme Court of the United Kingdom. A negative decision would result in an order requiring us to pay Genentech's recoverable legal costs.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Additional Financing</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have a history of operating losses and have only recently achieved profitability. If we cannot sustain profitability, our business, prospects, and financial condition would be materially harmed.</w:t>
      </w:r>
    </w:p>
    <w:p>
      <w:pPr>
        <w:spacing w:after="0" w:line="22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Beginning in the first quarter of 2012, we reported profitability; prior to that, we generally incurred net losses. From inception on January 8, 1988 through March 31, 2013, we had a cumulative loss of $418.2 million. If we cannot sustain profitability, we may be unable to continue our operations. In the absence of substantial revenue from the sale of products on an ongoing basis, including our current sales of EYLEA and ARCALYST, and our share of the profits from Sanofi's sales of ZALTRAP and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1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ongoing launch and marketing of EYLEA and the potential commercial launches of our late-stage product candidates and new indications for our marketed products, manufacturing scale-up, expenses related to clinical trials testing EYLEA, fasinumab, REGN846, REGN1154, REGN1400, or REGN1500, and expenses related to the potential requirement for us to fund 20% of Phase 3 clinical trial costs for any of our antibody product candidates being developed in collaboration with Sanofi.</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for the treatment of wet AMD and macular edema following CRVO, we may face delay, reduction, or elimination of our research and development or preclinical or clinical programs and our commercialization activities, which would significantly limit our potential to generate revenue.</w:t>
      </w:r>
    </w:p>
    <w:p>
      <w:pPr>
        <w:spacing w:after="0" w:line="23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14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Our revenue from outside of the United States will increase as our products, whether marketed by us or our collaborators, gain marketing approval in such jurisdictions.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We are substantially dependent on the success of EYLEA. If we are unable to continue to commercialize EYLEA or if we are unable to obtain additional marketing approvals, our business, prospects, operating results, and financial condition will be materially harmed.</w:t>
      </w:r>
    </w:p>
    <w:p>
      <w:pPr>
        <w:spacing w:after="0" w:line="6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make up a substantial portion of our revenues and this concentration of our net sales in a single product makes us substantially dependent on that product.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operating results and financial condition would be materially harmed. In addition, if we are unable to obtain approval of EYLEA in the United States for the treatment of DME and macular edema following BRVO, or if Bayer Healthcare is unable to obtain approval of EYLEA in additional countries or in additional indications, our prospects would be materially harmed.</w:t>
      </w:r>
    </w:p>
    <w:p>
      <w:pPr>
        <w:spacing w:after="0" w:line="108"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178"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EYLEA is currently available in the United States for treatment of wet AMD and macular edema following CRVO, and in the United Kingdom, Germany, Switzerland, Australia, Japan and certain other countries for the treatment of wet AMD. In addition, EYLEA has received regulatory approval in the first country outside of the United States for the treatment of macular edema following CRVO. We are subject to significant ongoing regulatory obligations with respect to EYLEA for the treatment of wet AMD and macular edema following CRVO in the United States, and, outside the United States, the commercialization of EYLEA is subject to significant ongoing regulatory obligations and oversight in those countries where the product is approved. If we fail to maintain regulatory compliance for EYLEA for the treatment of wet AMD and macular edema following CRVO, we may lose marketing approval, which would materially harm our business, prospects, operating results, and financial condition. Failure to comply may also subject us to sanctions, product recalls, or withdrawals of previously approved marketing applications. See also “</w:t>
      </w:r>
      <w:r>
        <w:rPr>
          <w:rFonts w:ascii="Arial" w:cs="Arial" w:eastAsia="Arial" w:hAnsi="Arial"/>
          <w:sz w:val="16"/>
          <w:szCs w:val="16"/>
          <w:i w:val="1"/>
          <w:iCs w:val="1"/>
          <w:color w:val="auto"/>
        </w:rPr>
        <w:t>If we fail to meet the stringent requirements of governmental regulation in</w:t>
      </w:r>
      <w:r>
        <w:rPr>
          <w:rFonts w:ascii="Arial" w:cs="Arial" w:eastAsia="Arial" w:hAnsi="Arial"/>
          <w:sz w:val="16"/>
          <w:szCs w:val="16"/>
          <w:color w:val="auto"/>
        </w:rPr>
        <w:t xml:space="preserve"> </w:t>
      </w:r>
      <w:r>
        <w:rPr>
          <w:rFonts w:ascii="Arial" w:cs="Arial" w:eastAsia="Arial" w:hAnsi="Arial"/>
          <w:sz w:val="16"/>
          <w:szCs w:val="16"/>
          <w:i w:val="1"/>
          <w:iCs w:val="1"/>
          <w:color w:val="auto"/>
        </w:rPr>
        <w:t>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2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There are risks inherent in intravitreal injections, including intravitreal injections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4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Our regulatory approval for sales of EYLEA is limited to the treatment of wet AMD and macular edema following CRVO and is limited geographically.</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don't receive approval for EYLEA for other indications, or if approvals are not obtained for sales in other countries, sales and profits will be limited.</w:t>
      </w:r>
    </w:p>
    <w:p>
      <w:pPr>
        <w:spacing w:after="0" w:line="29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and Bayer HealthCare have received regulatory approvals for sale of EYLEA for the treatment of wet AMD and macular edema following CRVO in certain countries throughout the world. If we do not receive approval for EYLEA for other uses, or if approvals for sales in other countries are not obtained, sales will be limited and our potential for profits will be limited. As a result, our business, prospects, operating results, and financial condition would be materially impacted.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Our sales of EYLEA are dependent on the availability and extent of reimbursement from third party payers, and changes to such reimbursement may materially harm our sales and revenue and harm our business, prospects, operating results, and financial condition.</w:t>
      </w:r>
    </w:p>
    <w:p>
      <w:pPr>
        <w:spacing w:after="0" w:line="20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current sales in the United States of EYLEA are dependent, in part, on the availability and extent of reimbursement from third-party payers, including private payer healthcare and insurance programs and government programs such as Medicare and Medicaid. If approved for sale in other countries, such sales will be dependent, in part, on similar programs in these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w:t>
      </w:r>
      <w:r>
        <w:rPr>
          <w:rFonts w:ascii="Arial" w:cs="Arial" w:eastAsia="Arial" w:hAnsi="Arial"/>
          <w:sz w:val="17"/>
          <w:szCs w:val="17"/>
          <w:i w:val="1"/>
          <w:iCs w:val="1"/>
          <w:color w:val="auto"/>
        </w:rPr>
        <w:t>The successful commercialization of our marketed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w:t>
      </w:r>
    </w:p>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The commercial success of EYLEA currently being marketed for the treatment of wet AMD and macular edema following CRVO is subject to strong competition.</w:t>
      </w:r>
    </w:p>
    <w:p>
      <w:pPr>
        <w:spacing w:after="0" w:line="224" w:lineRule="exact"/>
        <w:rPr>
          <w:sz w:val="20"/>
          <w:szCs w:val="20"/>
          <w:color w:val="auto"/>
        </w:rPr>
      </w:pPr>
    </w:p>
    <w:p>
      <w:pPr>
        <w:jc w:val="both"/>
        <w:ind w:firstLine="216"/>
        <w:spacing w:after="0" w:line="263" w:lineRule="auto"/>
        <w:rPr>
          <w:sz w:val="20"/>
          <w:szCs w:val="20"/>
          <w:color w:val="auto"/>
        </w:rPr>
      </w:pPr>
      <w:r>
        <w:rPr>
          <w:rFonts w:ascii="Arial" w:cs="Arial" w:eastAsia="Arial" w:hAnsi="Arial"/>
          <w:sz w:val="16"/>
          <w:szCs w:val="16"/>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wet AMD, macular edema following CRVO, DME, and other eye indications.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approved by the FDA in June 2006 for the treatment of wet AMD and in June 2010 for the treatment of macular edema following RVO, CRVO, and BRVO.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was also approved by the EMA for wet AMD in January 2007 and for DME in January 2011.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Ophthotech Corporation is developing Fovista</w:t>
      </w:r>
      <w:r>
        <w:rPr>
          <w:rFonts w:ascii="Arial" w:cs="Arial" w:eastAsia="Arial" w:hAnsi="Arial"/>
          <w:sz w:val="22"/>
          <w:szCs w:val="22"/>
          <w:color w:val="auto"/>
          <w:vertAlign w:val="superscript"/>
        </w:rPr>
        <w:t>™</w:t>
      </w:r>
      <w:r>
        <w:rPr>
          <w:rFonts w:ascii="Arial" w:cs="Arial" w:eastAsia="Arial" w:hAnsi="Arial"/>
          <w:sz w:val="16"/>
          <w:szCs w:val="16"/>
          <w:color w:val="auto"/>
        </w:rPr>
        <w:t>, an aptamer directed against platelet-derived growth factor subunit B (PDGF-B), as a product candidate intended to be used in combination with an anti-VEGF therapy in wet AMD. In June 2012, Ophthotech announced results of a Phase 2b study in wet AMD that it claimed demonstrated that Fovista</w:t>
      </w:r>
      <w:r>
        <w:rPr>
          <w:rFonts w:ascii="Arial" w:cs="Arial" w:eastAsia="Arial" w:hAnsi="Arial"/>
          <w:sz w:val="13"/>
          <w:szCs w:val="13"/>
          <w:color w:val="auto"/>
        </w:rPr>
        <w:t>™</w:t>
      </w:r>
      <w:r>
        <w:rPr>
          <w:rFonts w:ascii="Arial" w:cs="Arial" w:eastAsia="Arial" w:hAnsi="Arial"/>
          <w:sz w:val="16"/>
          <w:szCs w:val="16"/>
          <w:color w:val="auto"/>
        </w:rPr>
        <w:t xml:space="preserve"> administered in combination with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resulted in increased visual outcomes compared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monotherapy. Allergan is developing an anti-VEGF-A DARPin</w:t>
      </w:r>
      <w:r>
        <w:rPr>
          <w:rFonts w:ascii="Arial" w:cs="Arial" w:eastAsia="Arial" w:hAnsi="Arial"/>
          <w:sz w:val="22"/>
          <w:szCs w:val="22"/>
          <w:color w:val="auto"/>
          <w:vertAlign w:val="superscript"/>
        </w:rPr>
        <w:t>®</w:t>
      </w:r>
      <w:r>
        <w:rPr>
          <w:rFonts w:ascii="Arial" w:cs="Arial" w:eastAsia="Arial" w:hAnsi="Arial"/>
          <w:sz w:val="16"/>
          <w:szCs w:val="16"/>
          <w:color w:val="auto"/>
        </w:rPr>
        <w:t>, as well as a dual anti-VEGF-A/PDGF-B DARPin</w:t>
      </w:r>
      <w:r>
        <w:rPr>
          <w:rFonts w:ascii="Arial" w:cs="Arial" w:eastAsia="Arial" w:hAnsi="Arial"/>
          <w:sz w:val="22"/>
          <w:szCs w:val="22"/>
          <w:color w:val="auto"/>
          <w:vertAlign w:val="superscript"/>
        </w:rPr>
        <w:t>®</w:t>
      </w:r>
      <w:r>
        <w:rPr>
          <w:rFonts w:ascii="Arial" w:cs="Arial" w:eastAsia="Arial" w:hAnsi="Arial"/>
          <w:sz w:val="16"/>
          <w:szCs w:val="16"/>
          <w:color w:val="auto"/>
        </w:rPr>
        <w:t>, and its corresponding backups for the treatment of wet AMD and related conditions.</w:t>
      </w:r>
    </w:p>
    <w:p>
      <w:pPr>
        <w:spacing w:after="0" w:line="5"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7"/>
          <w:szCs w:val="17"/>
          <w:color w:val="auto"/>
        </w:rPr>
        <w:t>In addition, ophthalmologists are using with success off-label, third-party repackaged versions of Genentech's approved VEGF antagonist, Avastin</w:t>
      </w:r>
      <w:r>
        <w:rPr>
          <w:rFonts w:ascii="Arial" w:cs="Arial" w:eastAsia="Arial" w:hAnsi="Arial"/>
          <w:sz w:val="24"/>
          <w:szCs w:val="24"/>
          <w:color w:val="auto"/>
          <w:vertAlign w:val="superscript"/>
        </w:rPr>
        <w:t>®</w:t>
      </w:r>
      <w:r>
        <w:rPr>
          <w:rFonts w:ascii="Arial" w:cs="Arial" w:eastAsia="Arial" w:hAnsi="Arial"/>
          <w:sz w:val="17"/>
          <w:szCs w:val="17"/>
          <w:color w:val="auto"/>
        </w:rPr>
        <w:t>, for the treatment of wet AMD, DME, and RVO. The relatively low cost of therapy with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in patients with wet AMD presents a significant competitive challenge in this indication. Long-term, controlled clinical trials comparing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treatment of wet AMD are being conducted. One-year data from the Comparison of Age-Related Macular Degeneration Treatments Trial (CATT) were reported in April 2011 and indicated that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14"/>
          <w:szCs w:val="14"/>
          <w:color w:val="auto"/>
        </w:rPr>
        <w:t>®</w:t>
      </w:r>
      <w:r>
        <w:rPr>
          <w:rFonts w:ascii="Arial" w:cs="Arial" w:eastAsia="Arial" w:hAnsi="Arial"/>
          <w:sz w:val="17"/>
          <w:szCs w:val="17"/>
          <w:color w:val="auto"/>
        </w:rPr>
        <w:t xml:space="preserve"> was non-inferior to monthly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being evaluated in eye diseases in trials that have been initiated in the United Kingdom, Canada, Brazil, Mexico, Germany, Israel, and other countries. Furthermore,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off-label use of Avastin</w:t>
      </w:r>
      <w:r>
        <w:rPr>
          <w:rFonts w:ascii="Arial" w:cs="Arial" w:eastAsia="Arial" w:hAnsi="Arial"/>
          <w:sz w:val="24"/>
          <w:szCs w:val="24"/>
          <w:color w:val="auto"/>
          <w:vertAlign w:val="superscript"/>
        </w:rPr>
        <w:t>®</w:t>
      </w:r>
      <w:r>
        <w:rPr>
          <w:rFonts w:ascii="Arial" w:cs="Arial" w:eastAsia="Arial" w:hAnsi="Arial"/>
          <w:sz w:val="17"/>
          <w:szCs w:val="17"/>
          <w:color w:val="auto"/>
        </w:rPr>
        <w:t>, present significant competitive challenges as doctors and patients have had significant experience using these medicines. Moreover, the reported results of the CATT study, combined with the relatively low cost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wet AMD, macular edema following CRVO, or other eye indications. See also “</w:t>
      </w:r>
      <w:r>
        <w:rPr>
          <w:rFonts w:ascii="Arial" w:cs="Arial" w:eastAsia="Arial" w:hAnsi="Arial"/>
          <w:sz w:val="17"/>
          <w:szCs w:val="17"/>
          <w:i w:val="1"/>
          <w:iCs w:val="1"/>
          <w:color w:val="auto"/>
        </w:rPr>
        <w:t>We may be unsuccessful in continuing the commercialization of our marketed</w:t>
      </w:r>
      <w:r>
        <w:rPr>
          <w:rFonts w:ascii="Arial" w:cs="Arial" w:eastAsia="Arial" w:hAnsi="Arial"/>
          <w:sz w:val="17"/>
          <w:szCs w:val="17"/>
          <w:color w:val="auto"/>
        </w:rPr>
        <w:t xml:space="preserve"> </w:t>
      </w:r>
      <w:r>
        <w:rPr>
          <w:rFonts w:ascii="Arial" w:cs="Arial" w:eastAsia="Arial" w:hAnsi="Arial"/>
          <w:sz w:val="17"/>
          <w:szCs w:val="17"/>
          <w:i w:val="1"/>
          <w:iCs w:val="1"/>
          <w:color w:val="auto"/>
        </w:rPr>
        <w:t>products or in commercializing our product candidates or new indications for our marketed products, if approved, which would materially and adversely affect our business, profitability, and future prospects.</w:t>
      </w:r>
      <w:r>
        <w:rPr>
          <w:rFonts w:ascii="Arial" w:cs="Arial" w:eastAsia="Arial" w:hAnsi="Arial"/>
          <w:sz w:val="17"/>
          <w:szCs w:val="17"/>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sales could be reduced by imports from countries where our products are available at lower prices.</w:t>
      </w:r>
    </w:p>
    <w:p>
      <w:pPr>
        <w:spacing w:after="0" w:line="14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is marketed in those nations and imported into the United States. In addition, there have been proposals to legalize the import of pharmaceuticals from outside the United States. If such legislation were enacted, our future revenues could be reduced.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Approval of Our Product Candidates and New Indications for Our Marketed Products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p>
    <w:p>
      <w:pPr>
        <w:spacing w:after="0" w:line="17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cannot sell or market products without regulatory approval. If we do not maintain regulatory approval for our products EYLEA, ZALTRAP, and ARCALYST, and obtain regulatory approval for our product candidates, or new indications of our marketed products, including EYLEA for the treatment of ophthalmologic diseases other than wet AMD and macular edema following CRVO, the value of our company, our operating results, and our prospects will be materially harmed. Our product candidates, including EYLEA for DME and macular edema following BRVO, may not receive regulatory approval. If we are unable to obtain regulatory approval for EYLEA in DME and macular edema following BRVO, or if we are materially delayed in doing so, our business, prospects, operating results, and financial condition will be materially harmed. In addition, if we fail to maintain regulatory approval for EYLEA for the treatment of wet AMD and macular edema following CRVO, we may lose marketing approval and the ability to generate EYLEA product sales revenue, which would materially and negatively impact our business, prospects, operating results, and financial condition.</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w:t>
      </w:r>
    </w:p>
    <w:p>
      <w:pPr>
        <w:spacing w:after="0" w:line="10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w:t>
      </w:r>
    </w:p>
    <w:p>
      <w:pPr>
        <w:spacing w:after="0" w:line="9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Only a small minority of all research and development programs ultimately result in commercially successful drugs. We are testing EYLEA in late-stage clinical trials in additional indications. Clinical trials may not demonstrate statistically sufficient effectiveness and safety to obtain the requisite regulatory approvals for these product candidates in these indications. In a number of instances, we have terminated the development of product candidates due to a lack of or only modest effectiveness. Moreover, even if we obtain positive results from preclinical testing or clinical trials, we may not achieve the same success in future trials. Many companies in the biopharmaceutical industry, including our company, have suffered significant setbacks in clinical trials, even after promising results have been obtained in earlier trials.</w:t>
      </w:r>
    </w:p>
    <w:p>
      <w:pPr>
        <w:spacing w:after="0" w:line="24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April 2011, we announced that our Phase 3 VELOUR trial of ZALTRAP met its primary endpoint of improving overall survival in the treatment of patients with previously treated mCRC. Based upon these positive results, we and Sanofi submitted regulatory applications for marketing approval to the FDA and EMA, and, in August 2012, the FDA approved ZALTRAP in combination with FOLFIRI chemotherapy regimen for patients with mCRC that is resistant to or has progressed following an oxaliplatin-containing regimen. However, in April 2011, we and Sanofi also announced the results from another randomized, double-blind Phase 3 trial (VENICE) that evaluated ZALTRAP as a first-line treatment for metastatic androgen-independent prostate cancer in combination with docetaxel/prednisone. The VENICE trial did not meet the pre-specified criterion of improvement in overall survival.</w:t>
      </w:r>
    </w:p>
    <w:p>
      <w:pPr>
        <w:spacing w:after="0" w:line="232" w:lineRule="exact"/>
        <w:rPr>
          <w:sz w:val="20"/>
          <w:szCs w:val="20"/>
          <w:color w:val="auto"/>
        </w:rPr>
      </w:pPr>
    </w:p>
    <w:p>
      <w:pPr>
        <w:jc w:val="both"/>
        <w:ind w:firstLine="243"/>
        <w:spacing w:after="0" w:line="203" w:lineRule="auto"/>
        <w:rPr>
          <w:sz w:val="20"/>
          <w:szCs w:val="20"/>
          <w:color w:val="auto"/>
        </w:rPr>
      </w:pPr>
      <w:r>
        <w:rPr>
          <w:rFonts w:ascii="Arial" w:cs="Arial" w:eastAsia="Arial" w:hAnsi="Arial"/>
          <w:sz w:val="18"/>
          <w:szCs w:val="18"/>
          <w:color w:val="auto"/>
        </w:rPr>
        <w:t>In January 2012, Roche announced that a Phase 3 trial of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 had met the primary endpoint of overall survival in mCRC in patients who had previously received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with standard chemotherapy. The positive results of this trial in a similar patient population could impact the potential commercial opportunity for ZALTRAP in mCRC.</w:t>
      </w:r>
    </w:p>
    <w:p>
      <w:pPr>
        <w:spacing w:after="0" w:line="25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also reported positive results of a Phase 2 trial of EYLEA for the treatment of DME and in the second quarter of 2011 initiated a Phase 3 program in that indication. A number of other potential new drugs and biologics which showed promising results in Phase 1 and 2 clinical trials subsequently failed to establish sufficient safety and efficacy data to obtain necessary regulatory approvals, and this could occur with respect to subsequent clinical trials of EYLEA for the treatment of DME.</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208"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08" w:lineRule="exact"/>
        <w:rPr>
          <w:sz w:val="20"/>
          <w:szCs w:val="20"/>
          <w:color w:val="auto"/>
        </w:rPr>
      </w:pPr>
    </w:p>
    <w:p>
      <w:pPr>
        <w:jc w:val="both"/>
        <w:ind w:right="20" w:firstLine="135"/>
        <w:spacing w:after="0" w:line="286" w:lineRule="auto"/>
        <w:rPr>
          <w:sz w:val="20"/>
          <w:szCs w:val="20"/>
          <w:color w:val="auto"/>
        </w:rPr>
      </w:pPr>
      <w:r>
        <w:rPr>
          <w:rFonts w:ascii="Arial" w:cs="Arial" w:eastAsia="Arial" w:hAnsi="Arial"/>
          <w:sz w:val="17"/>
          <w:szCs w:val="17"/>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w:t>
      </w:r>
    </w:p>
    <w:p>
      <w:pPr>
        <w:spacing w:after="0" w:line="220"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fail or be delayed, or if the product candidate has received regulatory approval such approval may be revoked, which would severely harm our business.</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EYLEA is being studied in diseases of the eye in addition to wet AMD and macular edema following CRVO. There are many potential safety concerns associated with significant blockade of VEGF that may limit our ability to successfully develop and/or commercialize ZALTRAP and EYLEA.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ZALTRAP for the treatment of mCRC or EYLEA for the treatment of diseases of the eye.</w:t>
      </w:r>
    </w:p>
    <w:p>
      <w:pPr>
        <w:spacing w:after="0" w:line="23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have studied fasinumab in a variety of pain indications, including osteoarthritis of the knee. In December 2010, the FDA placed fasinumab and other investigational agents targeting NGF on clinical hold after a case of rapidly progressive osteoarthritis leading to joint replacement was seen in another company's anti-NGF program. At that time, the FDA expressed concern that this case, which followed previously-reported cases of joint replacements in patients on an anti-NGF drug candidate being developed by a different pharmaceutical company, provided evidence to suggest a class effect. An FDA Arthritis Advisory Committee met on March 12, 2012 to discuss possible safety issues related to anti-NGF compounds and voted unanimously in favor of a role for the ongoing development of anti-NGF agents in osteoarthritis. The Arthritis Advisory Committee also voted twenty to one in favor of a role for development of anti-NGF agents to manage the pain associated with conditions for which there are no agents with demonstrated analgesic efficacy. In December 2012, the FDA removed the clinical hold on fasinumab after reviewing our proposed Phase 3 program in osteoarthritis. However, shortly thereafter, the entire class was again placed on clinical hold as a result of preclinical data from other investigational agents targeting NGF in development. There are currently no trials with fasinumab that are either enrolling or treating patients. Discussions with the FDA about fasinumab are ongoing.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381" w:lineRule="auto"/>
        <w:rPr>
          <w:sz w:val="20"/>
          <w:szCs w:val="20"/>
          <w:color w:val="auto"/>
        </w:rPr>
      </w:pPr>
      <w:r>
        <w:rPr>
          <w:rFonts w:ascii="Arial" w:cs="Arial" w:eastAsia="Arial" w:hAnsi="Arial"/>
          <w:sz w:val="15"/>
          <w:szCs w:val="15"/>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w:t>
      </w:r>
    </w:p>
    <w:p>
      <w:pPr>
        <w:spacing w:after="0" w:line="15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 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third-party challengers from time to time in the future. Certain patent applications filed in the United States may also be challenged by third parties who file a request for post-grant review under the America Invents Act of 2011. We expect that post-grant review proceedings will become common in the United States and will be costly to defend. We have pending patent applications in the United States Patent and Trademark Office and it is likely that we will need to defend patent applications from third-party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2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p>
    <w:p>
      <w:pPr>
        <w:spacing w:after="0" w:line="235"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or even to products that have received regulatory approval and are being or have been commercialized,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1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aware of issued patents and pending patent applications owned by Genentech that claim certain chimeric VEGF receptors. We do not believe that ZALTRAP or EYLEA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Davis-Smyth patents and requested a judgment against us for damages, including for willful infringement, and other relief as the Court deems appropriate.</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0" w:right="239" w:bottom="1440" w:gutter="0" w:footer="0" w:header="0"/>
          <w:type w:val="continuous"/>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On December 31, 2011, we entered into a Non-Exclusive License and Partial Settlement Agreement relating to ophthalmic sales of EYLEA in the United States (Genentech Agreement) that covers making, using, and selling EYLEA in the United States for the prevention and treatment of human eye diseases and disorders in the United States, and ends the litigation relating to those matters. Under the Genentech Agreement, we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us to make payments to Genentech based on U.S. sales of EYLEA through May 7, 2016, the date the Davis-Smyth patents expire. As required by the Genentech Agreement, in the third quarter of 2012, we made a lump-sum payment of $60.0 million when cumulative U.S. sales of EYLEA reached $400 million. We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Davis-Smyth patents. On December 23, 2011, Genentech initiated a related case in the Court against Regeneron and Sanofi alleging infringement of four of the Davis-Smyth Patents by activities relating to VEGF Trap (but excluding EYLEA) (the Second Davis-Smyth Case). As in the First Davis-Smyth Case, in the new complaint Genentech requests a judgment against us for damages, including for willful infringement, and other relief as the Court deems appropriate. On September 21, 2012, Genentech asserted two additional Davis-Smyth patents, and one additional application (which was allowed and issued as a patent on September 25, 2012) in both the First David-Smyth Case and the Second Davis-Smyth Case.</w:t>
      </w:r>
    </w:p>
    <w:p>
      <w:pPr>
        <w:spacing w:after="0" w:line="23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believe Genentech's remaining claims in the First Davis Smyth Case and the Second Davis Smyth Case are without merit and intend to continue to defend against all of Genentech's remaining claims vigorously. However, it is possible that there could be an adverse determination or judgment in either or both cases that would materially harm our business by requiring us to seek a license for matters not covered by the Genentech Agreement, which may not be available at all or on reasonable terms, or precluding the manufacture, further development, or sale of EYLEA outside the United States or ZALTRAP, or resulting in a damage award. In addition, irrespective of the outcome of the Davis-Smyth cases, we have incurred and will likely continue to incur significant costs and expenses associated with them, which have negatively affected, and will likely continue to negatively affect, our results of operations. An adverse determination in any of the proceedings described herein may have a material adverse effect on our business, prospects, operating results, and financial condition.</w:t>
      </w:r>
    </w:p>
    <w:p>
      <w:pPr>
        <w:spacing w:after="0" w:line="24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have initiated patent-related actions against Genentech in Germany, the United Kingdom, and Italy relating in each case to a patent that expired on October 28, 2012. We may initiate other actions in other countries outside the United States, which could have similar or other adverse outcomes that would materially harm our business and which, irrespective of the outcomes, may also entail significant costs and expenses. In the United Kingdom, an adverse decision at first instance dated March 22, 2012 was appealed to the UK Court of Appeal. The Court of Appeal decision dated February 21, 2013 found the designation of European patent EP 1 238 986 in the United Kingdom to be valid and that potential acts relating to VEGF Trap Eye in the United Kingdom before expiration of the patent on October 28, 2012 would infringe this patent. We have sought permission to appeal to the Supreme Court of the United Kingdom. A negative decision would result in an order requiring us to pay Genentech's recoverable legal costs.</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aware of patents and pending applications owned by Roche that claim antibodies to IL-6R and methods of treating rheumatoid arthritis with such antibodies. We are developing sarilumab, an antibody to IL-6R, for the treatment of rheumatoid arthritis. Although we do not believe that sarilumab infringes any valid claim in these patents or patent applications, Roche could initiate a lawsuit for patent infringement and assert its patents are valid and cover sarilumab.</w:t>
      </w:r>
    </w:p>
    <w:p>
      <w:pPr>
        <w:spacing w:after="0" w:line="24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 ZALTRAP, nor EYLEA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23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Further, we are aware of a number of other third-party patent applications that, if granted with claims as currently drafted, may cover our current or planned activities. It could be determined that our products and/or actions in manufacturing or selling our product candidates infringe such patents.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Patent holders in addition to Genentech could assert claims against us for damages and seek to prevent us from manufacturing, selling, or developing our drug candidates, and a court may find that we are infringing validly issued patents of third parties. In the event that the manufacture, use, or sale of any of our drug candidates, including EYLEA or our other late-stage product candidates, infringes on the patents or violates other proprietary rights of third parties, we may be prevented from pursuing product development, manufacturing, and commercialization of those drugs and may be required to pay costly damages. Such a result may materially harm our business, prospects, operating results, and financial condition. In any event, legal disputes are likely to be costly and time consuming to defend.</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be material to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and to commercialize our other product candidates or other indications for our marketed products if they receive regulatory approval.</w:t>
      </w:r>
    </w:p>
    <w:p>
      <w:pPr>
        <w:spacing w:after="0" w:line="23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We rely entirely on third-parties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such third parties manufacture and supply sufficient commercial quantities of our products on acceptable terms, or if we should encounter delays or other difficulties in our relationships with our corporate collaborators, third-party manufacturers, or other parties involved in our supply chain which adversely affect the timely manufacture and supply of our products, our business, prospects, operating results, and financial condition may be materially harmed.</w:t>
      </w:r>
    </w:p>
    <w:p>
      <w:pPr>
        <w:spacing w:after="0" w:line="237"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8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and,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ZALTRAP, and ARCALYST and could also delay or require us to discontinue one or more of our clinical development programs. As a result, our business, prospects, operating results, and financial condition could be materially harmed.</w:t>
      </w:r>
    </w:p>
    <w:p>
      <w:pPr>
        <w:spacing w:after="0" w:line="9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our products may be impaired if any of our manufacturing activities, or the activities of third parties involved in our manufacture and supply chain, are found to infringe third-party patents.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continue to manufacture EYLEA, ZALTRAP, and ARCALYST in our Rensselaer, New York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third parties.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where those intellectual property rights apply which could materially harm our business, operating results, and financial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381" w:lineRule="auto"/>
        <w:rPr>
          <w:sz w:val="20"/>
          <w:szCs w:val="20"/>
          <w:color w:val="auto"/>
        </w:rPr>
      </w:pPr>
      <w:r>
        <w:rPr>
          <w:rFonts w:ascii="Arial" w:cs="Arial" w:eastAsia="Arial" w:hAnsi="Arial"/>
          <w:sz w:val="15"/>
          <w:szCs w:val="15"/>
          <w:b w:val="1"/>
          <w:bCs w:val="1"/>
          <w:i w:val="1"/>
          <w:iCs w:val="1"/>
          <w:color w:val="auto"/>
        </w:rPr>
        <w:t>If sales of EYLEA and ZALTRAP do not meet the levels currently expected, or if the launch of new indications for EYLEA or of any of our product candidates is delayed or unsuccessful, we may face costs related to unused capacity at our manufacturing facilities and at the facilities of third parties.</w:t>
      </w:r>
    </w:p>
    <w:p>
      <w:pPr>
        <w:spacing w:after="0" w:line="15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have large-scale manufacturing operations in Rensselaer, New York. We use our facilities to produce bulk product of ARCALYST for the treatment of CAPS, bulk product of EYLEA for the treatment of wet AMD and macular edema following CRVO, bulk product of ZALTRAP for the treatment of patients with mCRC that is resistant to or has progressed following an oxaliplatin-containing regimen, and clinical and preclinical candidates for ourselves and our collaborations, and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w:t>
      </w:r>
    </w:p>
    <w:p>
      <w:pPr>
        <w:spacing w:after="0" w:line="220"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 at the facilities.</w:t>
      </w:r>
    </w:p>
    <w:p>
      <w:pPr>
        <w:spacing w:after="0" w:line="2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Also, certain raw materials or other products necessary for the manufacture and formulation of EYLEA, ZALTRAP, ARCALYST, and our product candidates are provided by single-source unaffiliated third-party suppliers. In addition, we rely on certain third parties to perform filling, finishing, distribution, laboratory testing, and other services related to the manufacture of EYLEA, ZALTRAP, and ARCALYST, and our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adverse financial developments at or affecting the supplier, failure by the supplier to comply with cGMPs, business interruptions, or labor shortages or disputes. This, in turn, could materially and adversely affect our ability to manufacture or supply EYLEA, ZALTRAP, ARCALYST, and our product candidates, which could materially and adversely affect our business and future prospects.</w:t>
      </w:r>
    </w:p>
    <w:p>
      <w:pPr>
        <w:spacing w:after="0" w:line="2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and prospects.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6"/>
          <w:szCs w:val="16"/>
          <w:color w:val="auto"/>
        </w:rPr>
        <w:t>Currently, we have three marketed products, EYLEA, ZALTRAP, and ARCALYST. While we have established our own sales and marketing organization for EYLEA in the United States for the treatment of wet AMD and macular edema following CRVO, we have limited commercialization experience and we have no sales, marketing, commercial, or distribution capabilities outside the United States. In addition, EYLEA faces intense competition from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from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both of which have been on the market for a number of years and, potentially, from new competitive products currently in clinical development. We expect that the continued commercial success of EYLEA will depend on many factors, including the following:</w:t>
      </w:r>
    </w:p>
    <w:p>
      <w:pPr>
        <w:spacing w:after="0" w:line="114" w:lineRule="exact"/>
        <w:rPr>
          <w:sz w:val="20"/>
          <w:szCs w:val="20"/>
          <w:color w:val="auto"/>
        </w:rPr>
      </w:pPr>
    </w:p>
    <w:p>
      <w:pPr>
        <w:ind w:left="660" w:right="2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launch and marketing of EYLEA, including pricing strategy and the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effectively communicate to the marketplace the benefits of the dosing regimen of EYLEA as compared to the dosing regimen of Lucentis</w:t>
      </w:r>
      <w:r>
        <w:rPr>
          <w:rFonts w:ascii="Arial" w:cs="Arial" w:eastAsia="Arial" w:hAnsi="Arial"/>
          <w:sz w:val="24"/>
          <w:szCs w:val="24"/>
          <w:color w:val="auto"/>
          <w:vertAlign w:val="superscript"/>
        </w:rPr>
        <w:t>®</w:t>
      </w:r>
      <w:r>
        <w:rPr>
          <w:rFonts w:ascii="Arial" w:cs="Arial" w:eastAsia="Arial" w:hAnsi="Arial"/>
          <w:sz w:val="17"/>
          <w:szCs w:val="17"/>
          <w:color w:val="auto"/>
        </w:rPr>
        <w:t>, and the willingness of retinal specialists and patients to switch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off-label use of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EYLEA;</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ind w:left="660" w:hanging="328"/>
        <w:spacing w:after="0" w:line="29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new competitive products currently in clinical development;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new health care legislation currently being implemented in the United States.</w:t>
      </w:r>
    </w:p>
    <w:p>
      <w:pPr>
        <w:spacing w:after="0" w:line="1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 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previously noted, Genentech has an approved VEGF antagonist, Avastin</w:t>
      </w:r>
      <w:r>
        <w:rPr>
          <w:rFonts w:ascii="Arial" w:cs="Arial" w:eastAsia="Arial" w:hAnsi="Arial"/>
          <w:sz w:val="17"/>
          <w:szCs w:val="17"/>
          <w:color w:val="auto"/>
          <w:vertAlign w:val="superscript"/>
        </w:rPr>
        <w:t>®</w:t>
      </w:r>
      <w:r>
        <w:rPr>
          <w:rFonts w:ascii="Arial" w:cs="Arial" w:eastAsia="Arial" w:hAnsi="Arial"/>
          <w:sz w:val="17"/>
          <w:szCs w:val="17"/>
          <w:color w:val="auto"/>
        </w:rPr>
        <w:t>, on the market for treating certain cancers and many different pharmaceutical and biotechnology companies are working to develop competing VEGF antagonists, including Novartis, Amgen, Inc., Imclone LLC/Eli Lilly, Pfizer, Inc., AstraZeneca, and GlaxoSmithKline. Some of these molecules may offer competitive advantages over our molecule. Each of Pfizer, Onyx (together with its partner Bayer HealthCare), and GlaxoSmithKline are marketing and selling oral medications that target tumor cell growth and new vasculature formation that fuels the growth of tumors. It will be difficult for ZALTRAP to compete against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32"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6"/>
          <w:szCs w:val="16"/>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 the treatment of wet AMD, macular edema following RVO, DME, and other eye indications.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approved by the FDA in June 2006 for the treatment of wet AMD and in June 2010 for the treatment of macular edema following RVO, CRVO, and BRVO.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also approved by the EMA for wet AMD in January 2007 and for DME in January 2011. Many other companies are working on the development of product candidates and extended delivery devices for the potential treatment of wet AMD, DME and RVO including those that act by blocking VEGF and VEGF receptors, as well as siRNAs that modulate gene expression. For example, in January 2012, Genentech submitted an IND for such an extended delivery device. Ophthotech Corporation is developing Fovista</w:t>
      </w:r>
      <w:r>
        <w:rPr>
          <w:rFonts w:ascii="Arial" w:cs="Arial" w:eastAsia="Arial" w:hAnsi="Arial"/>
          <w:sz w:val="22"/>
          <w:szCs w:val="22"/>
          <w:color w:val="auto"/>
          <w:vertAlign w:val="superscript"/>
        </w:rPr>
        <w:t>™</w:t>
      </w:r>
      <w:r>
        <w:rPr>
          <w:rFonts w:ascii="Arial" w:cs="Arial" w:eastAsia="Arial" w:hAnsi="Arial"/>
          <w:sz w:val="16"/>
          <w:szCs w:val="16"/>
          <w:color w:val="auto"/>
        </w:rPr>
        <w:t>, an aptamer directed against PDGF-ß, as a product candidate intended to be used in combination with an anti-VEGF therapy. In June 2012, Ophthotech announced results of a Phase 2b study that it claimed demonstrated that Fovista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administered in combination with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resulted in increased visual outcomes compared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monotherapy. Allergan is developing an anti-VEGF-A DARPin</w:t>
      </w:r>
      <w:r>
        <w:rPr>
          <w:rFonts w:ascii="Arial" w:cs="Arial" w:eastAsia="Arial" w:hAnsi="Arial"/>
          <w:sz w:val="22"/>
          <w:szCs w:val="22"/>
          <w:color w:val="auto"/>
          <w:vertAlign w:val="superscript"/>
        </w:rPr>
        <w:t>®</w:t>
      </w:r>
      <w:r>
        <w:rPr>
          <w:rFonts w:ascii="Arial" w:cs="Arial" w:eastAsia="Arial" w:hAnsi="Arial"/>
          <w:sz w:val="16"/>
          <w:szCs w:val="16"/>
          <w:color w:val="auto"/>
        </w:rPr>
        <w:t>, as well as a dual anti-VEGF-A/PDGF-ß DARPin</w:t>
      </w:r>
      <w:r>
        <w:rPr>
          <w:rFonts w:ascii="Arial" w:cs="Arial" w:eastAsia="Arial" w:hAnsi="Arial"/>
          <w:sz w:val="22"/>
          <w:szCs w:val="22"/>
          <w:color w:val="auto"/>
          <w:vertAlign w:val="superscript"/>
        </w:rPr>
        <w:t>®</w:t>
      </w:r>
      <w:r>
        <w:rPr>
          <w:rFonts w:ascii="Arial" w:cs="Arial" w:eastAsia="Arial" w:hAnsi="Arial"/>
          <w:sz w:val="16"/>
          <w:szCs w:val="16"/>
          <w:color w:val="auto"/>
        </w:rPr>
        <w:t>, and its corresponding backups for the treatment of wet AMD and related conditions.</w:t>
      </w:r>
    </w:p>
    <w:p>
      <w:pPr>
        <w:spacing w:after="0" w:line="158" w:lineRule="exact"/>
        <w:rPr>
          <w:sz w:val="20"/>
          <w:szCs w:val="20"/>
          <w:color w:val="auto"/>
        </w:rPr>
      </w:pPr>
    </w:p>
    <w:p>
      <w:pPr>
        <w:jc w:val="both"/>
        <w:ind w:firstLine="243"/>
        <w:spacing w:after="0" w:line="228" w:lineRule="auto"/>
        <w:rPr>
          <w:sz w:val="20"/>
          <w:szCs w:val="20"/>
          <w:color w:val="auto"/>
        </w:rPr>
      </w:pPr>
      <w:r>
        <w:rPr>
          <w:rFonts w:ascii="Arial" w:cs="Arial" w:eastAsia="Arial" w:hAnsi="Arial"/>
          <w:sz w:val="16"/>
          <w:szCs w:val="16"/>
          <w:color w:val="auto"/>
        </w:rPr>
        <w:t>In addition, ophthalmologists are using with success off-label, third-party repackaged versions of Genentech's approved VEGF antagonist, Avastin</w:t>
      </w:r>
      <w:r>
        <w:rPr>
          <w:rFonts w:ascii="Arial" w:cs="Arial" w:eastAsia="Arial" w:hAnsi="Arial"/>
          <w:sz w:val="22"/>
          <w:szCs w:val="22"/>
          <w:color w:val="auto"/>
          <w:vertAlign w:val="superscript"/>
        </w:rPr>
        <w:t>®</w:t>
      </w:r>
      <w:r>
        <w:rPr>
          <w:rFonts w:ascii="Arial" w:cs="Arial" w:eastAsia="Arial" w:hAnsi="Arial"/>
          <w:sz w:val="16"/>
          <w:szCs w:val="16"/>
          <w:color w:val="auto"/>
        </w:rPr>
        <w:t>, for the treatment of wet AMD, DME, and macular edema following RVO.Long-term, controlled clinical trials comparing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to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treatment of wet AMD are being conducted. One-year data from the CATT study were reported in April 2011 and indicated that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dosed monthly was non-inferior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dosed monthly in the primary efficacy endpoint of mean visual acuity gain at 52 weeks. Two-year data from CATT were reported in April 2012 and indicated that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was non-inferior to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mean visual acuity gain; as-needed dosing was not non-inferior to monthly dosing. It may be difficult for EYLEA in this or other eye indications for which it may be approved to compete against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off-label use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because doctors and patients have had significant experience using these medicines. Moreover, the reported results of the CATT study, combined with the relatively low cost of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treating patients with wet AMD, may well exacerbate the competitive challenge which EYLEA will face in this or other eye indications for which it may be approved. In addition, while we believe that ZALTRAP would not be well tolerated if administered directly to the eye, there is a risk that third parties will attempt to repackage ZALTRAP for off-label use and sale for the treatment of wet AMD and other diseases of the eye, which would present a potential low-cost competitive threat to EYLEA for wet AMD, macular edema following CRVO, or other eye indications.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27" w:lineRule="auto"/>
        <w:rPr>
          <w:sz w:val="20"/>
          <w:szCs w:val="20"/>
          <w:color w:val="auto"/>
        </w:rPr>
      </w:pPr>
      <w:r>
        <w:rPr>
          <w:rFonts w:ascii="Arial" w:cs="Arial" w:eastAsia="Arial" w:hAnsi="Arial"/>
          <w:sz w:val="17"/>
          <w:szCs w:val="17"/>
          <w:color w:val="auto"/>
        </w:rPr>
        <w:t>There are both small molecules and antibodies in development by other companies that are designed to block the synthesis of IL-1 or inhibit the signaling of IL-1. For example, Eli Lilly, Xoma (in collaboration with Servier), and Novartis are each developing antibodies to IL-1 and both Amgen and MedImmune are developing antibodies to the IL-1 receptor. In 2009, Novartis received regulatory approval in the United States and Europe for Ilaris</w:t>
      </w:r>
      <w:r>
        <w:rPr>
          <w:rFonts w:ascii="Arial" w:cs="Arial" w:eastAsia="Arial" w:hAnsi="Arial"/>
          <w:sz w:val="24"/>
          <w:szCs w:val="24"/>
          <w:color w:val="auto"/>
          <w:vertAlign w:val="superscript"/>
        </w:rPr>
        <w:t>®</w:t>
      </w:r>
      <w:r>
        <w:rPr>
          <w:rFonts w:ascii="Arial" w:cs="Arial" w:eastAsia="Arial" w:hAnsi="Arial"/>
          <w:sz w:val="17"/>
          <w:szCs w:val="17"/>
          <w:color w:val="auto"/>
        </w:rPr>
        <w:t>, a fully human anti-interleukin-1ß (IL-1ß) antibody, for the treatment of CAPS. Ilaris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in development for atherosclerosis and a number of other inflammatory diseases. Novartis' IL-1 antibody and these other drug candidates could offer competitive advantages over ARCALYST. For example, Ilaris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dosed once every eight weeks compared to the once-weekly dosing regimen for ARCALYST. The successful development and/or commercialization of these competing molecules could adversely affect sales of ARCALYST for the treatment of CAPS.</w:t>
      </w:r>
    </w:p>
    <w:p>
      <w:pPr>
        <w:spacing w:after="0" w:line="26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 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Numerous other companies are developing therapeutic antibody products. Companies such as Pfizer, Johnson &amp; Johnson, AstraZeneca, Amgen, Biogen Idec, Novartis, Genentech/Roche, Bristol-Myers Squib, AbbVie, and GlaxoSmithKline have generated therapeutic products that are currently in development or on the market that are derived from recombinant DNA that comprise human antibody sequences.</w:t>
      </w:r>
    </w:p>
    <w:p>
      <w:pPr>
        <w:spacing w:after="0" w:line="23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AbbVie are developing antibody product candidates against NGF. Genentech/Roche is marketing an antibody against IL-6R (tocilizumab) for the treatment of rheumatoid arthritis, and several other companies, including Centocor/Johnson &amp; Johnson, and Bristol-Myers Squibb, have antibodies against IL-6 in clinical development for this disease. GlaxoSmithKline, in partnership with OncoMed Pharmaceuticals, has a Dll4 antibody in clinical development for the treatment of solid tumors. Aerovance has two formulations of a biologic directed against IL-4 in clinical development. Amgen previously had an antibody against IL-4R in clinical development for the treatment of asthma. Several companies, including Amgen, Pfizer, and Roche, have development programs for antibodies against PCSK9. Amgen, Pfizer, and AstraZeneca have development programs underway for antibodies against ANG2. Alnylam, in partnership with The Medicines Company, has a clinical program underway with an RNAi molecule against PCSK9.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w:t>
      </w:r>
    </w:p>
    <w:p>
      <w:pPr>
        <w:spacing w:after="0" w:line="227"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product candidates, if commercialized, may be significantly more expensive than traditional drug treatments. Our future revenues and profitability will be adversely affected in a material manner if United States and foreign governmental, private third-party insurers and payers, and other third-party payers, including Medicare and Medicaid, do not agree to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23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Avastin</w:t>
      </w:r>
      <w:r>
        <w:rPr>
          <w:rFonts w:ascii="Arial" w:cs="Arial" w:eastAsia="Arial" w:hAnsi="Arial"/>
          <w:sz w:val="16"/>
          <w:szCs w:val="16"/>
          <w:color w:val="auto"/>
          <w:vertAlign w:val="superscript"/>
        </w:rPr>
        <w:t>®</w:t>
      </w:r>
      <w:r>
        <w:rPr>
          <w:rFonts w:ascii="Arial" w:cs="Arial" w:eastAsia="Arial" w:hAnsi="Arial"/>
          <w:sz w:val="16"/>
          <w:szCs w:val="16"/>
          <w:color w:val="auto"/>
        </w:rPr>
        <w:t xml:space="preserve"> rather than Lucentis</w:t>
      </w:r>
      <w:r>
        <w:rPr>
          <w:rFonts w:ascii="Arial" w:cs="Arial" w:eastAsia="Arial" w:hAnsi="Arial"/>
          <w:sz w:val="16"/>
          <w:szCs w:val="16"/>
          <w:color w:val="auto"/>
          <w:vertAlign w:val="superscript"/>
        </w:rPr>
        <w:t>®</w:t>
      </w:r>
      <w:r>
        <w:rPr>
          <w:rFonts w:ascii="Arial" w:cs="Arial" w:eastAsia="Arial" w:hAnsi="Arial"/>
          <w:sz w:val="16"/>
          <w:szCs w:val="16"/>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Since EYLEA for the treatment of wet AMD, macular edema following CRVO, and other eye diseases, and ZALTRAP for the treatment of patients with mCRC that is resistant to or has progressed following an oxaliplatin-containing regimen, will likely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8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sell EYLEA in the United States to three distributors and several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For the three months ended March 31, 2013, we recorded 77%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the testing or use of our products harms people, we could be subject to costly and damaging product liability claims.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We may face product liability claims and be found responsible even if injury arises from the acts or omissions of third parties who provide fill/finish or other services.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22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In addition, as part of the PPACA, the federal government recently enacted the Physician Payment Sunshine Act and related regulations. The Physician Payment Sunshine Act will require pharmaceutical manufacturers to report annually to the Secretary of the U.S. Department of Health and Human Services payments or other transfers of value made to physicians or teaching hospitals. In February 2013, regulations were released that contain detailed guidance regarding the information that must be collected and reported. We will be required to collect information regarding such payments starting in August 2013 and to begin reporting such information in March 2014. Over the next several years, we will need to dedicate significant resources to enhance our systems and processes in order to comply with these regulations. The PPACA also includes various provisions designed to strengthen significantly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Many of these requirements and standards are new and uncertain, and the penalties for failure to comply with these requirements may be unclear. If we are found not to be in full compliance with these laws, we could face enforcement actions, fines, and other penalties, and could receive adverse publicity, which would harm our business and financial results and condition.</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Risks from the improper conduct of employees, agents, or contractors, or collaborators could adversely affect our business or reputation.</w:t>
      </w:r>
    </w:p>
    <w:p>
      <w:pPr>
        <w:spacing w:after="0" w:line="29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privacy laws. Such improper actions could subject us to civil or criminal investigations, and monetary and injunctive penalties, and could adversely impact our ability to conduct business, operating results, and reputation.</w:t>
      </w:r>
    </w:p>
    <w:p>
      <w:pPr>
        <w:spacing w:after="0" w:line="208"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Securities and Exchange Commission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our antibody collaboration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has a one-time option to adjust the maximum reimbursement amount down to $120 million per year commencing in 2014 if over the prior two years certain specified criteria are not satisfied. If this downward adjustment occurs, it will reduce our resources available for antibody discovery activities and negatively affect our clinical pipeline.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alirocumab, dupilumab, enoticumab, nesvacumab, and REGN1033,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opts-out of their development, we would be required to fund and oversee on our own the clinical trials, any regulatory responsibilities, and the ensuing commercialization efforts to support those antibody products. For example, during 2011 and 2012, Sanofi elected not to continue co-development of REGN846 and fasinumab, and decided not to opt-in to the REGN1154 and REGN1500 programs.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22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our collaboration with Sanofi for ZALTRAP is terminated, or Sanofi materially breaches its obligations thereunder, our business, prospects, and financial condition, and our ability to develop and commercialize ZALTRAP would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rely heavily on Sanofi to lead much of the development of ZALTRAP and the commercialization of ZALTRAP. If Sanofi fails to perform its obligations in a timely manner, or at all, our ability to develop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collaborator, which we would have to develop or outsource at substantial additional costs to us. In particular, we have limited commercial capabilities outside the United States and would have to develop or outsource these capabilities. Termination of the Sanofi collaboration agreement for ZALTRAP would create substantial new and additional risks to the successful development and commercialization of ZALTRAP.</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and, in Japan, with Santen Pharmaceuticals Co. Ltd. pursuant to a Co-Promotion and Distribution Agreement with Bayer HealthCare's Japanese affiliate. EYLEA has received regulatory approvals for the treatment of wet AMD in Australia, Japan, and certain European and Latin American countries. While we cannot assure you that EYLEA will receive additional regulatory approvals outside the United States or be successfully commercialized,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247"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the treatment of wet AMD and macular edema following CRVO, ZALTRAP for the treatment of patients with mCRC,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rely on third-party service providers to support the distribution of EYLEA and ARCALYST in the United States and for many other related activities in connection with the commercialization of these marketed products. Despite our arrangements with them, these third parties may not perform adequately. If these service providers do not perform their services adequately, our sales of EYLEA for the treatment of wet AMD and macular edema following CRVO and ARCALYST for the treatment of CAPS will suffer.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our Chief Scientific Officer and President, Regeneron Laboratories, and Neil Stahl, Ph.D., our Senior Vice President, Research and Development Sciences. As we commercialize EYLEA in the United States for the treatment of wet AMD and macular edema following CRVO,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20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Such disruptions and breaches of security could have a material adverse effect on our business, prospects, operating results, and financial condition.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43" w:lineRule="exact"/>
        <w:rPr>
          <w:sz w:val="20"/>
          <w:szCs w:val="20"/>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 In addition, to a lesser degree, sales of ZALTRAP and ARCALYST and, if any of our product candidates or our new indications for our marketed products receive regulatory approval, net product sales of, and profits from, these product candidates and new indications;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63" w:lineRule="exact"/>
        <w:rPr>
          <w:rFonts w:ascii="Arial" w:cs="Arial" w:eastAsia="Arial" w:hAnsi="Arial"/>
          <w:sz w:val="18"/>
          <w:szCs w:val="18"/>
          <w:color w:val="auto"/>
        </w:rPr>
      </w:pPr>
    </w:p>
    <w:p>
      <w:pPr>
        <w:jc w:val="both"/>
        <w:ind w:left="660" w:hanging="328"/>
        <w:spacing w:after="0" w:line="31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claims that our products or technologies infringe their patents;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challenges to our patents in the European Patent Office and in the U.S. Patent and Trademark Office;</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 concern as to the safety or effectiveness of any of our marketed products, EYLEA, ZALTRAP, or ARCALYST, or product candidates or new indications for our marketed products;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or reimbursement actions or decisions by government authorities or insurers affecting the coverage or reimbursement of any of our marketed products or competitors’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our relationships with collaborative partners or key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arrivals and departures of key personnel;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 the fourth quarter of 2012, we determined, based on our facts and circumstances, that it was more likely than not that a substantial portion of our deferred tax assets would be realized and, as a result, substantially all of our valuation allowance against deferred tax assets was released. Therefore, beginning in 2013, we began recording income tax expense, which results in a significant reduction in our net income and net income per share and may have an impact on the market price of our Common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235"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April 17 2013, our five largest shareholders plus Leonard S. Schleifer, M.D, Ph.D., our Chief Executive Officer, beneficially owned 55.6% of our outstanding shares of Common Stock, assuming, in the case of our Chief Executive Officer, the conversion of his Class A Stock into Common Stock and the exercise of all options held by him which are exercisable within 60 days of April 17, 2013. In September 2003, Sanofi (then Aventis Pharmaceuticals Inc.) purchased 2,799,552 newly issued, unregistered shares of our Common Stock, and in December 2007 Sanofi purchased an additional 12,000,000 newly issued, unregistered shares of our Common Stock. Under our investor agreement, as amended, with Sanofi, these shares may not be sold until December 20, 2017 except under limited circumstances and subject to earlier termination of these restrictions upon the occurrence of certain events. In addition, in October 2010, Sanofi purchased an additional 1,017,401 shares of Common Stock in our underwritten public offering. As of April 17, 2013, Sanofi beneficially owned 15,816,953 shares of our Common Stock, representing approximately 16.5% of the shares of Common Stock then outstanding. In February 2013, we received from Sanofi a notification under the Hart-Scott-Rodino Antitrust Improvements Act of 1976 that it intends to acquire additional Common Stock through open market purchases and direct purchases from shareholders. If Sanofi, or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3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existing shareholders may be able to exert significant influence over matters requiring shareholder approval.</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April 17, 2013, holders of Class A Stock held 17.7%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17, 2013:</w:t>
      </w:r>
    </w:p>
    <w:p>
      <w:pPr>
        <w:spacing w:after="0" w:line="97" w:lineRule="exact"/>
        <w:rPr>
          <w:sz w:val="20"/>
          <w:szCs w:val="20"/>
          <w:color w:val="auto"/>
        </w:rPr>
      </w:pPr>
    </w:p>
    <w:p>
      <w:pPr>
        <w:jc w:val="both"/>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10.9% of our outstanding shares of Common Stock, assuming conversion of their Class A Stock into Common Stock and the exercise of all options held by such persons which are exercisable within 60 days of April 171, 2013, and 23.4% of the combined voting power of our outstanding shares of Common Stock and Class A Stock, assuming the exercise of all options held by such persons which are exercisable within 60 days of April 17, 2013; and</w:t>
      </w:r>
    </w:p>
    <w:p>
      <w:pPr>
        <w:spacing w:after="0" w:line="2"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five largest shareholders plus Leonard S. Schleifer, M.D., Ph.D. our Chief Executive Officer, beneficially owned 55.6% of our outstanding shares of Common Stock, assuming, in the case of our Chief Executive Officer, the conversion of his Class A Stock into Common Stock and the exercise of all options held by him which are exercisable within 60 days of April 17, 2013. In addition, these five shareholders held 59.9% of the combined voting power of our outstanding shares of Common Stock and Class A Stock, assuming the exercise of all options held by our Chief Executive Officer which are exercisable within 60 days of April 17, 2013.</w:t>
      </w:r>
    </w:p>
    <w:p>
      <w:pPr>
        <w:spacing w:after="0" w:line="11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Pursuant to an investor agreement, as amended, Sanofi has agreed to vote its shares, at Sanofi's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and the contractual “standstill” provisions in our investor agreement with Sanofi, could deter, delay, or prevent an acquisition or other “change in control” of us and could adversely affect the price of our Common Stock.</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44"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9" w:lineRule="exact"/>
        <w:rPr>
          <w:rFonts w:ascii="Arial" w:cs="Arial" w:eastAsia="Arial" w:hAnsi="Arial"/>
          <w:sz w:val="18"/>
          <w:szCs w:val="18"/>
          <w:color w:val="auto"/>
        </w:rPr>
      </w:pPr>
    </w:p>
    <w:p>
      <w:pPr>
        <w:ind w:left="660" w:hanging="328"/>
        <w:spacing w:after="0" w:line="317"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spacing w:after="0" w:line="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immediately above captioned </w:t>
      </w:r>
      <w:r>
        <w:rPr>
          <w:rFonts w:ascii="Arial" w:cs="Arial" w:eastAsia="Arial" w:hAnsi="Arial"/>
          <w:sz w:val="18"/>
          <w:szCs w:val="18"/>
          <w:i w:val="1"/>
          <w:iCs w:val="1"/>
          <w:color w:val="auto"/>
        </w:rPr>
        <w:t>“Our existing shareholders may be able to exert</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influence over matters requiring shareholder approval.”</w:t>
      </w:r>
    </w:p>
    <w:p>
      <w:pPr>
        <w:spacing w:after="0" w:line="10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Until the later of the fifth anniversaries of the expiration or earlier termination of our antibody collaboration agreements with Sanofi or our ZALTRAP collaboration with Sanofi, Sanofi will be bound by certain “standstill” provisions, as amended, which contractually prohibit Sanofi from acquiring more than certain specified percentages of our Class A Stock and Common Stock (taken together) or otherwise seeking to obtain control of our company.</w:t>
      </w:r>
    </w:p>
    <w:p>
      <w:pPr>
        <w:spacing w:after="0" w:line="22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our company. Many of our stock options issued under our Second Amended and Restated 2000 Long-Term Incentive Plan, as amended and restated, may become fully vested in connection with a “change in control” of our company, as defined in the plan. These contractual provisions may also have the effect of deterring, delaying, or preventing an acquisition or other change in control.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Convertible Senior Notes and Related Hedge Transactions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1.875% Convertible Senior Notes issuance may affect the trading price of our Common Stock.</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our offering of our 1.875% Convertible Senior Notes due October 1, 2016, we entered into convertible note hedge transactions with four financial institutions (the “hedge counterparties”). The convertible note hedge transactions are expected to reduce the potential dilution to our Common Stock and/or offset potential cash payments in excess of the principal amount of the notes, as the case may be upon conversion of the notes. In the event that the hedge counterparties fail to deliver shares to us or potential cash payments as the case may be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we intend to exercise options under the convertible note hedge transactions whenever notes are converted. In order to unwind its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36"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The fundamental change provisions of our 1.875% Convertible Senior Notes and certain of the terms of the convertible note hedge and warrant transactions may delay or prevent an otherwise beneficial takeover attempt of us.</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fundamental change purchase rights, which will allow noteholders to require us to purchase all or a portion of their notes upon the occurrence of a fundamental change, as defined in the indenture governing the notes, and the provisions requiring an increase to the conversion rate for conversions in connection with make-whole fundamental changes, as set forth in the indenture, may in certain circumstances delay or prevent a takeover of us and the removal of incumbent management that might otherwise be beneficial to investors. In addition, upon the occurrence of certain extraordinary events, the convertible note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80" w:type="dxa"/>
            <w:vAlign w:val="bottom"/>
          </w:tcPr>
          <w:p>
            <w:pPr>
              <w:spacing w:after="0"/>
              <w:rPr>
                <w:sz w:val="20"/>
                <w:szCs w:val="20"/>
                <w:color w:val="auto"/>
              </w:rPr>
            </w:pPr>
          </w:p>
        </w:tc>
      </w:tr>
      <w:tr>
        <w:trPr>
          <w:trHeight w:val="432"/>
        </w:trPr>
        <w:tc>
          <w:tcPr>
            <w:tcW w:w="1800" w:type="dxa"/>
            <w:vAlign w:val="bottom"/>
            <w:gridSpan w:val="4"/>
          </w:tcPr>
          <w:p>
            <w:pPr>
              <w:spacing w:after="0"/>
              <w:rPr>
                <w:sz w:val="20"/>
                <w:szCs w:val="20"/>
                <w:color w:val="auto"/>
              </w:rPr>
            </w:pPr>
            <w:r>
              <w:rPr>
                <w:rFonts w:ascii="Arial" w:cs="Arial" w:eastAsia="Arial" w:hAnsi="Arial"/>
                <w:sz w:val="18"/>
                <w:szCs w:val="18"/>
                <w:color w:val="auto"/>
              </w:rPr>
              <w:t>(a)   Exhibits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80" w:type="dxa"/>
            <w:vAlign w:val="bottom"/>
          </w:tcPr>
          <w:p>
            <w:pPr>
              <w:spacing w:after="0"/>
              <w:rPr>
                <w:sz w:val="24"/>
                <w:szCs w:val="24"/>
                <w:color w:val="auto"/>
              </w:rPr>
            </w:pPr>
          </w:p>
        </w:tc>
      </w:tr>
      <w:tr>
        <w:trPr>
          <w:trHeight w:val="338"/>
        </w:trPr>
        <w:tc>
          <w:tcPr>
            <w:tcW w:w="68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5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80" w:type="dxa"/>
            <w:vAlign w:val="bottom"/>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11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980" w:type="dxa"/>
            <w:vAlign w:val="bottom"/>
            <w:gridSpan w:val="4"/>
          </w:tcPr>
          <w:p>
            <w:pPr>
              <w:ind w:left="200"/>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6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7880" w:type="dxa"/>
            <w:vAlign w:val="bottom"/>
          </w:tcPr>
          <w:p>
            <w:pPr>
              <w:spacing w:after="0"/>
              <w:rPr>
                <w:sz w:val="4"/>
                <w:szCs w:val="4"/>
                <w:color w:val="auto"/>
              </w:rPr>
            </w:pPr>
          </w:p>
        </w:tc>
      </w:tr>
      <w:tr>
        <w:trPr>
          <w:trHeight w:val="250"/>
        </w:trPr>
        <w:tc>
          <w:tcPr>
            <w:tcW w:w="680" w:type="dxa"/>
            <w:vAlign w:val="bottom"/>
            <w:tcBorders>
              <w:right w:val="single" w:sz="8" w:color="CCEEFF"/>
            </w:tcBorders>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31.1</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 Certification of CEO pursuant to Rule 13a-14(a) under the Securities Exchange Act of 1934.</w:t>
            </w:r>
          </w:p>
        </w:tc>
      </w:tr>
      <w:tr>
        <w:trPr>
          <w:trHeight w:val="243"/>
        </w:trPr>
        <w:tc>
          <w:tcPr>
            <w:tcW w:w="1260" w:type="dxa"/>
            <w:vAlign w:val="bottom"/>
            <w:gridSpan w:val="2"/>
          </w:tcPr>
          <w:p>
            <w:pPr>
              <w:ind w:left="68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80" w:type="dxa"/>
            <w:vAlign w:val="bottom"/>
            <w:gridSpan w:val="3"/>
          </w:tcPr>
          <w:p>
            <w:pPr>
              <w:ind w:left="120"/>
              <w:spacing w:after="0"/>
              <w:rPr>
                <w:sz w:val="20"/>
                <w:szCs w:val="20"/>
                <w:color w:val="auto"/>
              </w:rPr>
            </w:pPr>
            <w:r>
              <w:rPr>
                <w:rFonts w:ascii="Arial" w:cs="Arial" w:eastAsia="Arial" w:hAnsi="Arial"/>
                <w:sz w:val="18"/>
                <w:szCs w:val="18"/>
                <w:color w:val="auto"/>
              </w:rPr>
              <w:t>– Certification of CFO pursuant to Rule 13a-14(a) under the Securities Exchange Act of 1934.</w:t>
            </w: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680" w:type="dxa"/>
            <w:vAlign w:val="bottom"/>
            <w:tcBorders>
              <w:right w:val="single" w:sz="8" w:color="CCEEFF"/>
            </w:tcBorders>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32</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 Certification of CEO and CFO pursuant to 18 U.S.C. Section 1350.</w:t>
            </w:r>
          </w:p>
        </w:tc>
      </w:tr>
      <w:tr>
        <w:trPr>
          <w:trHeight w:val="243"/>
        </w:trPr>
        <w:tc>
          <w:tcPr>
            <w:tcW w:w="1260" w:type="dxa"/>
            <w:vAlign w:val="bottom"/>
            <w:gridSpan w:val="2"/>
          </w:tcPr>
          <w:p>
            <w:pPr>
              <w:ind w:left="68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520" w:type="dxa"/>
            <w:vAlign w:val="bottom"/>
            <w:gridSpan w:val="2"/>
          </w:tcPr>
          <w:p>
            <w:pPr>
              <w:ind w:left="40"/>
              <w:spacing w:after="0"/>
              <w:rPr>
                <w:sz w:val="20"/>
                <w:szCs w:val="20"/>
                <w:color w:val="auto"/>
              </w:rPr>
            </w:pPr>
            <w:r>
              <w:rPr>
                <w:rFonts w:ascii="Arial" w:cs="Arial" w:eastAsia="Arial" w:hAnsi="Arial"/>
                <w:sz w:val="18"/>
                <w:szCs w:val="18"/>
                <w:color w:val="auto"/>
              </w:rPr>
              <w:t>Interactive Data File</w:t>
            </w: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680" w:type="dxa"/>
            <w:vAlign w:val="bottom"/>
            <w:tcBorders>
              <w:right w:val="single" w:sz="8" w:color="CCEEFF"/>
            </w:tcBorders>
          </w:tcPr>
          <w:p>
            <w:pPr>
              <w:spacing w:after="0"/>
              <w:rPr>
                <w:sz w:val="21"/>
                <w:szCs w:val="21"/>
                <w:color w:val="auto"/>
              </w:rPr>
            </w:pPr>
          </w:p>
        </w:tc>
        <w:tc>
          <w:tcPr>
            <w:tcW w:w="1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r>
      <w:tr>
        <w:trPr>
          <w:trHeight w:val="243"/>
        </w:trPr>
        <w:tc>
          <w:tcPr>
            <w:tcW w:w="68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1"/>
                <w:szCs w:val="21"/>
                <w:color w:val="auto"/>
              </w:rPr>
            </w:pPr>
          </w:p>
        </w:tc>
        <w:tc>
          <w:tcPr>
            <w:tcW w:w="8780" w:type="dxa"/>
            <w:vAlign w:val="bottom"/>
            <w:gridSpan w:val="3"/>
          </w:tcPr>
          <w:p>
            <w:pPr>
              <w:ind w:left="120"/>
              <w:spacing w:after="0"/>
              <w:rPr>
                <w:sz w:val="20"/>
                <w:szCs w:val="20"/>
                <w:color w:val="auto"/>
              </w:rPr>
            </w:pPr>
            <w:r>
              <w:rPr>
                <w:rFonts w:ascii="Arial" w:cs="Arial" w:eastAsia="Arial" w:hAnsi="Arial"/>
                <w:sz w:val="18"/>
                <w:szCs w:val="18"/>
                <w:color w:val="auto"/>
              </w:rPr>
              <w:t>– XBRL Taxonomy Extension Schema</w:t>
            </w: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680" w:type="dxa"/>
            <w:vAlign w:val="bottom"/>
            <w:tcBorders>
              <w:right w:val="single" w:sz="8" w:color="CCEEFF"/>
            </w:tcBorders>
          </w:tcPr>
          <w:p>
            <w:pPr>
              <w:spacing w:after="0"/>
              <w:rPr>
                <w:sz w:val="21"/>
                <w:szCs w:val="21"/>
                <w:color w:val="auto"/>
              </w:rPr>
            </w:pPr>
          </w:p>
        </w:tc>
        <w:tc>
          <w:tcPr>
            <w:tcW w:w="1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68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52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7880" w:type="dxa"/>
            <w:vAlign w:val="bottom"/>
          </w:tcPr>
          <w:p>
            <w:pPr>
              <w:spacing w:after="0"/>
              <w:rPr>
                <w:sz w:val="2"/>
                <w:szCs w:val="2"/>
                <w:color w:val="auto"/>
              </w:rPr>
            </w:pPr>
          </w:p>
        </w:tc>
      </w:tr>
      <w:tr>
        <w:trPr>
          <w:trHeight w:val="250"/>
        </w:trPr>
        <w:tc>
          <w:tcPr>
            <w:tcW w:w="680" w:type="dxa"/>
            <w:vAlign w:val="bottom"/>
            <w:tcBorders>
              <w:right w:val="single" w:sz="8" w:color="CCEEFF"/>
            </w:tcBorders>
          </w:tcPr>
          <w:p>
            <w:pPr>
              <w:spacing w:after="0"/>
              <w:rPr>
                <w:sz w:val="21"/>
                <w:szCs w:val="21"/>
                <w:color w:val="auto"/>
              </w:rPr>
            </w:pPr>
          </w:p>
        </w:tc>
        <w:tc>
          <w:tcPr>
            <w:tcW w:w="11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200" w:type="dxa"/>
            <w:vAlign w:val="bottom"/>
            <w:tcBorders>
              <w:bottom w:val="single" w:sz="8" w:color="CCEEFF"/>
            </w:tcBorders>
            <w:shd w:val="clear" w:color="auto" w:fill="CCEEFF"/>
          </w:tcPr>
          <w:p>
            <w:pPr>
              <w:spacing w:after="0"/>
              <w:rPr>
                <w:sz w:val="21"/>
                <w:szCs w:val="21"/>
                <w:color w:val="auto"/>
              </w:rPr>
            </w:pPr>
          </w:p>
        </w:tc>
        <w:tc>
          <w:tcPr>
            <w:tcW w:w="87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 XBRL Taxonomy Extension Label Linkbase</w:t>
            </w:r>
          </w:p>
        </w:tc>
      </w:tr>
      <w:tr>
        <w:trPr>
          <w:trHeight w:val="243"/>
        </w:trPr>
        <w:tc>
          <w:tcPr>
            <w:tcW w:w="680" w:type="dxa"/>
            <w:vAlign w:val="bottom"/>
          </w:tcPr>
          <w:p>
            <w:pPr>
              <w:spacing w:after="0"/>
              <w:rPr>
                <w:sz w:val="21"/>
                <w:szCs w:val="21"/>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1"/>
                <w:szCs w:val="21"/>
                <w:color w:val="auto"/>
              </w:rPr>
            </w:pP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520" w:type="dxa"/>
            <w:vAlign w:val="bottom"/>
            <w:gridSpan w:val="2"/>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REGENERON PHARMACEUTICALS, INC.</w:t>
      </w:r>
    </w:p>
    <w:p>
      <w:pPr>
        <w:spacing w:after="0" w:line="252" w:lineRule="exact"/>
        <w:rPr>
          <w:sz w:val="20"/>
          <w:szCs w:val="20"/>
          <w:color w:val="auto"/>
        </w:rPr>
      </w:pPr>
    </w:p>
    <w:p>
      <w:pPr>
        <w:ind w:left="40"/>
        <w:spacing w:after="0"/>
        <w:tabs>
          <w:tab w:leader="none" w:pos="700" w:val="left"/>
          <w:tab w:leader="none" w:pos="4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2013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u w:val="single" w:color="auto"/>
          <w:color w:val="auto"/>
        </w:rPr>
        <w:t>/s/ MURRAY A. GOLDBERG</w:t>
      </w:r>
    </w:p>
    <w:p>
      <w:pPr>
        <w:spacing w:after="0" w:line="33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Murray A. Goldberg</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&amp; Administration,</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Financial Officer, and Assistant Secretary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May 3, 2013</w:t>
      </w:r>
      <w:r>
        <w:rPr>
          <w:sz w:val="20"/>
          <w:szCs w:val="20"/>
          <w:color w:val="auto"/>
        </w:rPr>
        <w:tab/>
      </w:r>
      <w:r>
        <w:rPr>
          <w:rFonts w:ascii="Arial" w:cs="Arial" w:eastAsia="Arial" w:hAnsi="Arial"/>
          <w:sz w:val="17"/>
          <w:szCs w:val="17"/>
          <w:u w:val="single" w:color="auto"/>
          <w:color w:val="auto"/>
        </w:rPr>
        <w:t>/s/ L</w:t>
      </w:r>
      <w:r>
        <w:rPr>
          <w:rFonts w:ascii="Arial" w:cs="Arial" w:eastAsia="Arial" w:hAnsi="Arial"/>
          <w:sz w:val="11"/>
          <w:szCs w:val="11"/>
          <w:u w:val="single" w:color="auto"/>
          <w:color w:val="auto"/>
        </w:rPr>
        <w:t>EONARD</w:t>
      </w:r>
      <w:r>
        <w:rPr>
          <w:rFonts w:ascii="Arial" w:cs="Arial" w:eastAsia="Arial" w:hAnsi="Arial"/>
          <w:sz w:val="17"/>
          <w:szCs w:val="17"/>
          <w:u w:val="single" w:color="auto"/>
          <w:color w:val="auto"/>
        </w:rPr>
        <w:t xml:space="preserve"> S. S</w:t>
      </w:r>
      <w:r>
        <w:rPr>
          <w:rFonts w:ascii="Arial" w:cs="Arial" w:eastAsia="Arial" w:hAnsi="Arial"/>
          <w:sz w:val="11"/>
          <w:szCs w:val="11"/>
          <w:u w:val="single" w:color="auto"/>
          <w:color w:val="auto"/>
        </w:rPr>
        <w:t>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Murray A. Goldberg, certify that:</w:t>
      </w:r>
    </w:p>
    <w:p>
      <w:pPr>
        <w:spacing w:after="0" w:line="17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May 3, 2013</w:t>
      </w:r>
      <w:r>
        <w:rPr>
          <w:sz w:val="20"/>
          <w:szCs w:val="20"/>
          <w:color w:val="auto"/>
        </w:rPr>
        <w:tab/>
      </w:r>
      <w:r>
        <w:rPr>
          <w:rFonts w:ascii="Arial" w:cs="Arial" w:eastAsia="Arial" w:hAnsi="Arial"/>
          <w:sz w:val="17"/>
          <w:szCs w:val="17"/>
          <w:u w:val="single" w:color="auto"/>
          <w:color w:val="auto"/>
        </w:rPr>
        <w:t>/s/ M</w:t>
      </w:r>
      <w:r>
        <w:rPr>
          <w:rFonts w:ascii="Arial" w:cs="Arial" w:eastAsia="Arial" w:hAnsi="Arial"/>
          <w:sz w:val="11"/>
          <w:szCs w:val="11"/>
          <w:u w:val="single" w:color="auto"/>
          <w:color w:val="auto"/>
        </w:rPr>
        <w:t>URRAY</w:t>
      </w:r>
      <w:r>
        <w:rPr>
          <w:rFonts w:ascii="Arial" w:cs="Arial" w:eastAsia="Arial" w:hAnsi="Arial"/>
          <w:sz w:val="17"/>
          <w:szCs w:val="17"/>
          <w:u w:val="single" w:color="auto"/>
          <w:color w:val="auto"/>
        </w:rPr>
        <w:t xml:space="preserve"> A. G</w:t>
      </w:r>
      <w:r>
        <w:rPr>
          <w:rFonts w:ascii="Arial" w:cs="Arial" w:eastAsia="Arial" w:hAnsi="Arial"/>
          <w:sz w:val="11"/>
          <w:szCs w:val="11"/>
          <w:u w:val="single" w:color="auto"/>
          <w:color w:val="auto"/>
        </w:rPr>
        <w:t>OLDBERG</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Murray A. Goldberg</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&amp; Administration,</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Chief Financial Officer,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Regeneron Pharmaceuticals, Inc. (the "Company") on Form 10-Q for the quarterly period ended March 31, 2013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13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3, 2013</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Murray A. Goldberg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Murray A. Goldberg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3, 2013</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1."/>
      <w:numFmt w:val="decimal"/>
      <w:start w:val="3"/>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Ÿ"/>
      <w:numFmt w:val="bullet"/>
      <w:start w:val="1"/>
    </w:lvl>
  </w:abstractNum>
  <w:abstractNum w:abstractNumId="8">
    <w:nsid w:val="25E45D32"/>
    <w:multiLevelType w:val="hybridMultilevel"/>
    <w:lvl w:ilvl="0">
      <w:lvlJc w:val="left"/>
      <w:lvlText w:val="Ÿ"/>
      <w:numFmt w:val="bullet"/>
      <w:start w:val="1"/>
    </w:lvl>
  </w:abstractNum>
  <w:abstractNum w:abstractNumId="9">
    <w:nsid w:val="519B500D"/>
    <w:multiLevelType w:val="hybridMultilevel"/>
    <w:lvl w:ilvl="0">
      <w:lvlJc w:val="left"/>
      <w:lvlText w:val="Ÿ"/>
      <w:numFmt w:val="bullet"/>
      <w:start w:val="1"/>
    </w:lvl>
  </w:abstractNum>
  <w:abstractNum w:abstractNumId="10">
    <w:nsid w:val="431BD7B7"/>
    <w:multiLevelType w:val="hybridMultilevel"/>
    <w:lvl w:ilvl="0">
      <w:lvlJc w:val="left"/>
      <w:lvlText w:val="Ÿ"/>
      <w:numFmt w:val="bullet"/>
      <w:start w:val="1"/>
    </w:lvl>
  </w:abstractNum>
  <w:abstractNum w:abstractNumId="11">
    <w:nsid w:val="3F2DBA31"/>
    <w:multiLevelType w:val="hybridMultilevel"/>
    <w:lvl w:ilvl="0">
      <w:lvlJc w:val="left"/>
      <w:lvlText w:val="Ÿ"/>
      <w:numFmt w:val="bullet"/>
      <w:start w:val="1"/>
    </w:lvl>
  </w:abstractNum>
  <w:abstractNum w:abstractNumId="12">
    <w:nsid w:val="7C83E458"/>
    <w:multiLevelType w:val="hybridMultilevel"/>
    <w:lvl w:ilvl="0">
      <w:lvlJc w:val="left"/>
      <w:lvlText w:val="Ÿ"/>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2019-12-06T05:46:20Z</dcterms:created>
  <dcterms:modified xsi:type="dcterms:W3CDTF">2019-12-06T05:46:20Z</dcterms:modified>
</cp:coreProperties>
</file>